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4"/>
          <w:szCs w:val="24"/>
          <w:color w:val="auto"/>
        </w:rPr>
      </w:pPr>
    </w:p>
    <w:p>
      <w:pPr>
        <w:ind w:left="380" w:right="179" w:hanging="330"/>
        <w:spacing w:after="0" w:line="282" w:lineRule="auto"/>
        <w:tabs>
          <w:tab w:leader="none" w:pos="39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6" w:lineRule="exact"/>
        <w:rPr>
          <w:sz w:val="24"/>
          <w:szCs w:val="24"/>
          <w:color w:val="auto"/>
        </w:rPr>
      </w:pPr>
    </w:p>
    <w:p>
      <w:pPr>
        <w:ind w:left="60" w:right="179" w:hanging="10"/>
        <w:spacing w:after="0" w:line="282" w:lineRule="auto"/>
        <w:tabs>
          <w:tab w:leader="none" w:pos="39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42545</wp:posOffset>
            </wp:positionH>
            <wp:positionV relativeFrom="paragraph">
              <wp:posOffset>-281940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Delaware</w:t>
            </w: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76-0307819</w:t>
            </w:r>
          </w:p>
        </w:tc>
      </w:tr>
      <w:tr>
        <w:trPr>
          <w:trHeight w:val="195"/>
        </w:trPr>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60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Incorporation or Organization)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14605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(347) 727-2474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6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2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200" w:type="dxa"/>
            <w:vAlign w:val="bottom"/>
          </w:tcPr>
          <w:p>
            <w:pPr>
              <w:spacing w:after="0"/>
              <w:rPr>
                <w:sz w:val="15"/>
                <w:szCs w:val="15"/>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XELB</w:t>
            </w:r>
          </w:p>
        </w:tc>
        <w:tc>
          <w:tcPr>
            <w:tcW w:w="18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46" w:lineRule="exact"/>
        <w:rPr>
          <w:sz w:val="24"/>
          <w:szCs w:val="24"/>
          <w:color w:val="auto"/>
        </w:rPr>
      </w:pPr>
    </w:p>
    <w:p>
      <w:pPr>
        <w:jc w:val="both"/>
        <w:ind w:left="60" w:right="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60" w:right="59"/>
        <w:spacing w:after="0" w:line="28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left="180" w:right="59" w:hanging="134"/>
        <w:spacing w:after="0" w:line="250"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November 6, 2020, there were 19,231,040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588645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31750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70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425"/>
        </w:trPr>
        <w:tc>
          <w:tcPr>
            <w:tcW w:w="822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52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Statements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Stockholders’ Equity</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Cash Flows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2.</w:t>
              </w:r>
            </w:hyperlink>
          </w:p>
        </w:tc>
        <w:tc>
          <w:tcPr>
            <w:tcW w:w="7520" w:type="dxa"/>
            <w:vAlign w:val="bottom"/>
          </w:tcPr>
          <w:p>
            <w:pPr>
              <w:ind w:left="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3.</w:t>
              </w:r>
            </w:hyperlink>
          </w:p>
        </w:tc>
        <w:tc>
          <w:tcPr>
            <w:tcW w:w="752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4.</w:t>
              </w:r>
            </w:hyperlink>
          </w:p>
        </w:tc>
        <w:tc>
          <w:tcPr>
            <w:tcW w:w="752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822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PART II - 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w:t>
              </w:r>
            </w:hyperlink>
          </w:p>
        </w:tc>
        <w:tc>
          <w:tcPr>
            <w:tcW w:w="7520" w:type="dxa"/>
            <w:vAlign w:val="bottom"/>
          </w:tcPr>
          <w:p>
            <w:pPr>
              <w:ind w:left="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1A.</w:t>
              </w:r>
            </w:hyperlink>
          </w:p>
        </w:tc>
        <w:tc>
          <w:tcPr>
            <w:tcW w:w="7520" w:type="dxa"/>
            <w:vAlign w:val="bottom"/>
          </w:tcPr>
          <w:p>
            <w:pPr>
              <w:ind w:left="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2.</w:t>
              </w:r>
            </w:hyperlink>
          </w:p>
        </w:tc>
        <w:tc>
          <w:tcPr>
            <w:tcW w:w="752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3.</w:t>
              </w:r>
            </w:hyperlink>
          </w:p>
        </w:tc>
        <w:tc>
          <w:tcPr>
            <w:tcW w:w="752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w:t>
              </w:r>
            </w:hyperlink>
          </w:p>
        </w:tc>
        <w:tc>
          <w:tcPr>
            <w:tcW w:w="752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5.</w:t>
              </w:r>
            </w:hyperlink>
          </w:p>
        </w:tc>
        <w:tc>
          <w:tcPr>
            <w:tcW w:w="752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6.</w:t>
              </w:r>
            </w:hyperlink>
          </w:p>
        </w:tc>
        <w:tc>
          <w:tcPr>
            <w:tcW w:w="752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00" w:type="dxa"/>
            <w:vAlign w:val="bottom"/>
          </w:tcPr>
          <w:p>
            <w:pPr>
              <w:spacing w:after="0"/>
              <w:rPr>
                <w:sz w:val="24"/>
                <w:szCs w:val="24"/>
                <w:color w:val="auto"/>
              </w:rPr>
            </w:pPr>
          </w:p>
        </w:tc>
        <w:tc>
          <w:tcPr>
            <w:tcW w:w="7520" w:type="dxa"/>
            <w:vAlign w:val="bottom"/>
          </w:tcPr>
          <w:p>
            <w:pPr>
              <w:ind w:left="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12"/>
        <w:spacing w:after="0" w:line="391" w:lineRule="auto"/>
        <w:rPr>
          <w:sz w:val="20"/>
          <w:szCs w:val="20"/>
          <w:color w:val="auto"/>
        </w:rPr>
      </w:pPr>
      <w:r>
        <w:rPr>
          <w:rFonts w:ascii="Arial" w:cs="Arial" w:eastAsia="Arial" w:hAnsi="Arial"/>
          <w:sz w:val="18"/>
          <w:szCs w:val="18"/>
          <w:b w:val="1"/>
          <w:bCs w:val="1"/>
          <w:color w:val="auto"/>
        </w:rPr>
        <w:t>PART 1.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2020</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 net of allowances of $1,163 and $155, respectively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8,188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10,622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15,120</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80"/>
              <w:spacing w:after="0" w:line="142"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3,604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3,666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Trademarks and other intangibles,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107,675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111,095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non-current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121,704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125,625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136,824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Accrued payroll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618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operating lease obligation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2,850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8,293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Long-term portion of operating lease obligation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debt, less current portion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14,523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Contingent obligation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Deferred tax liabilities,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7,165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long-term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31,913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40,206</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44,739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Common stock, $.001 par value, 50,000,000 shares authorized, and 19,231,040 and 18,866,417 shares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issued and outstanding at September 30, 2020 and December 31, 2019, respectively</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Paid-in 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102,236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101,736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(6,198)</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20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96,057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98,096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561</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96,618</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98,452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136,824</w:t>
            </w:r>
          </w:p>
        </w:tc>
        <w:tc>
          <w:tcPr>
            <w:tcW w:w="18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Xcel Brands, Inc. and Subsidiaries Unaudited Condensed Consolidated Statements of Operations (in thousands, except share and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For the Three Months Ended</w:t>
            </w:r>
          </w:p>
        </w:tc>
        <w:tc>
          <w:tcPr>
            <w:tcW w:w="120" w:type="dxa"/>
            <w:vAlign w:val="bottom"/>
          </w:tcPr>
          <w:p>
            <w:pPr>
              <w:spacing w:after="0"/>
              <w:rPr>
                <w:sz w:val="14"/>
                <w:szCs w:val="14"/>
                <w:color w:val="auto"/>
              </w:rPr>
            </w:pPr>
          </w:p>
        </w:tc>
        <w:tc>
          <w:tcPr>
            <w:tcW w:w="2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Net licensing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6,428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15,378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 (sales)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23,822</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Salaries, benefits and employment taxes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Other design and marketing costs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selling, general and administrative expenses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120"/>
              <w:spacing w:after="0" w:line="201" w:lineRule="exact"/>
              <w:rPr>
                <w:sz w:val="20"/>
                <w:szCs w:val="20"/>
                <w:color w:val="auto"/>
              </w:rPr>
            </w:pPr>
            <w:r>
              <w:rPr>
                <w:rFonts w:ascii="Arial" w:cs="Arial" w:eastAsia="Arial" w:hAnsi="Arial"/>
                <w:sz w:val="18"/>
                <w:szCs w:val="18"/>
                <w:color w:val="auto"/>
              </w:rPr>
              <w:t>(Recovery of) costs in connection with potential</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acquisition</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Government assistance - Paycheck Protection Program</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other</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Property and equipment impairment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22,351</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finance expense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Interest expense and other finance charges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interest and finance expense</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(460)</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(2,634)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Net (loss) income attributable to Xcel Brands, Inc.</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20" w:type="dxa"/>
            <w:vAlign w:val="bottom"/>
            <w:vMerge w:val="continue"/>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(434)</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(95)</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(2,539)</w:t>
            </w: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520" w:type="dxa"/>
            <w:vAlign w:val="bottom"/>
          </w:tcPr>
          <w:p>
            <w:pPr>
              <w:spacing w:after="0"/>
              <w:rPr>
                <w:sz w:val="20"/>
                <w:szCs w:val="20"/>
                <w:color w:val="auto"/>
              </w:rPr>
            </w:pPr>
            <w:r>
              <w:rPr>
                <w:rFonts w:ascii="Arial" w:cs="Arial" w:eastAsia="Arial" w:hAnsi="Arial"/>
                <w:sz w:val="18"/>
                <w:szCs w:val="18"/>
                <w:b w:val="1"/>
                <w:bCs w:val="1"/>
                <w:color w:val="auto"/>
              </w:rPr>
              <w:t>stockholders</w:t>
            </w:r>
          </w:p>
        </w:tc>
        <w:tc>
          <w:tcPr>
            <w:tcW w:w="12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20" w:type="dxa"/>
            <w:vAlign w:val="bottom"/>
          </w:tcPr>
          <w:p>
            <w:pPr>
              <w:spacing w:after="0" w:line="201" w:lineRule="exact"/>
              <w:rPr>
                <w:sz w:val="20"/>
                <w:szCs w:val="20"/>
                <w:color w:val="auto"/>
              </w:rPr>
            </w:pPr>
            <w:r>
              <w:rPr>
                <w:rFonts w:ascii="Arial" w:cs="Arial" w:eastAsia="Arial" w:hAnsi="Arial"/>
                <w:sz w:val="18"/>
                <w:szCs w:val="18"/>
                <w:color w:val="auto"/>
                <w:w w:val="97"/>
              </w:rPr>
              <w:t>(Loss) earnings per share attributable to Xcel Brands, Inc.</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common stockholders: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net (loss)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Diluted net (loss)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6"/>
              </w:rPr>
              <w:t>Weighted average number of common shares outstanding:</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 weighted average common shares outstanding</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19,231,040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18,975,265</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19,078,453</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18,839,424</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20" w:type="dxa"/>
            <w:vAlign w:val="bottom"/>
            <w:tcBorders>
              <w:bottom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Diluted weighted average common shares outstanding</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19,231,040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18,975,265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19,078,453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18,840,149</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 w:name="page5"/>
    <w:bookmarkEnd w:id="4"/>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2820" w:type="dxa"/>
            <w:vAlign w:val="bottom"/>
            <w:tcBorders>
              <w:bottom w:val="single" w:sz="8" w:color="auto"/>
            </w:tcBorders>
            <w:gridSpan w:val="9"/>
          </w:tcPr>
          <w:p>
            <w:pPr>
              <w:jc w:val="right"/>
              <w:ind w:right="517"/>
              <w:spacing w:after="0"/>
              <w:rPr>
                <w:sz w:val="20"/>
                <w:szCs w:val="20"/>
                <w:color w:val="auto"/>
              </w:rPr>
            </w:pPr>
            <w:r>
              <w:rPr>
                <w:rFonts w:ascii="Arial" w:cs="Arial" w:eastAsia="Arial" w:hAnsi="Arial"/>
                <w:sz w:val="13"/>
                <w:szCs w:val="13"/>
                <w:b w:val="1"/>
                <w:bCs w:val="1"/>
                <w:color w:val="auto"/>
              </w:rPr>
              <w:t>Xcel Brands, Inc. Stockholders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37"/>
              <w:spacing w:after="0" w:line="110" w:lineRule="exact"/>
              <w:rPr>
                <w:sz w:val="20"/>
                <w:szCs w:val="20"/>
                <w:color w:val="auto"/>
              </w:rPr>
            </w:pPr>
            <w:r>
              <w:rPr>
                <w:rFonts w:ascii="Arial" w:cs="Arial" w:eastAsia="Arial" w:hAnsi="Arial"/>
                <w:sz w:val="12"/>
                <w:szCs w:val="12"/>
                <w:b w:val="1"/>
                <w:bCs w:val="1"/>
                <w:color w:val="auto"/>
                <w:w w:val="94"/>
              </w:rPr>
              <w:t>Retained</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4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85"/>
              </w:rPr>
              <w:t>Common Stock</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64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ind w:right="17"/>
              <w:spacing w:after="0" w:line="110" w:lineRule="exact"/>
              <w:rPr>
                <w:sz w:val="20"/>
                <w:szCs w:val="20"/>
                <w:color w:val="auto"/>
              </w:rPr>
            </w:pPr>
            <w:r>
              <w:rPr>
                <w:rFonts w:ascii="Arial" w:cs="Arial" w:eastAsia="Arial" w:hAnsi="Arial"/>
                <w:sz w:val="12"/>
                <w:szCs w:val="12"/>
                <w:b w:val="1"/>
                <w:bCs w:val="1"/>
                <w:color w:val="auto"/>
              </w:rPr>
              <w:t>Paid-In</w:t>
            </w:r>
          </w:p>
        </w:tc>
        <w:tc>
          <w:tcPr>
            <w:tcW w:w="880" w:type="dxa"/>
            <w:vAlign w:val="bottom"/>
            <w:gridSpan w:val="3"/>
          </w:tcPr>
          <w:p>
            <w:pPr>
              <w:jc w:val="center"/>
              <w:ind w:left="80"/>
              <w:spacing w:after="0" w:line="110" w:lineRule="exact"/>
              <w:rPr>
                <w:sz w:val="20"/>
                <w:szCs w:val="20"/>
                <w:color w:val="auto"/>
              </w:rPr>
            </w:pPr>
            <w:r>
              <w:rPr>
                <w:rFonts w:ascii="Arial" w:cs="Arial" w:eastAsia="Arial" w:hAnsi="Arial"/>
                <w:sz w:val="12"/>
                <w:szCs w:val="12"/>
                <w:b w:val="1"/>
                <w:bCs w:val="1"/>
                <w:color w:val="auto"/>
                <w:w w:val="93"/>
              </w:rPr>
              <w:t>(Accumulated</w:t>
            </w:r>
          </w:p>
        </w:tc>
        <w:tc>
          <w:tcPr>
            <w:tcW w:w="140" w:type="dxa"/>
            <w:vAlign w:val="bottom"/>
          </w:tcPr>
          <w:p>
            <w:pPr>
              <w:spacing w:after="0"/>
              <w:rPr>
                <w:sz w:val="9"/>
                <w:szCs w:val="9"/>
                <w:color w:val="auto"/>
              </w:rPr>
            </w:pPr>
          </w:p>
        </w:tc>
        <w:tc>
          <w:tcPr>
            <w:tcW w:w="8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6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7"/>
              </w:rPr>
              <w:t>Interest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2018</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18,138,616</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18</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$ 100,097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99,882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9"/>
              </w:rPr>
              <w:t>Issuance of common stock in connection with the acquisition of Halston Heritage</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777,778</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1,057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in connection with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2019</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18,916,394</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101,501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101,414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in connection with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employees in connection with restricted stock grants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60,000</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2019</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18,976,394</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101,636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1,746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103,401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in connection with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Shares repurchased including vested restricted stock in exchange for withholding taxes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(18,147)</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September 30, 2019</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18,958,247</w:t>
            </w:r>
          </w:p>
        </w:tc>
        <w:tc>
          <w:tcPr>
            <w:tcW w:w="1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$ 101,739</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1,651</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103,409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4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as of December 31, 2019</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18,866,417</w:t>
            </w:r>
          </w:p>
        </w:tc>
        <w:tc>
          <w:tcPr>
            <w:tcW w:w="4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19</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$ 101,736</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(3,659)</w:t>
            </w:r>
          </w:p>
        </w:tc>
        <w:tc>
          <w:tcPr>
            <w:tcW w:w="2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98,452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in connection with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executive in connection with stock grants for bonus payments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336,700</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repurchased from executive in exchange for withholding taxes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(155,556)</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2020</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19,047,561</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101,945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(4,464)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97,823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in connection with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issued to employees in connection with stock grants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270,728</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repurchased from employees in exchange for withholding taxes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(87,249)</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Additional investment in Longaberger Licensing, LLC by non-controlling interest holder</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June 30, 2020</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19,231,040</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102,180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(5,764)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587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97,022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Compensation expense in connection with stock options and restricted stock</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6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September 30, 2020</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19,231,040</w:t>
            </w:r>
          </w:p>
        </w:tc>
        <w:tc>
          <w:tcPr>
            <w:tcW w:w="1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$ 102,236</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(6,198)</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561</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96,618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Xcel Brands, Inc. and Subsidiaries</w:t>
      </w:r>
    </w:p>
    <w:p>
      <w:pPr>
        <w:jc w:val="center"/>
        <w:spacing w:after="0" w:line="226" w:lineRule="auto"/>
        <w:rPr>
          <w:sz w:val="20"/>
          <w:szCs w:val="20"/>
          <w:color w:val="auto"/>
        </w:rPr>
      </w:pPr>
      <w:r>
        <w:rPr>
          <w:rFonts w:ascii="Arial" w:cs="Arial" w:eastAsia="Arial" w:hAnsi="Arial"/>
          <w:sz w:val="14"/>
          <w:szCs w:val="14"/>
          <w:b w:val="1"/>
          <w:bCs w:val="1"/>
          <w:color w:val="auto"/>
        </w:rPr>
        <w:t>Unaudited Condensed Consolidated Statements of Cash Flows</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Net (loss) income</w:t>
            </w:r>
          </w:p>
        </w:tc>
        <w:tc>
          <w:tcPr>
            <w:tcW w:w="1220" w:type="dxa"/>
            <w:vAlign w:val="bottom"/>
            <w:gridSpan w:val="2"/>
          </w:tcPr>
          <w:p>
            <w:pPr>
              <w:jc w:val="right"/>
              <w:ind w:right="605"/>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4"/>
              </w:rPr>
              <w:t>(2,634)</w:t>
            </w:r>
          </w:p>
        </w:tc>
        <w:tc>
          <w:tcPr>
            <w:tcW w:w="200" w:type="dxa"/>
            <w:vAlign w:val="bottom"/>
          </w:tcPr>
          <w:p>
            <w:pPr>
              <w:spacing w:after="0"/>
              <w:rPr>
                <w:sz w:val="12"/>
                <w:szCs w:val="12"/>
                <w:color w:val="auto"/>
              </w:rPr>
            </w:pPr>
          </w:p>
        </w:tc>
        <w:tc>
          <w:tcPr>
            <w:tcW w:w="3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 expense</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4,069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Property and equipment impairment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finance costs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note discount</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Allowance for doubtful accounts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Loss on extinguishment of debt</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 provision</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Net gain on sale of assets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on reduction of contingent obligation</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Inventory</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assets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4"/>
              </w:rPr>
              <w:t>(2,403)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in excess of rent expense</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5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2,203</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Cash consideration for acquisition of Halston Heritage assets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(8,830)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proceeds from sale of assets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Purchase of property and equipment</w:t>
            </w:r>
          </w:p>
        </w:tc>
        <w:tc>
          <w:tcPr>
            <w:tcW w:w="5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5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(9,748)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Shares repurchased including vested restricted stock in exchange for withholding taxes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contribution from non-controlling interest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Payment of deferred finance costs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long-term debt</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Payment of long-term debt</w:t>
            </w:r>
          </w:p>
        </w:tc>
        <w:tc>
          <w:tcPr>
            <w:tcW w:w="5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(1,500)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5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(1,407)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5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5,750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10,319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220" w:type="dxa"/>
            <w:vAlign w:val="bottom"/>
            <w:gridSpan w:val="2"/>
            <w:shd w:val="clear" w:color="auto" w:fill="CCEEFF"/>
          </w:tcPr>
          <w:p>
            <w:pPr>
              <w:jc w:val="right"/>
              <w:ind w:right="605"/>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5,892</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to amounts on consolidated balance sheets: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220" w:type="dxa"/>
            <w:vAlign w:val="bottom"/>
            <w:gridSpan w:val="2"/>
          </w:tcPr>
          <w:p>
            <w:pPr>
              <w:jc w:val="right"/>
              <w:ind w:right="605"/>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4,783</w:t>
            </w:r>
          </w:p>
        </w:tc>
        <w:tc>
          <w:tcPr>
            <w:tcW w:w="200" w:type="dxa"/>
            <w:vAlign w:val="bottom"/>
          </w:tcPr>
          <w:p>
            <w:pPr>
              <w:spacing w:after="0"/>
              <w:rPr>
                <w:sz w:val="12"/>
                <w:szCs w:val="12"/>
                <w:color w:val="auto"/>
              </w:rPr>
            </w:pPr>
          </w:p>
        </w:tc>
        <w:tc>
          <w:tcPr>
            <w:tcW w:w="3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5,890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Restricted cash</w:t>
            </w:r>
          </w:p>
        </w:tc>
        <w:tc>
          <w:tcPr>
            <w:tcW w:w="5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80" w:type="dxa"/>
            <w:vAlign w:val="bottom"/>
            <w:tcBorders>
              <w:bottom w:val="single" w:sz="8" w:color="CCEEFF"/>
            </w:tcBorders>
          </w:tcPr>
          <w:p>
            <w:pPr>
              <w:ind w:left="8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5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5,892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6,999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lease right-of-use asset</w:t>
            </w:r>
          </w:p>
        </w:tc>
        <w:tc>
          <w:tcPr>
            <w:tcW w:w="1220" w:type="dxa"/>
            <w:vAlign w:val="bottom"/>
            <w:gridSpan w:val="2"/>
            <w:shd w:val="clear" w:color="auto" w:fill="CCEEFF"/>
          </w:tcPr>
          <w:p>
            <w:pPr>
              <w:jc w:val="right"/>
              <w:ind w:right="605"/>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4"/>
                <w:szCs w:val="14"/>
                <w:color w:val="auto"/>
              </w:rPr>
              <w:t>Operating lease obligation</w:t>
            </w:r>
          </w:p>
        </w:tc>
        <w:tc>
          <w:tcPr>
            <w:tcW w:w="50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797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13,210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Accrued rent offset to operating lease right-of-use assets</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4"/>
                <w:szCs w:val="14"/>
                <w:color w:val="auto"/>
              </w:rPr>
              <w:t>Settlement of seller note through offset to receivable</w:t>
            </w:r>
          </w:p>
        </w:tc>
        <w:tc>
          <w:tcPr>
            <w:tcW w:w="50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Settlement of contingent obligation through offset to note receivable</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4"/>
                <w:szCs w:val="14"/>
                <w:color w:val="auto"/>
              </w:rPr>
              <w:t>Issuance of common stock in connection with Halston Heritage assets acquisition</w:t>
            </w:r>
          </w:p>
        </w:tc>
        <w:tc>
          <w:tcPr>
            <w:tcW w:w="50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Contingent obligation related to acquisition of Halston Heritage assets at fair value</w:t>
            </w:r>
          </w:p>
        </w:tc>
        <w:tc>
          <w:tcPr>
            <w:tcW w:w="5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200"/>
              <w:spacing w:after="0"/>
              <w:rPr>
                <w:sz w:val="20"/>
                <w:szCs w:val="20"/>
                <w:color w:val="auto"/>
              </w:rPr>
            </w:pPr>
            <w:r>
              <w:rPr>
                <w:rFonts w:ascii="Arial" w:cs="Arial" w:eastAsia="Arial" w:hAnsi="Arial"/>
                <w:sz w:val="14"/>
                <w:szCs w:val="14"/>
                <w:color w:val="auto"/>
              </w:rPr>
              <w:t>Liability for equity-based bonuses</w:t>
            </w:r>
          </w:p>
        </w:tc>
        <w:tc>
          <w:tcPr>
            <w:tcW w:w="50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paid during the period for income taxes</w:t>
            </w:r>
          </w:p>
        </w:tc>
        <w:tc>
          <w:tcPr>
            <w:tcW w:w="1220" w:type="dxa"/>
            <w:vAlign w:val="bottom"/>
            <w:gridSpan w:val="2"/>
            <w:shd w:val="clear" w:color="auto" w:fill="CCEEFF"/>
          </w:tcPr>
          <w:p>
            <w:pPr>
              <w:jc w:val="right"/>
              <w:ind w:right="605"/>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4"/>
                <w:szCs w:val="14"/>
                <w:color w:val="auto"/>
              </w:rPr>
              <w:t>Cash paid during the period for interest</w:t>
            </w:r>
          </w:p>
        </w:tc>
        <w:tc>
          <w:tcPr>
            <w:tcW w:w="50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6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720" w:type="dxa"/>
            <w:vAlign w:val="bottom"/>
            <w:tcBorders>
              <w:bottom w:val="single" w:sz="8" w:color="auto"/>
            </w:tcBorders>
          </w:tcPr>
          <w:p>
            <w:pPr>
              <w:jc w:val="right"/>
              <w:ind w:right="605"/>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1,092</w:t>
            </w:r>
          </w:p>
        </w:tc>
        <w:tc>
          <w:tcPr>
            <w:tcW w:w="20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 Background, and Basis of Presentation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accompanying condensed consolidated balance sheet as of December 31, 2019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2019, as filed with the SEC on April 14, 2020.</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is a media and consumer products company engaged in the design, production, marketing, wholesale distribution, and direct-to-consumer sales of branded apparel, footwear, accessories, jewelry, home goods and other consumer products, and the acquisition of dynamic consumer lifestyle brands. The Company has developed a design, production, and supply chain capability driven by its proprietary integrated technology platform. Currently, the Company’s brand portfolio consists of the Isaac Mizrahi brands (the "Isaac Mizrahi Brand"), the Judith Ripka brands (the "Ripka Brand"), the Halston brands (the "Halston Brands"), the C Wonder brands (the "C Wonder Brand"), and other proprietary brands. The Company also manages the Longaberger brand (“the Longaberger Brand”) through its 50% ownership interest in Longaberger Licensing, LLC. The Company designs, produces, markets, and distributes products, and in certain cases, licenses its brands to third parties, and generates licensing fees. The Company and its licensees distribute through a ubiquitous-channel retail sales strategy, which includes distribution through interactive television, the internet, and traditional brick-and-mortar retail channels.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19" w:lineRule="exact"/>
        <w:rPr>
          <w:sz w:val="20"/>
          <w:szCs w:val="20"/>
          <w:color w:val="auto"/>
        </w:rPr>
      </w:pPr>
      <w:r>
        <w:rPr>
          <w:rFonts w:ascii="Arial" w:cs="Arial" w:eastAsia="Arial" w:hAnsi="Arial"/>
          <w:sz w:val="17"/>
          <w:szCs w:val="17"/>
          <w:color w:val="auto"/>
        </w:rPr>
        <w:t>The Company adopted Accounting Standards Update ("ASU") No. 2018</w:t>
      </w:r>
      <w:r>
        <w:rPr>
          <w:rFonts w:ascii="MS PGothic" w:cs="MS PGothic" w:eastAsia="MS PGothic" w:hAnsi="MS PGothic"/>
          <w:sz w:val="17"/>
          <w:szCs w:val="17"/>
          <w:color w:val="auto"/>
        </w:rPr>
        <w:t>‑</w:t>
      </w:r>
      <w:r>
        <w:rPr>
          <w:rFonts w:ascii="Arial" w:cs="Arial" w:eastAsia="Arial" w:hAnsi="Arial"/>
          <w:sz w:val="17"/>
          <w:szCs w:val="17"/>
          <w:color w:val="auto"/>
        </w:rPr>
        <w:t>13, “Fair Value Measurement (Topic 820): Disclosure Framework – Changes to the Disclosure Requirements for Fair Value Measurement,” effective January 1, 2020. This ASU adds, modifies, and removes several disclosure requirements relative to the three levels of inputs used to measure fair value in accordance with Topic 820, “Fair Value Measurement.” The adoption of this new guidance did not have any impact on the Company’s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Trademarks and Other Intangibles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Trademarks and other intangibles, net consist of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vMerge w:val="restart"/>
          </w:tcPr>
          <w:p>
            <w:pPr>
              <w:ind w:left="740"/>
              <w:spacing w:after="0"/>
              <w:rPr>
                <w:sz w:val="20"/>
                <w:szCs w:val="20"/>
                <w:color w:val="auto"/>
              </w:rPr>
            </w:pPr>
            <w:r>
              <w:rPr>
                <w:rFonts w:ascii="Arial" w:cs="Arial" w:eastAsia="Arial" w:hAnsi="Arial"/>
                <w:sz w:val="14"/>
                <w:szCs w:val="14"/>
                <w:b w:val="1"/>
                <w:bCs w:val="1"/>
                <w:color w:val="auto"/>
                <w:w w:val="93"/>
              </w:rPr>
              <w:t>September 30,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8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28,322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34,534</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Other intellectual property</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118,259</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107,675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vMerge w:val="restart"/>
          </w:tcPr>
          <w:p>
            <w:pPr>
              <w:ind w:left="760"/>
              <w:spacing w:after="0"/>
              <w:rPr>
                <w:sz w:val="20"/>
                <w:szCs w:val="20"/>
                <w:color w:val="auto"/>
              </w:rPr>
            </w:pPr>
            <w:r>
              <w:rPr>
                <w:rFonts w:ascii="Arial" w:cs="Arial" w:eastAsia="Arial" w:hAnsi="Arial"/>
                <w:sz w:val="14"/>
                <w:szCs w:val="14"/>
                <w:b w:val="1"/>
                <w:bCs w:val="1"/>
                <w:color w:val="auto"/>
                <w:w w:val="95"/>
              </w:rPr>
              <w:t>December 31,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2"/>
                <w:szCs w:val="12"/>
                <w:color w:val="auto"/>
              </w:rPr>
            </w:pPr>
          </w:p>
        </w:tc>
        <w:tc>
          <w:tcPr>
            <w:tcW w:w="9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2"/>
                <w:szCs w:val="12"/>
                <w:color w:val="auto"/>
              </w:rPr>
            </w:pP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Other intellectual property</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118,259</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111,095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Amortization expense for intangible assets was approximately $1.14 million for the three-month period ended September 30, 2020 (the "current quarter") and was approximately $0.83 million for the three-month period ended September 30, 2019 (the "prior year quarter"). Amortization expense for intangible assets was approximately $3.42 million for the nine-month period ended September 30, 2020 (the “current nine months”) and was approximately $2.43 million for the nine-month period ended September 30, 2019 (the “prior year nine months”).</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January 1, 2020, the Company determined that the Ripka Brand, inclusive of all its trademarks, has a finite life of 15 years, and is amortized on a straight-line basis accordingly. Prior to January 1, 2020, the Ripka Brand trademarks were considered indefinite-lived assets.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trademarks related to the Isaac Mizrahi Brand have been determined to have indefinite useful lives and, accordingly, no amortization has been recorded for these assets.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Significant Contracts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Under the Company’s agreements with QVC, QVC is required to pay the Company fees based primarily on a percentage of its net sales of Isaac Mizrahi, Ripka, and H Halston branded merchandise. QVC royalty revenue represents a significant portion of the Company’s total revenues.</w:t>
      </w:r>
    </w:p>
    <w:p>
      <w:pPr>
        <w:spacing w:after="0" w:line="184" w:lineRule="exact"/>
        <w:rPr>
          <w:sz w:val="20"/>
          <w:szCs w:val="20"/>
          <w:color w:val="auto"/>
        </w:rPr>
      </w:pPr>
    </w:p>
    <w:p>
      <w:pPr>
        <w:jc w:val="both"/>
        <w:ind w:left="1020" w:right="79" w:hanging="322"/>
        <w:spacing w:after="0" w:line="263"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revenues from QVC totaled $4.70 million and $5.16 million for the current and prior year quarter, respectively, representing approximately 64% and 47% of the Company’s total net revenues for the current and prior year quarter, respectively.</w:t>
      </w:r>
    </w:p>
    <w:p>
      <w:pPr>
        <w:spacing w:after="0" w:line="183"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revenues from QVC totaled $13.44 million and $17.96 million for the current and prior year nine months, respectively, representing approximately 61% and 59% of the Company’s total net revenues for the current and prior year nine months, respectively.</w:t>
      </w:r>
    </w:p>
    <w:p>
      <w:pPr>
        <w:spacing w:after="0" w:line="183" w:lineRule="exact"/>
        <w:rPr>
          <w:rFonts w:ascii="Arial" w:cs="Arial" w:eastAsia="Arial" w:hAnsi="Arial"/>
          <w:sz w:val="18"/>
          <w:szCs w:val="18"/>
          <w:color w:val="auto"/>
        </w:rPr>
      </w:pPr>
    </w:p>
    <w:p>
      <w:pPr>
        <w:jc w:val="both"/>
        <w:ind w:left="1020" w:right="79" w:hanging="322"/>
        <w:spacing w:after="0" w:line="263"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of September 30, 2020 and December 31, 2019, the Company had receivables from QVC of $4.72 million and $5.30 million, respectively, representing approximately 58% and 50% of the Company’s total receivables, respectively.</w:t>
      </w:r>
    </w:p>
    <w:p>
      <w:pPr>
        <w:spacing w:after="0" w:line="179" w:lineRule="exact"/>
        <w:rPr>
          <w:rFonts w:ascii="Arial" w:cs="Arial" w:eastAsia="Arial" w:hAnsi="Arial"/>
          <w:sz w:val="18"/>
          <w:szCs w:val="18"/>
          <w:color w:val="auto"/>
        </w:rPr>
      </w:pPr>
    </w:p>
    <w:p>
      <w:pPr>
        <w:ind w:left="240" w:hanging="190"/>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Accounts receivable are presented on the Company’s condensed consolidated balance sheets net of allowances of $1,163,000 and $155,000 as of September 30, 2020 and December 31, 2019, respectively. The Company recognized bad debt expense of $371,000 and $0 for the current quarter and prior year quarter, respectively, and recognized bad debt expense of $1,054,000 and a recovery of $(144,000) for the current nine months and prior year nine months, respectively.</w:t>
      </w:r>
    </w:p>
    <w:p>
      <w:pPr>
        <w:spacing w:after="0" w:line="15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Included within these amounts, the current quarter and current nine months reflect $385,000 and $971,000, respectively, of bad debt expense related to the bankruptcy of several retail customers due to the novel coronavirus disease pandemic. The total allowance of $971,000 against such customers’ outstanding receivable balances of $1.21 million at September 30, 2020 represents management’s best estimate of collectibility, based on information currently available.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 has operating leases for its current office, former office, and a planned retail store location, as well as certain equipment with a term of 12 months or less. The Company’s real estate leases have remaining lease terms of between 1 to 8 years.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Under GAAP, a lessee is generally required to recognize a liability for its obligation to make future lease payments (the lease liability) and a right-of-use (“ROU”) asset representing its right to use the underlying leased asset for the lease term. The Company determines if an arrangement is a lease at inception. Operating leases are recorded in operating lease ROU assets, current portion of operating lease liabilities, and long-term operating lease liabilities on the Company’s condensed consolidated balance sheets. The Company does not recognize lease liabilities and ROU assets for lease terms of 12 months or less, but recognizes such lease payments in net income on a straight-line basis over the lease terms.</w:t>
      </w:r>
    </w:p>
    <w:p>
      <w:pPr>
        <w:spacing w:after="0" w:line="16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Operating lease ROU assets and lease liabilities are recognized at commencement date based on the present value of lease payments over the lease term. As the Company’s leases typically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that the Company will exercise that option. Lease expense for operating lease payments related to office leases is recognized on a straight-line basis over the lease term. Lease expense for operating lease payments related to retail leases is recognized on a straight-line basis over the period of operation, as this is representative of the pattern in which benefit is derived from the lease.</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current and prior year quarter, lease expense included in selling, general and administrative expenses on the Company’s unaudited condensed consolidated statements of operations was $0.4 million. For the current and prior year nine months, lease expense included in selling, general and administrative expenses on the Company’s unaudited condensed consolidated statements of operations was $1.2 million.</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September 30, 2020, the weighted average remaining operating lease term was 6.4 years and the weighted average discount rate for operating leases was 6.25%.</w:t>
      </w:r>
    </w:p>
    <w:p>
      <w:pPr>
        <w:spacing w:after="0" w:line="170"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Cash paid for amounts included in the measurement of operating lease liabilities was $0.6 million in both the current quarter and prior year quarter, $1.2 million in the current nine months, and $1.8 million in the prior year nine months.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2020, the maturities of lease liabilities were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w:t>
            </w:r>
          </w:p>
        </w:tc>
      </w:tr>
      <w:tr>
        <w:trPr>
          <w:trHeight w:val="23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r>
      <w:tr>
        <w:trPr>
          <w:trHeight w:val="223"/>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w:t>
            </w:r>
          </w:p>
        </w:tc>
      </w:tr>
      <w:tr>
        <w:trPr>
          <w:trHeight w:val="23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lease liabilities</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9,101</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Note 12 of the Company’s Form 10-Q for the quarterly period ended June 30, 2020, the Company had previously disclosed (as a subsequent event) that it had entered into an assignment and assumption agreement with the landlord and subtenant at its former office location at 475 Tenth Avenue, New York, NY. However, this agreement was later voided during the current quarter, and ultimately was not consummated.</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net carrying amount of debt was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20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Unamortized deferred finance costs related to term loan</w:t>
            </w:r>
          </w:p>
        </w:tc>
        <w:tc>
          <w:tcPr>
            <w:tcW w:w="2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long-term debt</w:t>
            </w:r>
          </w:p>
        </w:tc>
        <w:tc>
          <w:tcPr>
            <w:tcW w:w="2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0" w:type="dxa"/>
            <w:vAlign w:val="bottom"/>
            <w:vMerge w:val="restart"/>
          </w:tcPr>
          <w:p>
            <w:pPr>
              <w:jc w:val="right"/>
              <w:ind w:right="175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Xcel Term Loan</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February 11, 2019, the Company entered into an amended loan agreement with Bank Hapoalim B.M. (“BHI”), which amended and restated the prior Xcel Term Loan. Immediately prior to February 11, 2019, the aggregate principal amount of the prior Xcel Term Loan was $14.5 million. Pursuant to the Xcel Term Loan agreement, the Lenders extended to Xcel an additional term loan in the amount of $7.5 million, such that, as of February 11, 2019, the aggregate outstanding balance of all the term loans extended by BHI to Xcel was $22.0 million, which amount was divided under the Xcel Term Loan agreement into two term loans: (1) a term loan in the amount of $7.3 million (“Term Loan A”) and (2) a term loan in the amount of $14.7 million (“Term Loan B” and, together with Term Loan A, the “Term Loans”).</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terms and conditions of the Xcel Term Loan resulted in significantly different debt service payment requirements compared with the prior term debt with BHI. Management assessed and determined that this amendment resulted in a loss on extinguishment of debt and recognized a loss of $0.2 million (consisting of unamortized deferred finance costs) during the prior year quarter. Upon entering into the Xcel Term Loan, Xcel paid an upfront fee in the amount of $0.09 million to BHI.</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Xcel Term Loan also allows that BHI and any other lender party to the Xcel Term Loan (collectively, the “Lenders”) can provide to Xcel a revolving loan facility and a letter of credit facility, the terms of each of which shall be agreed to by Xcel and the Lenders. Amounts advanced under the revolving loan facility (the “Revolving Loans”) will be used for the purpose of consummating acquisitions by Xcel or its subsidiaries that are or become parties to the Xcel Term Loan.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19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April 13, 2020, the Company amended its Second Amended and Restated Loan and Security Agreement with BHI. Under this amendment, the quarterly installment payment due March 31, 2020 was deferred, and the amounts of the quarterly installment payments due throughout the remainder of 2020 were reduced, while the amount of principal to be repaid through variable payments based on excess cash flow was increased. In addition, there were multiple changes and waivers to the various financial covenants. Further, this amendment permitted Xcel to incur unsecured debt through the Paycheck Protection Program (“PPP”) under the Coronavirus Aid, Relief, and Economic Security Act (“CARES Act”), and excludes any associated PPP debt and debt service from the covenant calculations. There were no changes to the total principal balance, interest rate, or maturity date.</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August 18, 2020, the Company further amended its Second Amended and Restated Loan and Security Agreement with BHI. Under this amendment, the amounts of the quarterly installment payments due throughout 2021 were reduced, and the amount of principal to be repaid through variable payments based on excess cash flow was increased. In addition, there were multiple changes and waivers to the various financial covenants. There were no changes to the total principal balance, interest rate, or maturity date.</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the Xcel Term Loan shall terminate no later than one year following the date of issuance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remaining principal balance of the Xcel Term Loan, as amended, outstanding at September 30, 2020 is payable in fixed installments as set forth in the following table, plus the variable payments as described below:</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in thousands)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7460" w:type="dxa"/>
            <w:vAlign w:val="bottom"/>
            <w:tcBorders>
              <w:top w:val="single" w:sz="8" w:color="auto"/>
            </w:tcBorders>
            <w:gridSpan w:val="2"/>
          </w:tcPr>
          <w:p>
            <w:pPr>
              <w:ind w:left="2800"/>
              <w:spacing w:after="0" w:line="142" w:lineRule="exact"/>
              <w:rPr>
                <w:sz w:val="20"/>
                <w:szCs w:val="20"/>
                <w:color w:val="auto"/>
              </w:rPr>
            </w:pPr>
            <w:r>
              <w:rPr>
                <w:rFonts w:ascii="Arial" w:cs="Arial" w:eastAsia="Arial" w:hAnsi="Arial"/>
                <w:sz w:val="14"/>
                <w:szCs w:val="14"/>
                <w:b w:val="1"/>
                <w:bCs w:val="1"/>
                <w:color w:val="auto"/>
              </w:rPr>
              <w:t>Installment Payment Dates</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Amount</w:t>
            </w:r>
          </w:p>
        </w:tc>
      </w:tr>
      <w:tr>
        <w:trPr>
          <w:trHeight w:val="210"/>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2021, June 30, 2021, September 30, 2021, and December 31,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2022, June 30, 2022, September 30, 2022, and December 31, 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16"/>
        </w:trPr>
        <w:tc>
          <w:tcPr>
            <w:tcW w:w="7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2023, June 30, 2023, September 30, 2023, and December 31, 2023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bl>
    <w:p>
      <w:pPr>
        <w:spacing w:after="0" w:line="20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to the fixed installments outlined above, commencing with the fiscal quarter ended March 31, 2021, the Company is required to repay a portion of the Xcel Term Loan in an amount equal to 50% of the excess cash flow for the fiscal quarter,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 To the extent that the cumulative amount of such variable repayments made is less than $4.45 million as of March 31, 2022, any such shortfall must be repaid at that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Thus, the aggregate remaining annual scheduled principal payments under the Xcel Term Loan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2"/>
        </w:trPr>
        <w:tc>
          <w:tcPr>
            <w:tcW w:w="7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Xcel has the right to prepay the Term Loans, Incremental Term Loans, Revolving Loans, and obligations with respect to letters of credit and accrued and unpaid interest thereon and to terminate the Lenders’ obligations to make Revolving Loans and issue letters of credit; provided that any prepayment of less than all of the outstanding balances of the Term Loans and Incremental Term Loans shall be applied to the remaining amounts due in inverse order of maturity.</w:t>
      </w:r>
    </w:p>
    <w:p>
      <w:pPr>
        <w:spacing w:after="0" w:line="15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one-half of one percent (0.50%) if any of Term Loan A is prepaid after the second anniversary of the Closing Date, but on or before the third anniversary of such date; or (v) zero percent (0.00%) if any Term Loan or any Incremental Term Loan is prepaid after the third anniversary of the later of the Closing Date or the date such Incremental Term Loan was made, as applicable.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Notwithstanding the above, Xcel may make a voluntary prepayment of up to $0.75 million without any early termination fees. Any such prepayment would be applied against the April 30, 2021 fixed installment payment and would be excluded from the computation of excess cash flows.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Xcel’s obligations under the Xcel Term Loan are guaranteed by and secured by all of the assets of Xcel and its wholly owned subsidiaries, as well as any subsidiary formed or acquired that becomes a credit party to the Xcel Term Loan agreement (the “Guarantors”) and, subject to certain limitations contained in the Xcel Term Loan, equity interests of the Guarantors. Xcel also granted the Lenders a right of first offer to finance any acquisition for which the consideration will be paid other than by cash of Xcel or by the issuance of equity interest of Xcel.</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Interest on Term Loan A accrues at a fixed rate of 5.1% per annum and is payable on each day on which the scheduled principal payments on Term Loans are required to be made. Interest on Term Loan B accrues at a fixed rate of 6.25% per annum and is payable on each day on which the scheduled principal payments on Term Loans are required to be made. Interest on the Revolving Loans will accrue at either the Base Rate or LIBOR, as elected by Xcel, plus a margin to be agreed to by Xcel and the Lenders and will be payable on the first day of each month. Base Rate is defined in the Xcel Term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Xcel Term Loan contains customary covenants, including reporting requirements, trademark preservation, and the following financial covenants of Xcel (on a consolidated basis with Xcel and the Guarantors under the Second Amended and Restated Loan and Security Agreement):</w:t>
      </w:r>
    </w:p>
    <w:p>
      <w:pPr>
        <w:spacing w:after="0" w:line="184" w:lineRule="exact"/>
        <w:rPr>
          <w:sz w:val="20"/>
          <w:szCs w:val="20"/>
          <w:color w:val="auto"/>
        </w:rPr>
      </w:pPr>
    </w:p>
    <w:p>
      <w:pPr>
        <w:ind w:left="1020" w:hanging="322"/>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worth as defined in the loan agreements of at least $90.0 million at the end of each fiscal quarter;</w:t>
      </w:r>
    </w:p>
    <w:p>
      <w:pPr>
        <w:spacing w:after="0" w:line="236" w:lineRule="exact"/>
        <w:rPr>
          <w:rFonts w:ascii="Arial" w:cs="Arial" w:eastAsia="Arial" w:hAnsi="Arial"/>
          <w:sz w:val="17"/>
          <w:szCs w:val="17"/>
          <w:color w:val="auto"/>
        </w:rPr>
      </w:pPr>
    </w:p>
    <w:p>
      <w:pPr>
        <w:jc w:val="both"/>
        <w:ind w:left="1020" w:right="79" w:hanging="322"/>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liquid assets of at least $3.0 million through December 31, 2020, at least $2.5 million for the fiscal quarters ending March 31, 2021 through September 30, 2021, at least $3.0 million for the fiscal quarter ending December 31, 2021, and at least $5.0 million thereafter;</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EBITDA shall not be less than $5.0 million for the twelve month fiscal period ending September 30, 2020;</w:t>
      </w:r>
    </w:p>
    <w:p>
      <w:pPr>
        <w:spacing w:after="0" w:line="236" w:lineRule="exact"/>
        <w:rPr>
          <w:rFonts w:ascii="Arial" w:cs="Arial" w:eastAsia="Arial" w:hAnsi="Arial"/>
          <w:sz w:val="17"/>
          <w:szCs w:val="17"/>
          <w:color w:val="auto"/>
        </w:rPr>
      </w:pPr>
    </w:p>
    <w:p>
      <w:pPr>
        <w:ind w:left="1020" w:right="79" w:hanging="322"/>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fixed charge coverage ratio for the twelve fiscal month period ending at the end of each fiscal quarter shall not be less than the ratio set forth below:</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820" w:type="dxa"/>
            <w:vAlign w:val="bottom"/>
            <w:gridSpan w:val="2"/>
          </w:tcPr>
          <w:p>
            <w:pPr>
              <w:ind w:left="1760"/>
              <w:spacing w:after="0"/>
              <w:rPr>
                <w:sz w:val="20"/>
                <w:szCs w:val="20"/>
                <w:color w:val="auto"/>
              </w:rPr>
            </w:pPr>
            <w:r>
              <w:rPr>
                <w:rFonts w:ascii="Arial" w:cs="Arial" w:eastAsia="Arial" w:hAnsi="Arial"/>
                <w:sz w:val="14"/>
                <w:szCs w:val="14"/>
                <w:b w:val="1"/>
                <w:bCs w:val="1"/>
                <w:color w:val="auto"/>
              </w:rPr>
              <w:t>Fiscal Quarter End</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Fixed Charge Coverage Ratio</w:t>
            </w:r>
          </w:p>
        </w:tc>
      </w:tr>
      <w:tr>
        <w:trPr>
          <w:trHeight w:val="195"/>
        </w:trPr>
        <w:tc>
          <w:tcPr>
            <w:tcW w:w="4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December 31, 2020, March 31, 2021, June 30, 2021, September</w:t>
            </w:r>
          </w:p>
        </w:tc>
        <w:tc>
          <w:tcPr>
            <w:tcW w:w="14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3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2021, and December 31, 2021</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 to 1.00</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March 31, 2022, and thereafter</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1.10 to 1.00</w:t>
            </w:r>
          </w:p>
        </w:tc>
      </w:tr>
    </w:tbl>
    <w:p>
      <w:pPr>
        <w:spacing w:after="0" w:line="187" w:lineRule="exact"/>
        <w:rPr>
          <w:sz w:val="20"/>
          <w:szCs w:val="20"/>
          <w:color w:val="auto"/>
        </w:rPr>
      </w:pPr>
    </w:p>
    <w:p>
      <w:pPr>
        <w:jc w:val="both"/>
        <w:ind w:left="1020" w:right="79" w:hanging="322"/>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(excluding any capitalized compensation costs) shall not exceed $1.6 million for the fiscal year ending December 31, 2020, and $0.7 million for any fiscal year beginning after December 31, 2020;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1020" w:right="33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leverage ratio for the twelve fiscal month period ending at the end of each fiscal period set forth below shall not exceed the ratio below:</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040" w:type="dxa"/>
            <w:vAlign w:val="bottom"/>
            <w:gridSpan w:val="2"/>
          </w:tcPr>
          <w:p>
            <w:pPr>
              <w:ind w:left="2040"/>
              <w:spacing w:after="0"/>
              <w:rPr>
                <w:sz w:val="20"/>
                <w:szCs w:val="20"/>
                <w:color w:val="auto"/>
              </w:rPr>
            </w:pPr>
            <w:r>
              <w:rPr>
                <w:rFonts w:ascii="Arial" w:cs="Arial" w:eastAsia="Arial" w:hAnsi="Arial"/>
                <w:sz w:val="14"/>
                <w:szCs w:val="14"/>
                <w:b w:val="1"/>
                <w:bCs w:val="1"/>
                <w:color w:val="auto"/>
              </w:rPr>
              <w:t>Fiscal Period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Leverage Ratio</w:t>
            </w: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3.15 to 1.00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June 30, 2021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3.00 to 1.00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2.50 to 1.00</w:t>
            </w:r>
          </w:p>
        </w:tc>
      </w:tr>
      <w:tr>
        <w:trPr>
          <w:trHeight w:val="230"/>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2022 and each Fiscal Quarter end thereafter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 to 1.00</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was in compliance with all applicable covenants as of September 30, 2020.</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For the current and prior year quarter, the Company incurred aggregate interest expense related to term loan debt of approximately $281,000 and $317,000, respectively. For the current nine months and prior year nine months, the Company incurred aggregate interest expense related to term loan debt of approximately $854,000 and $903,000, respectively. The effective interest rate related to term loan debt was approximately 6.6% for the current quarter and current nine months, approximately 6.7% for the prior year quarter, and approximately 6.8% for the prior year nine months.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Government assistance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Paycheck Protection Program (PPP)</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April 20, 2020, the Company executed a promissory note (the “Promissory Note”) with Bank of America, N.A., which provides for an unsecured loan in the amount of $1.806 million, pursuant to the PPP under the CARES Act. The loan has a two-year term and bears interest at a fixed rate of 1.0% per annum. Monthly principal and interest payments are deferred for six months after the date of disbursement. The loan may be prepaid at any time prior to maturity with no prepayment penalties. The Promissory Note contains events of default and other provisions customary for a loan of this type. The loan was funded on April 23, 2020.</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PPP also provides that this loan may be partially or wholly forgiven if the funds are used for certain qualifying expenses as described in the CARES Act, and later amended by the Paycheck Protection Program Flexibility Act (the "Flexibility Act") signed into law on June 5, 2020. Such forgiveness will be determined, subject to limitations, based on the use of loan proceeds for payment of payroll costs and any payments of mortgage interest, rent, and utilities. While management believes that it is probable that the loan will be forgiven in full, no definite assurance can be provided that forgiveness for any portion of the loan will be obtained. Management's determination that full forgiveness is probable is based on qualification under the Flexibility Act.</w:t>
      </w:r>
    </w:p>
    <w:p>
      <w:pPr>
        <w:spacing w:after="0" w:line="19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Management evaluated the legal and contractual terms associated with the loan, and concluded that, although the legal form of the loan is debt, it represents in substance a government grant that is expected to be forgiven. Given the lack of definitive authoritative guidance under GAAP for accounting for government grants, the Company analogized to accounting guidance under International Accounting Standard 20, “Accounting for Government Grants and Disclosure of Government Assistance.” Under such guidance, once it is probable that the conditions attached to the assistance will be met, the earnings impact of government grants is recorded on a systematic basis over the periods in which the entity recognizes as expenses the related costs for which the grants are intended to compensate. Accordingly, the Company recognized approximately $166,000 and $1,806,000 as a reduction to operating expenses in the current quarter and current nine months, respectively. No interest expense related to the loan has been recorded in the Company’s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Incentive Disaster Loan (EIDL)</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Concurrently with the PPP loan, in May 2020 the Company also received a $10,000 Economic Incentive Disaster Loan (EIDL) Advance through the U.S. Small Business Administration. The EIDL Advance represents a grant that does not have to be repaid, and as such, the Company has recognized $10,000 as a reduction to operating expenses in the current quarter and current nine months.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total, the Company recognized approximately $176,000 and $1,816,000 as a reduction to operating expenses in the current quarter and current nine months,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accounts for non-employee awards in accordance with ASU 2018-07, “Compensation - Stock Compensation (Topic 718) - Improvements to Nonemployee Share-Based Payment Accounting.” Such awards are measured at the grant-date fair value of the equity instruments to be issued, and the Company recognizes compensation cost for grants to non-employees on a straight-line basis over the period of the grant.</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Options granted under the Plan expire at various times - either five, seven, or ten years from the date of grant, depending on the particular grant.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stock options activity for the current nine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Options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7,222,625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481,250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September 30, 2020, and expected to vest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7,503,875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September 30, 2020</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3,067,125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On January 1, 2020, the Company granted options to purchase 5,000 shares of stock to a board observer. The exercise price of the options is $4.00 per share, and 50% of the options vest on each of January 1, 2021 and January 1, 2022.</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January 31, 2020, the Company granted options to purchase 75,000 shares of stock to a consultant. The exercise price of the options is $1.57 per share, and all options vested immediately on the date of grant.</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February 28, 2020, the Company granted options to purchase 50,000 shares of common stock to an employee. The exercise price is $1.40 per share, and the vesting of such options is dependent upon the Company achieving certain 12-month sales targets through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March 13, 2020, the Company granted options to purchase 50,000 shares of common stock to a certain key employee.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exercise price of the options is $5.50 per share, and all options vested immediately on the date of grant.</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March 31, 2020, the Company granted options to purchase 50,000 shares of common stock to an employee. The exercise price of the options is $0.61 per share, and one-third of the options shall vest on each of March 31, 2021, March 31, 2021, and March 31, 2022.</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 2020, the Company granted options to purchase an aggregate of 200,000 shares of commons stock to non-management directors. The exercise price of the options is $0.50 per share, and 50% of the options shall vest on each of April 1, 2021 and April 1, 2022.</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15, 2020, the Company granted options to purchase 13,500 shares of common stock to a consultant. The exercise price of the options is $3.00 per share. One-third of the options vested on June 30, 2020, and one-third of the options shall vest on each of September 30, 2020 and December 31, 2020.</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August 21, 2020, the Company granted options to purchase 22,750 shares of common stock to a consultant. The exercise price of the options is $1.00 per share, and all options shall vest on December 31, 2020.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September 28, 2020, the Company granted options to purchase 15,000 shares of common stock to an employee. The exercise price of the options is $0.71 per share, and one-third of the options shall vest on each of September 28, 2021, September 28, 2022, and September 28, 2023.</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$45,000 and $66,000, respectively. Compensation expense related to stock options for the current nine months and prior year nine months was approximately $158,000 and $382,000, respectively.</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Total unrecognized compensation expense related to unvested stock options at September 30, 2020 amounts to approximately $204,000 and is expected to be recognized over a weighted average period of approximately 1.24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non-vested stock options activity for the current nine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4,551,500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481,250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(413,500)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Forfeited or Canceled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(182,500)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4,436,750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Warrants expire at various times - either five or ten years from the date of grant, depending on the particular grant.</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warrants activity for the current nine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579,815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Outstanding and exercisable at September 30, 2020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579,815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63</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No compensation expense related to warrants was recognized in the current quarter, current nine months, prior year quarter, or prior year nine months.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restricted stock activity for the current nine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1,230,623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607,428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(1,057,218)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8"/>
                <w:szCs w:val="18"/>
                <w:color w:val="auto"/>
              </w:rPr>
              <w:t>Outstanding at September 30,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780,833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On March 30, 2020, the Company issued 336,700 shares of stock to a member of senior management as payment for a performance bonus earned in 2019. These shares vested immediately. The Company recognized compensation expense of $220,000 in 2019 ($168,000 in the prior year quarter and prior year nine months) to accrue for this performance bonus.</w:t>
      </w:r>
    </w:p>
    <w:p>
      <w:pPr>
        <w:spacing w:after="0" w:line="14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May 20, 2020, the Company issued an aggregate of 270,728 shares of stock to its employees. These shares vested immediately. The Company recognized approximately $265,000 of compensation expense in the current nine months related to this grant.</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Compensation expense related to restricted stock grants for the current and prior year quarter was approximately $11,000 and $47,000, respectively. Compensation expense related to restricted stock grants for the current nine months and prior year nine months was approximately $44,000 and $213,000, respectively.</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Total unrecognized compensation expense related to unvested restricted stock grants at June 30, 2020 amounts to approximately $21,000 and is expected to be recognized over a weighted average period of approximately 0.50 years.</w:t>
      </w:r>
    </w:p>
    <w:p>
      <w:pPr>
        <w:spacing w:after="0" w:line="1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also recognized approximately $ (7,000) and $313,000 of compensation expense in the current quarter and current nine months related to certain senior management bonuses payable in stock in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September 30, 2020, there were 1,254,920 shares of common stock available for issuance under the Plan.</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September 30, 2020, there were 9,338,610 shares of common stock reserved for issuance pursuant to unexercised warrants and stock options, or available for issuance under the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not paid any dividends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2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r>
      <w:tr>
        <w:trPr>
          <w:trHeight w:val="162"/>
        </w:trPr>
        <w:tc>
          <w:tcPr>
            <w:tcW w:w="4360" w:type="dxa"/>
            <w:vAlign w:val="bottom"/>
          </w:tcPr>
          <w:p>
            <w:pPr>
              <w:spacing w:after="0"/>
              <w:rPr>
                <w:sz w:val="14"/>
                <w:szCs w:val="14"/>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43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19,231,040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18,975,265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19,078,453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18,839,424</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Effect of exercise of warrants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8"/>
                <w:szCs w:val="18"/>
                <w:color w:val="auto"/>
              </w:rPr>
            </w:pPr>
          </w:p>
        </w:tc>
      </w:tr>
      <w:tr>
        <w:trPr>
          <w:trHeight w:val="210"/>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19,231,040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18,975,265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19,078,453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18,840,149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a result of the net loss presented for the current quarter, prior year quarter, and current nine months, the Company calculated diluted earnings per share using basic weighted average shares outstanding for such period, as utilizing diluted shares would be anti-dilutive to loss per share.</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computation of diluted EPS excludes the following potentially dilutive securities because their inclusion would be anti-dilutive: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62"/>
        </w:trPr>
        <w:tc>
          <w:tcPr>
            <w:tcW w:w="4380" w:type="dxa"/>
            <w:vAlign w:val="bottom"/>
          </w:tcPr>
          <w:p>
            <w:pPr>
              <w:spacing w:after="0"/>
              <w:rPr>
                <w:sz w:val="14"/>
                <w:szCs w:val="14"/>
                <w:color w:val="auto"/>
              </w:rPr>
            </w:pPr>
          </w:p>
        </w:tc>
        <w:tc>
          <w:tcPr>
            <w:tcW w:w="2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43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warrants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8,083,690</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8,469,440</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8,083,690</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8,419,375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hanging="410"/>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effective income tax rate for the current quarter and the prior year quarter was approximately 25% and 333%, respectively, resulting in an income tax (benefit) provision of $(0.15) million and $0.14 million, respectively.</w:t>
      </w:r>
    </w:p>
    <w:p>
      <w:pPr>
        <w:spacing w:after="0" w:line="14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effective income tax rate for the current nine months and prior year nine months was approximately 10% and 40%, respectively, resulting in an income tax (benefit) provision of $(0.27) million and $1.28 million, respectively.</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state taxes and recurring permanent differences, which increased the effective tax rate by approximately 12% and 18%, respectively, partially offset by the tax impact from the vesting of restricted shares of common stock, which was treated as a discrete item for tax purposes and decreased the effective rate by approximately 26%. The effective tax rate was also affected by the tax impact of a potential federal net operating loss carryback due to the CARES Act; this item increased the effective rate by approximately 3%.</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For the prior year quarter, the effective tax rate was primarily attributable to the tax impact from the vesting of restricted shares of common stock, which was treated as a discrete item for tax purposes; this item increased the effective rate by approximately 291%. The federal statutory rate also differed from the effective tax rate due to state taxes and recurring permanent differences, which increased the effective tax rate by approximately 8% and 12%, respectively.</w:t>
      </w:r>
    </w:p>
    <w:p>
      <w:pPr>
        <w:spacing w:after="0" w:line="15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For the current nine months, the federal statutory rate differed from the effective tax rate primarily due to the tax impact from the vesting of restricted shares of common stock, which was treated as a discrete item for tax purposes and decreased the effect rate by approximately 5%. The effective rate was also attributable to state taxes and recurring permanent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differences, which increased the effective tax rate by approximately 6% and decreased the effective tax rate by approximately 3%, respectively.</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For the prior year nine months, the federal statutory rate differed from the effective tax rate primarily due to state taxes and recurring permanent differences, which increased the effective tax rate by approximately 9% and 9%, respectively. The effective tax rate was also partially attributable to the tax impact from the vesting of restricted shares of common stock, which was treated as a discrete item for tax purposes; this item increased the effective rate by approximately 4%.</w:t>
      </w:r>
    </w:p>
    <w:p>
      <w:pPr>
        <w:spacing w:after="0" w:line="157"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On March 27, 2020, the CARES Act was enacted and signed into law. The CARES Act includes certain provisions impacting businesses’ income taxes related to 2018, 2019, and 2020. Some of the significant tax law changes are to increase the limitation on deductible business interest expense for 2019 and 2020, allow for the five-year carryback of net operating losses for 2018-2020, suspend the 80% limitation of taxable income for net operating loss carryforwards for 2018-2020, provide for the acceleration of depreciation expense from 2018 and forward on qualified improvement property, and accelerate the ability to claim refunds of AMT credit carryforwards. The Company is required to recognize the effect of tax law changes on its financial statements in the period in which the law was enacted. At this time, the Company may avail itself of the ability to carry back net operating losses generated in 2018 and 2019 tax years for five years, which would result in an estimated income statement benefit of $98,000 and tax refund receivable of $203,000.</w:t>
      </w:r>
    </w:p>
    <w:p>
      <w:pPr>
        <w:spacing w:after="0" w:line="162" w:lineRule="exact"/>
        <w:rPr>
          <w:sz w:val="20"/>
          <w:szCs w:val="20"/>
          <w:color w:val="auto"/>
        </w:rPr>
      </w:pPr>
    </w:p>
    <w:p>
      <w:pPr>
        <w:ind w:left="440" w:hanging="390"/>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Benjamin Malka was a director of the Company from June 2014 through September 2019. Mr. Malka is also a 25% equity holder of House of Halston LLC (“HOH”), and is the former Chief Executive Officer of HOH. HOH is the parent company of the H Company IP, LLC (“HIP”).</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February 11, 2019, the Company and its wholly owned subsidiary, H Heritage Licensing, LLC, entered into an asset purchase agreement (the "Heritage Asset Purchase Agreement") with HIP and HOH, pursuant to which the Company acquired certain assets of HIP, including the "Halston," "Halston Heritage," and "Roy Frowick" trademarks (collectively, the "Halston Heritage Trademarks") and other intellectual property rights relating thereto.</w:t>
      </w:r>
    </w:p>
    <w:p>
      <w:pPr>
        <w:spacing w:after="0" w:line="17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the Heritage Asset Purchase Agreement, at closing, the Company delivered in escrow for HIP or its designees (collectively, the “Sellers”) an aggregate of $8.4 million in cash and 777,778 shares of the Company’s common stock valued at $1.1 million (the “Xcel Shares”), subject to a voting agreement and a lock-up agreement relating to the Xcel Shares and a consent and waiver agreement each in form satisfactory to Xcel within three months from the date of the Heritage Asset Purchase Agreement. Such agreements were executed and delivered to Xcel, and the Xcel Shares were issued and delivered to the Sellers.</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addition to the closing considerations, HIP is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common stock of Xcel (the “Earn-Out Shares”); provided, however, that if the number of Earn-Out Shares, when combined with the number of Xcel Shares issued at the Closing Date, will exceed 4.99% of the aggregate number of shares of Xcel common stock outstanding as of the Closing Date (calculated in accordance with Nasdaq Rule 5635(a)) (the “Xcel Share Limit”), then Xcel may, in</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HIP;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Hilco Trading, LLC</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Hilco Trading, LLC ("Hilco") directly and indirectly owns greater than 5% of the Company's common stock, and its affiliate Hilco Global owns 50% of the equity of Longaberger Licensing, LLC. During the current quarter, the Company sold certain apparel products to an affiliate of Hilco, and recognized $151,000 of revenue from this transaction. Additionally, during the current quarter, the Company sold certain intangible assets of Longaberger Licensing, LLC to a third party; an affiliate of Hilco earned and was paid a commission of $46,000 related to the sale of these assets.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$29,000 and $42,000 for the current quarter and prior year quarter, respectively. Mrs. D’Loren received compensation of $99,000 and $125,000 for the current nine months and prior year nine months, respectively.</w:t>
      </w:r>
    </w:p>
    <w:p>
      <w:pPr>
        <w:spacing w:after="0" w:line="188" w:lineRule="exact"/>
        <w:rPr>
          <w:sz w:val="20"/>
          <w:szCs w:val="20"/>
          <w:color w:val="auto"/>
        </w:rPr>
      </w:pPr>
    </w:p>
    <w:p>
      <w:pPr>
        <w:ind w:left="460" w:hanging="410"/>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connection with the February 11, 2019 purchase of the Halston Heritage Trademarks from HIP, the Company agreed to pay HIP additional consideration (the “Halston Heritage Earn-Out”) of up to an aggregate of $6.0 million, based on royalties earned through December 31, 2022. The Halston Heritage Earn-Out of $0.9 million is recorded as a long-term liability at September 30, 2020 and December 31, 2019 in the accompanying condensed consolidated balance sheets, based on the difference between the fair value of the acquired assets of the Halston Heritage Trademarks and the total consideration paid. In accordance with Accounting Standards Codification (“ASC”) Topic 480, “Distinguishing Liabilities from Equity,” the Halston Heritage Earn-Out obligation is treated as a liability in the accompanying condensed consolidated balance sheets because of the variable number of shares payable under the agreement.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U.S. COVID-19 is having an unprecedented impact on the U.S. economy as federal, state, and local governments react to this public health crisis.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impacts of the current COVID-19 pandemic are broad reaching and are having an impact on the Company’s licensing and wholesale businesses. The COVID-19 pandemic is impacting the Company’s supply chain as most of the Company’s products are manufactured in China, Thailand, and other places around the world affected by this event. Temporary factory closures and the pace of workers returning to work have impacted contract manufacturers’ ability to source certain raw materials and to produce finished goods in a timely manner. The outbreak is also impacting distribution and logistics providers' ability to operate in the normal course of business. Further, the pandemic has resulted in a sudden and continuing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decrease in sales for many of the Company’s products, resulting in order cancellations, and a decrease in accounts receivable collections, as the Company recorded approximately $1 million of additional allowance for doubtful accounts for the nine months ended September 30, 2020 for retailers that have filed for bankruptcy.</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COVID-19 outbreak, there is significant uncertainty surrounding the potential impact on the Company’s future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Compliance with Listing Rules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August 6, 2020, the Company received a letter from the Listing Qualifications Department of The Nasdaq Stock Market (“Nasdaq”) notifying Xcel that the minimum bid price per share for its common stock fell below $1.00 for a period of 30 consecutive business days. Therefore, the Company did not meet the minimum bid price requirement set forth in the Nasdaq Listing Rules.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letter also states that pursuant to Nasdaq Listing Rules 5810(c)(3)(A), the Company will be provided 180 calendar days to regain compliance with the minimum bid price requirement, or until February 2, 2021.</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Xcel can regain compliance if, at any time during the Tolling Period or such 180-day period, the closing bid price of its common stock is at least $1.00 for a minimum period of 10 consecutive business days. If by February 2, 2021, the Company does not regain compliance with the Nasdaq Listing Rules, it may be eligible for additional time to regain compliance pursuant to Nasdaq Listing Rule 5810(c)(3)(A)(ii). To qualify, Xcel would need to submit a transfer application and a $5,000 application fee. The Company would also need to provide written notice to Nasdaq of its intention to cure the minimum bid price deficiency during the second compliance period by effecting a reverse stock split, if necessary. As part of its review process, the Nasdaq staff will make a determination of whether it believes the Company will be able to cure this deficiency. Should the Nasdaq staff conclude that Xcel will not be able to cure the deficiency, or should management determine not to submit a transfer application or make the required representation, Nasdaq will provide notice that the Company’s shares of common stock will be subject to delisting.</w:t>
      </w:r>
    </w:p>
    <w:p>
      <w:pPr>
        <w:spacing w:after="0" w:line="18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If the Company does not regain compliance within the allotted compliance period, including any extensions that may be granted by Nasdaq, Nasdaq will provide notice that Xcel’s shares of common stock will be subject to delisting from the Nasdaq Global Select Market. At such time, the Company may appeal the delisting determination to a hearings panel.</w:t>
      </w:r>
    </w:p>
    <w:p>
      <w:pPr>
        <w:spacing w:after="0" w:line="14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Management intends to monitor the Company’s common stock closing bid price between now and February 2, 2021, and will consider available options to resolve the Company’s noncompliance with the minimum bid price requirement, as may be necessary. There can be no assurance that the Company will be able to regain compliance with the minimum bid price requirement or will otherwise be in compliance with other Nasdaq listing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The statements that are not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2019.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Xcel Brands, Inc. (“Xcel,” the “Company,” “we,” “us,” or “our”) is a media and consumer products company engaged in the design, production, marketing, wholesale distribution, and direct-to-consumer sales of branded apparel, footwear, accessories, jewelry, home goods and other consumer products, and the acquisition of dynamic consumer lifestyle brands. Xcel was founded by Robert W. D’Loren in 2011 with a vision to reimagine shopping, entertainment, and social as one. The Company owns and manages the Isaac Mizrahi brands (the "Isaac Mizrahi Brand"), the Judith Ripka brands (the "Ripka Brand"), the Halston brands ("Halston Brand"), and the C Wonder brands (the "C Wonder Brand”). The Company also owns and manages the Longaberger brand (the “Longaberger Brand”) through its 50% ownership interest in Longaberger Licensing, LLC. The Company and its licensees distribute through a ubiquitous channel retail sales strategy which includes distribution through interactive television, the Internet and e-commerce, and traditional brick-and-mortar retail channels. Headquartered in New York City, Xcel is led by an executive team with significant production, merchandising, design, marketing, retailing, and licensing experience, and a proven track record of success in elevating branded consumer product companies. With an experienced team of professionals focused on design, production, and digital marketing, Xcel maintains control of product quality and promotion across all of its product categories and distribution channels.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grow our brands, we are focused on following primary strategies:</w:t>
      </w:r>
    </w:p>
    <w:p>
      <w:pPr>
        <w:spacing w:after="0" w:line="170" w:lineRule="exact"/>
        <w:rPr>
          <w:sz w:val="20"/>
          <w:szCs w:val="20"/>
          <w:color w:val="auto"/>
        </w:rPr>
      </w:pPr>
    </w:p>
    <w:p>
      <w:pPr>
        <w:ind w:left="1020" w:right="79" w:hanging="322"/>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distribution and/or licensing of our brands for sale through interactive television (i.e. QVC, The Shopping Channel) whereby we design, manage production, merchandise the shows, and manage the on-air talent;</w:t>
      </w:r>
    </w:p>
    <w:p>
      <w:pPr>
        <w:spacing w:after="0" w:line="123" w:lineRule="exact"/>
        <w:rPr>
          <w:rFonts w:ascii="Arial" w:cs="Arial" w:eastAsia="Arial" w:hAnsi="Arial"/>
          <w:sz w:val="16"/>
          <w:szCs w:val="16"/>
          <w:color w:val="auto"/>
        </w:rPr>
      </w:pPr>
    </w:p>
    <w:p>
      <w:pPr>
        <w:jc w:val="both"/>
        <w:ind w:left="1020" w:right="79" w:hanging="322"/>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 of our brands through our e-commerce sites directly to the end consumer; and</w:t>
      </w:r>
    </w:p>
    <w:p>
      <w:pPr>
        <w:spacing w:after="0" w:line="22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quickly integrate additional consumer brands into our operating platform and leverage our design, production, and marketing capabilities, and distribution relationships.</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1020" w:right="79" w:hanging="32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79" w:hanging="322"/>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significant media and internet presence and distribution.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believe that our strategy distinguishes us from other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multiple distribution channels. By leveraging digital and social media content across all distribution channels, we seek to drive consumer engagement and generate retail sales across our brands. Our strong relationships with leading retailers and interactive television companies and cable networks enable us to reach consumers in over 380 million homes worldwide and hundreds of millions of social media followers.</w:t>
      </w:r>
    </w:p>
    <w:p>
      <w:pPr>
        <w:spacing w:after="0" w:line="19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believe our design, production and supply chain platform provides significant competitive advantages compared with traditional wholesale apparel companies that design, manufacture, and distribute products. We focus on our core competencies of design, integrated technologies, design, production and supply chain platform, marketing, and brand development. We believe that we offer a 360-degree solution to our retail partners that addresses many of the challenges facing the retail industry today. We believe our platform is highly scalable. Additionally, we believe we can quickly integrate additional brands into our platform in order to leverage our design, production, and marketing capabilities, and distribution network.</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Three months ended September 30, 2020 (the “current quarter”) compared with the three months ended September 30, 2019 (the “prior year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Current quarter net revenue decreased approximately $3.5 million to $7.4 million from $10.9 million for the prior year quarter.</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licensing revenue decreased by approximately $1.2 million in the current quarter to $5.2 million, compared with $6.4 million in the prior year quarter. Approximately half of this decline was attributable to a reduction in guaranteed minimum revenues from one of our existing licensing arrangements upon renewal effective January 1, 2020. The remaining portion of the decline in licensing revenue was driven by lower sales by our licensees as a result of an overall slowdown in economic activity related to the ongoing COVID-19 pandemic.</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Net product sales decreased by approximately $2.3 million in the current quarter to $2.2 million, compared with $4.5 million in the prior year quarter. The decline in net product sales was the result of canceled and reduced wholesale orders caused by an overall slowdown in economic activity related to the ongoing COVID-19 pandemic.</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Current quarter cost of goods sold was $1.3 million, compared with $3.0 million for the prior year quarter due to lower volume of wholesale and e-commerce sales in the current quarter. Gross profit (net revenue less cost of goods sold) decreased approximately $1.9 million to $6.1 million from $8.0 million in the prior year quarter, primarily driven by the aforementioned decline in net licensing revenue.</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Total gross profit margin increased from 73% in the prior year quarter to 83% in the current quarter, reflecting the proportional shift of revenue mix towards licensing revenues in the current quarter. Gross profit margin from product sales increased from 35% in the prior year quarter to 41% in the current quarter as a result of achieving greater efficiencies.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Operating costs and expenses decreased approximately $1.1 million from $7.6 million in the prior year quarter to $6.5 million in the current quarter. This reduction was primarily attributable to cost reduction actions taken by management in response to the COVID-19 pandemic, including temporary reductions of employee compensation and cutting non-essential costs. Also contributing to the reduction was government assistance received through the Paycheck Protection Program under the CARES Act, for which the Company recognized $0.2 million as a reduction to current quarter expenses, the recovery of $0.2 million of expenses previously recognized in 2019 for a potential acquisition which ultimately was not consummated, and a $0.2 million decrease in stock-based compensation costs. Partially offsetting these decreases in operating costs and expenses was a $0.4 million increase in depreciation and amortization expense, primarily due to the change in estimated life for the Judith Ripka trademarks, and $0.4 million of bad debt expense related to the bankruptcy of several retail customers due to the COVID-19 pandemic.</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the current quarter, we recognized a $0.05 million net gain on the sale of certain assets related to the Longaberger brand.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and finance expense for the current quarter was $0.3 million, compared with $0.3 million for the prior year quarter.</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25% and 333%, respectively, resulting in an income tax (benefit) provision of $(0.1) million and $0.1 million, respectively.</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state taxes and recurring permanent differences, which increased the effective tax rate by approximately 12% and 18%, respectively, partially offset by the tax impact from the vesting of restricted shares of common stock, which was treated as a discrete item for tax purposes and decreased the effective rate by approximately 26%. The effective tax rate was also affected by the tax impact of a potential federal net operating loss carryback due to the CARES Act; this item increased the effective rate by approximately 3%.</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For the prior year quarter, the effective tax rate was primarily attributable to the tax impact from the vesting of restricted shares of common stock, which was treated as a discrete item for tax purposes; this item increased the effective rate by approximately 291%. The federal statutory rate also differed from the effective tax rate due to state taxes and recurring permanent differences, which increased the effective tax rate by approximately 8% and 12%, respectively.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had a net loss of $(0.5) million for the current quarter, compared with net loss of $(0.1) million for the prior year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had non-GAAP net income of approximately $0.8 million, or $0.04 per diluted share (“non-GAAP diluted EPS”), for the current quarter and $1.2 million, or $0.06 per diluted share, for the prior year quarter. Non-GAAP net income is a non-GAAP unaudited term, which we define as net income (loss), exclusive of amortization of trademarks, stock-based compensation, non-cash interest and finance expense from discounted debt related to acquired assets, loss on extinguishment of debt, gain on sales of assets, gain on reduction of contingent obligations, costs (recoveries) in connection with potential acquisitions, certain adjustments to allowances for doubtful accounts related to debtors that have filed for bankruptcy protection triggered by the impact of COVID-19, asset impairments, and deferred income taxes. Non-GAAP</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net income and non-GAAP diluted EPS measures do not include the tax effect of the aforementioned adjusting items, due to the nature of these items and the Company’s tax strategy.</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had Adjusted EBITDA of $1.4 million for the current quarter, compared with Adjusted EBITDA of $1.8 million for the prior year quarter. Adjusted EBITDA is a non-GAAP unaudited measure, which we define as net income (loss) before depreciation and amortization, interest and finance expenses (including loss on extinguishment of debt, if any), income taxes, other state and local franchise taxes, stock-based compensation, gain on reduction of contingent obligations, gain on sale of assets, costs (recoveries) in connection with potential acquisitions, asset impairments, and certain adjustments to allowances for doubtful accounts related to debtors that have filed for bankruptcy protection triggered by the impact of COVID-19.</w:t>
      </w:r>
    </w:p>
    <w:p>
      <w:pPr>
        <w:spacing w:after="0" w:line="19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 The Company has incurred certain costs which it could have eliminated but elected not to do so in light of government assistance received through the Paycheck Protection Program under the CARES Act (the “PPP Benefit”), which represents a cash benefit directly related to the Company’s operating expenses incurred. Accordingly, the PPP Benefit is not considered a reconciling item for purposes of the computation of non-GAAP net income and Adjusted EBITDA. Adjusted EBITDA is the measure used to calculate compliance with the EBITDA covenant under the Xcel Term Loan.</w:t>
      </w:r>
    </w:p>
    <w:p>
      <w:pPr>
        <w:spacing w:after="0" w:line="18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net loss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impairment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Deferred income tax (benefit) provision</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27"/>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Property and equipment impairment</w:t>
            </w: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Deferred income tax (benefit) provision</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19,291,275</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19,559,816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Adjusted EBITDA: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3"/>
          </w:tcPr>
          <w:p>
            <w:pPr>
              <w:jc w:val="right"/>
              <w:ind w:right="170"/>
              <w:spacing w:after="0" w:line="149" w:lineRule="exact"/>
              <w:rPr>
                <w:sz w:val="20"/>
                <w:szCs w:val="20"/>
                <w:color w:val="auto"/>
              </w:rPr>
            </w:pPr>
            <w:r>
              <w:rPr>
                <w:rFonts w:ascii="Arial" w:cs="Arial" w:eastAsia="Arial" w:hAnsi="Arial"/>
                <w:sz w:val="14"/>
                <w:szCs w:val="14"/>
                <w:b w:val="1"/>
                <w:bCs w:val="1"/>
                <w:color w:val="auto"/>
              </w:rPr>
              <w:t>September 30,</w:t>
            </w:r>
          </w:p>
        </w:tc>
        <w:tc>
          <w:tcPr>
            <w:tcW w:w="8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Xcel Brands, Inc. stockholders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(Recovery of) costs in connection with potential acquisition</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Certain adjustments to allowances for doubtful accounts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impairment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sale of assets</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Both non-GAAP net income and Adjusted EBITDA for the current quarter include an adjustment to net (loss) income for allowances for doubtful accounts related to account debtors that have filed for bankruptcy protection triggered by the impact of COVID-19. In addition, net loss for the current quarter includes $0.2 million of PPP Benefit, which was recognized as a reduction to current quarter expenses for which the program was intended to compensate. As such, this amount is included in net (loss) income in accordance with GAAP. The expense reduction from the PPP is not considered a reconciling item for purposes of the computation of non-GAAP net income and Adjusted EBITDA due to the fact that the</w:t>
      </w:r>
    </w:p>
    <w:p>
      <w:pPr>
        <w:spacing w:after="0" w:line="4" w:lineRule="exact"/>
        <w:rPr>
          <w:sz w:val="20"/>
          <w:szCs w:val="20"/>
          <w:color w:val="auto"/>
        </w:rPr>
      </w:pPr>
    </w:p>
    <w:p>
      <w:pPr>
        <w:ind w:left="60" w:right="59" w:hanging="10"/>
        <w:spacing w:after="0" w:line="323" w:lineRule="auto"/>
        <w:tabs>
          <w:tab w:leader="none" w:pos="4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Benefit represents a cash benefit and is directly related to the Company’s operating expenses incurred. Such treatment is also consistent with the calculation of EBITDA for financial covenant compliance purposes under the Xcel Term Loan.</w:t>
      </w:r>
    </w:p>
    <w:p>
      <w:pPr>
        <w:spacing w:after="0" w:line="138"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Nine months ended September 30, 2020 (the “current nine months”) compared with the nine months ended September 30, 2019 (the “prior year nine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Current nine months net revenue decreased approximately $8.4 million to $22.0 million from $30.4 million for the prior year nine months.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licensing revenue decreased by approximately $5.7 million in the current nine months to $15.4 million, compared with $21.1 million in the prior year nine months. This decline was primarily driven by a combination of (i) lower customer sales by our licensees as a result of government-ordered retail store closures as well as an overall slowdown in economic activity related to the COVID-19 pandemic, (ii) revenues from one of our existing licensing arrangements changing from guaranteed minimum amounts to sales-based royalties effective April 1, 2019, and (iii) a reduction in guaranteed minimum revenues from another of our existing licensing arrangements upon renewal effective January 1, 2020.</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product sales decreased by approximately $2.7 million in the current nine months to $6.6 million, compared with approximately $9.3 million in the prior year nine months. The decline in net product sales was primarily driven by lower sales as a result of government-ordered retail store closures as well as an overall slowdown in economic activity related to the COVID-19 pandemic during the second and third quarters of 2020, partially offset by volume growth in our apparel wholesale business in the first quarter of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Current nine months cost of goods sold was $3.9 million, compared with $6.5 million for the prior year nine months due to lower overall volume of wholesale and e-commerce sales in the current nine months. Gross profit (net revenue less cost of goods sold) decreased approximately $5.8 million to $18.0 million from $23.8 million in the prior year nine months, primarily driven by the aforementioned decline in net licensing revenue.</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Gross profit margin from product sales increased from 29% in the prior year nine months to 40% in the current nine months as a result of achieving greater efficiencies in our wholesale business operations. Total gross profit margin was 78% in the prior year nine months and 82% in the current nine months, up slightly due to the aforementioned increase in gross profit margins for product sales, while the proportional mix between licensing revenue and product sales was essentially unchanged.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Operating costs and expenses decreased approximately $2.3 million from $22.4 million in the prior year nine months to $20.1 million in the current nine months. This reduction was primarily due to various cost reduction actions taken by management in response to the COVID-19 pandemic, including temporary reductions of employee compensation and cutting non-essential costs, as well as government assistance received through the Paycheck Protection Program under the CARES Act, for which the Company recognized $1.8 million as a reduction to current nine months expenses. Partially offsetting these reductions was a $1.1 million increase in depreciation and amortization expense, primarily due to the change in estimated life for the Judith Ripka trademarks, and $1.0 million of bad debt expense recognized in the current nine months related to the bankruptcy of several retail customers due to the COVID-19 pandemic.</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the current quarter, we recognized a $0.05 million net gain on the sale of certain assets related to the Longaberger brand.</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During the prior year nine months, we recognized a $2.9 million gain on the reduction of contingent obligations related to the 2015 acquisition of the C Wonder Brand. As part of that acquisition, the seller was eligible to earn additional consideration based on future royalties related to the C Wonder Brand exceeding certain thresholds, and we recorded a liability for the potential future payment of such consideration. The final earn-out period ended on June 30, 2019, and the seller ultimately did not earn any additional consideration under the terms of the purchase agreement.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Interest and finance expense for the current nine months was $0.9 million, compared with $1.2 million for the prior year nine months. This decrease is primarily attributable to the fact that the prior year nine months includes a $0.2 million loss on extinguishment of debt as a result of the February 11, 2019 term loan amendment, with no such comparable extinguishment loss in the current nine months.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effective income tax rate for the current nine months and the prior year nine months was approximately 10% and 40%, respectively, resulting in an income tax (benefit) provision of $(0.3) million and $1.3 million, respectively.</w:t>
      </w:r>
    </w:p>
    <w:p>
      <w:pPr>
        <w:spacing w:after="0" w:line="14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the current nine months, the federal statutory rate differed from the effective tax rate primarily due to the tax impact from the vesting of restricted shares of common stock, which was treated as a discrete item for tax purposes and decreased the effect rate by approximately 5%. The effective rate was also attributable to state taxes and recurring permanent differences, which increased the effective tax rate by approximately 6% and decreased the effective tax rate by approximately 3%, respectively.</w:t>
      </w:r>
    </w:p>
    <w:p>
      <w:pPr>
        <w:spacing w:after="0" w:line="188"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For the prior year nine months, the federal statutory rate differed from the effective tax rate primarily due to state taxes and recurring permanent differences, which increased the effective tax rate by approximately 9% and 9%, respectively. The effective tax rate was also partly attributable to the tax impact from the vesting of restricted shares of common stock, which was treated as a discrete item for tax purposes; this item increased the effective rate by approximately 4%</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had a net loss of $(2.6) million for the current nine months, compared with net income of $1.9 million for the prior year nine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We had non-GAAP net income of approximately $2.1 million, or $0.11 per diluted share (“non-GAAP diluted EPS”), for the current nine months and $3.8 million, or $0.20 per diluted share, for the prior year nine months. We had Adjusted EBITDA of $3.9 million for the current nine months, compared with Adjusted EBITDA of $5.6 million for the prior year nine months.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interest and finance expense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impairment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Gain on reduction of contingent obligation</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 (benefit) provision</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Non-GAAP 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earnings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27"/>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and finance expense</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2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Property and equipment impairment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Gain on reduction of contingent obligation</w:t>
            </w: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(benefit) provision</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19,092,828</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18,840,149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2"/>
                <w:szCs w:val="12"/>
                <w:color w:val="auto"/>
              </w:rPr>
            </w:pPr>
          </w:p>
        </w:tc>
        <w:tc>
          <w:tcPr>
            <w:tcW w:w="1880" w:type="dxa"/>
            <w:vAlign w:val="bottom"/>
            <w:gridSpan w:val="3"/>
          </w:tcPr>
          <w:p>
            <w:pPr>
              <w:jc w:val="right"/>
              <w:ind w:right="147"/>
              <w:spacing w:after="0" w:line="149" w:lineRule="exact"/>
              <w:rPr>
                <w:sz w:val="20"/>
                <w:szCs w:val="20"/>
                <w:color w:val="auto"/>
              </w:rPr>
            </w:pPr>
            <w:r>
              <w:rPr>
                <w:rFonts w:ascii="Arial" w:cs="Arial" w:eastAsia="Arial" w:hAnsi="Arial"/>
                <w:sz w:val="14"/>
                <w:szCs w:val="14"/>
                <w:b w:val="1"/>
                <w:bCs w:val="1"/>
                <w:color w:val="auto"/>
              </w:rPr>
              <w:t>September 30,</w:t>
            </w:r>
          </w:p>
        </w:tc>
        <w:tc>
          <w:tcPr>
            <w:tcW w:w="9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Xcel Brands, Inc. stockholders</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finance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Income tax (benefit) provision</w:t>
            </w: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(269)</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and local franchise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impairment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reduction of contingent obligation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2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Both non-GAAP net income and Adjusted EBITDA for the current nine months include certain adjustment to net (loss) income including allowances for doubtful accounts for account debtors that have filed for bankruptcy protection triggered by the impact of COVID-19. In addition, net loss for the current nine months includes $1.8 million of government assistance received through the Paycheck Protection Program under the CARES Act, which was recognized as a reduction to current nine months expenses for which the program was intended to compensate. As such, the PPP Benefit is included in net (loss) income in accordance with GAAP. Such treatment is also consistent with the calculation of EBITDA for financial covenant compliance purposes under the Xcel Term Loan.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As of September 30, 2020 and December 31, 2019, our cash and cash equivalents were $4.8 million and $4.6 million, respectively.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Restricted cash at September 30, 2020 and at December 31, 2019 consisted of $1.1 million of cash deposited with BHI as collateral for an irrevocable standby letter of credit associated with the lease of our current corporate office and operating facility.</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April 23, 2020, we received $1.8 million from Bank of America through the PPP. We used the proceeds primarily to pay for payroll costs, and we believe it is probable that the loan will be forgiven under the terms of the PPP.</w:t>
      </w:r>
    </w:p>
    <w:p>
      <w:pPr>
        <w:spacing w:after="0" w:line="14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term debt service obligations, and capital expenditure needs, for at least the twelve months subsequent to the filing date of this Quarterly Report on Form 10-Q.</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working capital (current assets less current liabilities, excluding the current portion of operating lease obligations and any contingent obligations payable in common stock) was $8.7 million and $9.5 million as of September 30, 2020 and December 31, 2019, respectively. Working capital decreased by approximately $0.8 million during the first nine months of 2020 primarily due to the $0.6 million increase in the current portion of long-term debt.</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Commentary on the components of our cash flows for the current nine months as compared with the prior year nine months is set forth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cash provided by operating activities was approximately $2.2 million in the current nine months, compared with approximately $3.0 million in the prior year nine months.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current nine months cash provided by operating activities was primarily attributable to the combination of the net loss of $(2.6) million plus non-cash expenses of approximately $5.8 million and the net change in operating assets and liabilities of approximately $(0.9) million. The net loss of $(2.6) million includes $1.8 million of government assistance received through the PPP under the CARES Act, which was recognized as a reduction to current nine months expenses for which the program was intended to compensate. Non-cash net expenses were primarily comprised of $4.1 million of depreciation and amortization, $0.8 million of stock-based compensation, $1.1 million of bad debt expense, and a deferred income tax benefit of $(0.3) million. The net change in operating assets and liabilities includes a decrease in accounts receivable of $1.4 million, a decrease in accounts payable, accrued expenses and other current liabilities of $(2.4) million, a decrease in inventory of $0.2 million, a decrease in prepaid expenses and other assets of $0.2 million, and cash paid in excess of rent expense of $(0.3) million. The net change in accounts receivable is attributable to a combination of the timing of collections, increased allowance for doubtful accounts, and lower revenues recognized as a result of the COVID-19 pandemic. The net change in accounts payable, accrued expenses and other current liabilities is due to timing of payments, as well as actions taken by management in response to the COVID-19 pandemic to conserve cash.</w:t>
      </w:r>
    </w:p>
    <w:p>
      <w:pPr>
        <w:spacing w:after="0" w:line="17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prior year nine months cash provided by operating activities was primarily attributable to the combination of net income of $1.9 million plus non-cash expenses of approximately $2.3 million, partially offset by a net change in operating assets and liabilities of approximately $(1.2) million. Non-cash net expenses primarily consisted of $0.8 million of stock-based compensation, $2.9 million of depreciation and amortization, loss on extinguishment of debt of $0.2 million, deferred income tax provision of $1.3 million, and gain on reduction of contingent obligations of $(2.9) million. The net change from operating assets and liabilities included a decrease in accounts receivable of $1.2 million, an increase in inventory of approximately $(0.1) million, a decrease in accounts payable, accrued expenses and other current liabilities of $(1.7) million, and a decrease in other liabilities of $(0.2) million, all of which are primarily due to timing of collections and payments, and cash paid in excess of rent expense of $(0.3)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Net cash used in investing activities for the current nine months was approximately $0.7 million, compared with approximately $9.7 million in the prior year nine months. Cash used in investing activities for in the current nine months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was primarily attributable to capital expenditures, a substantial portion of which relates to the implementation of our ERP system, while cash used in investing activities for the prior year nine months was primarily related to cash consideration paid to acquire the Halston Heritage Brands.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(used in) financing activities for the current nine months was approximately $(1.4) million, and was primarily attributable to payments made on long-term debt obligations of $(1.5) million, cash contributions received from the non-controlling interest holder in Longaberger Licensing, LLC of $0.3 million, and $(0.2) million of shares repurchased related to vested restricted stock in exchange for withholding taxes.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provided by financing activities for the prior year nine months was approximately $3.4 million, primarily attributable to proceeds received from long-term debt of $7.5 million, partially offset by payments made on long-term debt obligations of $(3.0) million, the final payment on the IM Seller Note obligation of $(0.7) million, and payment of $(0.3) million of deferred finance costs.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Halston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have transitioned our department store business from a licensing model to a wholesale model, and continue to work towards expanding our Judith Ripka Fine Jewelry wholesale and e-commerce business. Our strategy is to manage our working capital needs by utilizing back-to-back sales and purchase orders and minimizing inventory risk. This change should, on a long-term basis, increase our revenues as compared to the licensing model. We expect to develop a core licensing business for the Longaberger brand, in addition to a direct-to-consumer business.</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we continue to seek new opportunities, including expansion through interactive television, our design, production and supply chain platform, additional domestic and international licensing arrangements, and acquiring additional brands.</w:t>
      </w:r>
    </w:p>
    <w:p>
      <w:pPr>
        <w:spacing w:after="0" w:line="184"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However, the impacts of the current COVID-19 pandemic are broad reaching and are having an impact on our licensing and wholesale businesses. The COVID-19 pandemic is impacting our supply chain as most of our products are manufactured in China, Thailand, and other places around the world affected by this event.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pandemic has affected the financial health of certain of our customers, and the bankruptcy of certain other customers, including Lord &amp; Taylor and Le Tote, Stein Mart, and Century 21, from which we had an aggregate of $1.21 million of accounts receivable due at September 30, 2020. As a result, we have recognized an allowance for doubtful accounts of $0.97 million for the nine months ended September 30, 2020,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The impact of the COVID-19 pandemic is expected to continue to have an adverse effect on our operating results, which could result in our inability to comply with certain debt covenants and require BHI to waive compliance with, or agree to amend, any such covenant to avoid a default. The COVID-19 pandemic is ongoing,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the remainder of 2020. However, as of the date of this filing, we expect our results for 2020 and potentially 2021 to be significantly affected.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Please refer to our Annual Report on Form 10-K for the year ended December 31, 2019, filed with the SEC on April 14, 2020, for a discussion of our critical accounting policies. During the three and nine months ended September 30, 2020, there were no material changes to our accounting policies.</w:t>
      </w:r>
    </w:p>
    <w:p>
      <w:pPr>
        <w:spacing w:after="0" w:line="180"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2020, the end of the period covered by this report. Based on, and as of the date of such evaluation, the Chief Executive Officer and the Chief Financial Officer have concluded that our disclosure controls and procedures were effective as of September 30, 2020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September 30, 2020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Risk Factors set forth in Part I, Item 1A, “Risk Factors” of our Annual Report on Form 10-K for the year ended December 31, 2019, set forth below are certain factors which could affect our financial condition and operating results. We operate in a highly competitive industry that involves numerous known and unknown risks and uncertainties that could impact our operations. The risks described in Part I, Item 1A, “Risk Factors” of our Annual Report on Form 10-K for the year ended December 31, 2019 are not the only risks we face. Additional risks and uncertainties not currently known to us or that we currently deem to be immaterial also may materially adversely affect our financial condition and/or operating results.</w:t>
      </w:r>
    </w:p>
    <w:p>
      <w:pPr>
        <w:spacing w:after="0" w:line="19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could result in a delisting of our common stock, which could negatively impact the market price and liquidity of our common stock and our ability to access the capital markets.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August 6, 2020, we, received a letter from the Listing Qualifications Department of The Nasdaq Stock Market (“Nasdaq”) notifying us that the minimum bid price per share for our common stock fell below $1.00 for a period of 30 consecutive business days. Therefore, the Company did not meet the minimum bid price requirement set forth in the Nasdaq Listing Rules.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letter also states that pursuant to Nasdaq Listing Rules 5810(c)(3)(A), we will be provided 180 calendar days to regain compliance with the minimum bid price requirement, or until February 2, 2021.</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can regain compliance if, at any time during the Tolling Period or such 180-day period, the closing bid price of our common stock is at least $1.00 for a minimum period of 10 consecutive business days. If by February 2, 2021, we do not regain compliance with the Nasdaq Listing Rules, we may be eligible for additional time to regain compliance pursuant to Nasdaq Listing Rule 5810(c)(3)(A)(ii). To qualify, we would need to submit a transfer application and a $5,000 application fee. We would also need to provide written notice to Nasdaq of our intention to cure the minimum bid price deficiency during the second compliance period by effecting a reverse stock split, if necessary. As part of its review process, the Nasdaq staff will make a determination of whether it believes we will be able to cure this deficiency. Should the Nasdaq staff conclude that we will not be able to cure the deficiency, or should we determine not to submit a transfer application or make the required representation, Nasdaq will provide notice that our shares of common stock will be subject to delisting.</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we do not regain compliance within the allotted compliance period, including any extensions that may be granted by Nasdaq, Nasdaq will provide notice that our shares of common stock will be subject to delisting from the Nasdaq Global Select Market. At such time, we may appeal the delisting determination to a hearings panel.</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We intend to monitor our common stock closing bid price between now and February 2, 2021, and will consider available options to resolve the Company’s noncompliance with the minimum bid price requirement, as may be necessary. There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can be no assurance that the Company will be able to regain compliance with the minimum bid price requirement or will otherwise be in compliance with other Nasdaq listing criteria.</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is having a material adverse impact on our business, operating results, and financial condition.</w:t>
      </w:r>
    </w:p>
    <w:p>
      <w:pPr>
        <w:spacing w:after="0" w:line="170"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A pandemic or outbreak of disease or similar public health threat, such as the COVID-19 pandemic, or fear of such an event, could have a material adverse impact on our business, operating results, and financial condition. The current COVID-19 pandemic has caused a disruption to our business, beginning in March 2020. The impacts of the current COVID-19 pandemic are broad reaching and are having an impact on our licensing and wholesale businesses. The COVID-19 pandemic is impacting our supply chain as most of our products are manufactured in China, Thailand, and other places around the world affected by this event.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pandemic has affected the financial health of certain of our customers, and the bankruptcy of certain other customers, including Lord &amp; Taylor and Le Tote, Stein Mart, and Century 21, from which we had an aggregate of $1.21 million of accounts receivable due at September 30, 2020. As a result, we have recognized an allowance for doubtful accounts of $0.97 million for the nine months ended September 30, 2020,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We expect that the impact the COVID-19 pandemic may have on our operating results could result in our inability to comply with certain debt covenants and require BHI to waive compliance with, or agree to amend, any such covenant to avoid a default. 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2020 results. However, as of the date of this filing, we expect our results for 2020 and potentially 2021 to be significantly affected.</w:t>
      </w:r>
    </w:p>
    <w:p>
      <w:pPr>
        <w:spacing w:after="0" w:line="19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not be entitled to forgiveness of our recently received Paycheck Protection Program loan, and our application for the Paycheck Protection Program loan could in the future be determined to have been impermissible or could result in damage to our reputation.</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received an unsecured loan in the amount of $1,805,856 (the “PPP Loan”) pursuant to the Paycheck Protection Program (the “PPP”) under the Coronavirus Aid, Relief, and Economic Security Act (the “CARES Act”). The PPP Loan has a two-year term and bears interest at a rate of 1.0% per annum. Monthly principal and interest payments are deferred for six months after the date of disbursement. The PPP Loan may be prepaid at any time prior to maturity with no prepayment penalties. The Promissory Note contains events of default and other provisions customary for a loan of this type. The Paycheck Protection Program provides that the PPP Loan may be partially or wholly forgiven if the funds are used for certain qualifying expenses as described in the CARES Act. Such forgiveness will be determined, subject to limitations, based on the use of loan proceeds for payment of payroll costs and any payments of mortgage interest, rent, and utilities. However, no assurance is provided that forgiveness for any portion of the PPP Loan will be obtained.</w:t>
      </w:r>
    </w:p>
    <w:p>
      <w:pPr>
        <w:spacing w:after="0" w:line="16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order to apply for the PPP Loan, we were required to certify, among other things, that the current economic uncertainty made the PPP Loan request necessary to support our ongoing operations.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PPP of the CARES Act. The certification described above did not contain any objective criteria and is subject to interpretation. However, on April 23, 2020, the U.S. Small Business Administration (“SBA”) issued guidance stating that it is unlikely that a public company with substantial market value and access to capital markets will be able to make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required certification in good faith. The lack of clarity regarding loan eligibility under the PPP has resulted in significant media coverage and controversy with respect to public companies applying for and receiving loans. If, despite our good-faith belief that we satisfied all eligible requirements for the PPP Loan, we or any company that we may acquire in the future which received a loan under the PPP, are later determined to have violated any of the laws or governmental regulations that apply to us or such acquiree in connection with the PPP Loan or another loan under the PPP, respectively, such as the False Claims Act, or it is otherwise determined that we or such acquiree were ineligible to receive the PPP Loan or such other loan under the PPP, respectively, we or such acquiree may be subject to penalties, including significant civil, criminal and administrative penalties, and could be required to repay the PPP Loan or such other loan under the PPP, respectively, in its entirety. In addition, our receipt of the PPP Loan or any company that we may acquire in the future which received a loan under the PPP may result in adverse publicity and damage to our reputation, and a review or audit by the SBA or other government entity or claims under the False Claims Act could consume significant financial and management resources.</w:t>
      </w:r>
    </w:p>
    <w:p>
      <w:pPr>
        <w:spacing w:after="0" w:line="17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There were no sales of unregistered or registered securities during the three and nine months ended September 30, 2020.</w:t>
      </w:r>
    </w:p>
    <w:p>
      <w:pPr>
        <w:spacing w:after="0" w:line="244"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herewith:</w:t>
      </w:r>
    </w:p>
    <w:p>
      <w:pPr>
        <w:spacing w:after="0" w:line="266" w:lineRule="exact"/>
        <w:rPr>
          <w:sz w:val="20"/>
          <w:szCs w:val="20"/>
          <w:color w:val="auto"/>
        </w:rPr>
      </w:pPr>
    </w:p>
    <w:p>
      <w:pPr>
        <w:ind w:left="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10.1 Amendment No. 5 to Second Amended and Restated Loan and Security Agreement</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31.1 Rule 13a-14(a)/15d-14(a) Certification (CEO)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31.2 Rule 13a-14(a)/15d-14(a) Certification (CFO)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32.1 Section 1350 Certification (CEO)</w:t>
        </w:r>
      </w:hyperlink>
    </w:p>
    <w:p>
      <w:pPr>
        <w:spacing w:after="0" w:line="50" w:lineRule="exact"/>
        <w:rPr>
          <w:sz w:val="20"/>
          <w:szCs w:val="20"/>
          <w:color w:val="auto"/>
        </w:rPr>
      </w:pPr>
    </w:p>
    <w:p>
      <w:pPr>
        <w:ind w:left="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32.2 Section 1350 Certification (CFO)</w:t>
        </w:r>
      </w:hyperlink>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101.INS XBRL Instance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XBRL Taxonomy Extension Schema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101.DEF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101.LAB XBRL Taxonomy Extension Label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40" w:type="dxa"/>
            <w:vAlign w:val="bottom"/>
          </w:tcPr>
          <w:p>
            <w:pPr>
              <w:ind w:left="40"/>
              <w:spacing w:after="0"/>
              <w:rPr>
                <w:sz w:val="20"/>
                <w:szCs w:val="20"/>
                <w:color w:val="auto"/>
              </w:rPr>
            </w:pPr>
            <w:r>
              <w:rPr>
                <w:rFonts w:ascii="Arial" w:cs="Arial" w:eastAsia="Arial" w:hAnsi="Arial"/>
                <w:sz w:val="18"/>
                <w:szCs w:val="18"/>
                <w:color w:val="auto"/>
              </w:rPr>
              <w:t>Date: November 13, 2020</w:t>
            </w:r>
          </w:p>
        </w:tc>
        <w:tc>
          <w:tcPr>
            <w:tcW w:w="1940" w:type="dxa"/>
            <w:vAlign w:val="bottom"/>
          </w:tcPr>
          <w:p>
            <w:pPr>
              <w:ind w:left="152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195"/>
        </w:trPr>
        <w:tc>
          <w:tcPr>
            <w:tcW w:w="3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140" w:type="dxa"/>
            <w:vAlign w:val="bottom"/>
          </w:tcPr>
          <w:p>
            <w:pPr>
              <w:spacing w:after="0"/>
              <w:rPr>
                <w:sz w:val="24"/>
                <w:szCs w:val="24"/>
                <w:color w:val="auto"/>
              </w:rPr>
            </w:pPr>
          </w:p>
        </w:tc>
        <w:tc>
          <w:tcPr>
            <w:tcW w:w="1940" w:type="dxa"/>
            <w:vAlign w:val="bottom"/>
          </w:tcPr>
          <w:p>
            <w:pPr>
              <w:ind w:left="152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195"/>
        </w:trPr>
        <w:tc>
          <w:tcPr>
            <w:tcW w:w="3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r>
        <w:trPr>
          <w:trHeight w:val="864"/>
        </w:trPr>
        <w:tc>
          <w:tcPr>
            <w:tcW w:w="3140" w:type="dxa"/>
            <w:vAlign w:val="bottom"/>
          </w:tcPr>
          <w:p>
            <w:pPr>
              <w:spacing w:after="0"/>
              <w:rPr>
                <w:sz w:val="24"/>
                <w:szCs w:val="24"/>
                <w:color w:val="auto"/>
              </w:rPr>
            </w:pPr>
          </w:p>
        </w:tc>
        <w:tc>
          <w:tcPr>
            <w:tcW w:w="194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3840" w:type="dxa"/>
            <w:vAlign w:val="bottom"/>
          </w:tcPr>
          <w:p>
            <w:pPr>
              <w:spacing w:after="0"/>
              <w:rPr>
                <w:sz w:val="24"/>
                <w:szCs w:val="24"/>
                <w:color w:val="auto"/>
              </w:rPr>
            </w:pPr>
          </w:p>
        </w:tc>
      </w:tr>
      <w:tr>
        <w:trPr>
          <w:trHeight w:val="561"/>
        </w:trPr>
        <w:tc>
          <w:tcPr>
            <w:tcW w:w="3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color w:val="auto"/>
        </w:rPr>
        <w:t>Exhibit 10.1</w:t>
      </w: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AMENDMENT NO. 5</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SECOND AMENDED AND RESTATED LOAN AND SECURITY AGREEMENT</w:t>
      </w:r>
    </w:p>
    <w:p>
      <w:pPr>
        <w:spacing w:after="0" w:line="36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THIS AMENDMENT NO. 5 TO SECOND AMENDED AND RESTATED LOAN AND</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SECURITY AGREEMENT (this “</w:t>
      </w:r>
      <w:r>
        <w:rPr>
          <w:rFonts w:ascii="Arial" w:cs="Arial" w:eastAsia="Arial" w:hAnsi="Arial"/>
          <w:sz w:val="19"/>
          <w:szCs w:val="19"/>
          <w:u w:val="single" w:color="auto"/>
          <w:color w:val="auto"/>
        </w:rPr>
        <w:t>Ame</w:t>
      </w:r>
      <w:r>
        <w:rPr>
          <w:rFonts w:ascii="Arial" w:cs="Arial" w:eastAsia="Arial" w:hAnsi="Arial"/>
          <w:sz w:val="19"/>
          <w:szCs w:val="19"/>
          <w:color w:val="auto"/>
        </w:rPr>
        <w:t>ndment”) is entered into as of September 24, 2020, by and among XCEL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BRANDS, INC., a Delaware corporation </w:t>
      </w:r>
      <w:r>
        <w:rPr>
          <w:rFonts w:ascii="Arial" w:cs="Arial" w:eastAsia="Arial" w:hAnsi="Arial"/>
          <w:sz w:val="19"/>
          <w:szCs w:val="19"/>
          <w:u w:val="single" w:color="auto"/>
          <w:color w:val="auto"/>
        </w:rPr>
        <w:t>(</w:t>
      </w:r>
      <w:r>
        <w:rPr>
          <w:rFonts w:ascii="Arial" w:cs="Arial" w:eastAsia="Arial" w:hAnsi="Arial"/>
          <w:sz w:val="19"/>
          <w:szCs w:val="19"/>
          <w:color w:val="auto"/>
        </w:rPr>
        <w:t xml:space="preserve">“Initial </w:t>
      </w:r>
      <w:r>
        <w:rPr>
          <w:rFonts w:ascii="Arial" w:cs="Arial" w:eastAsia="Arial" w:hAnsi="Arial"/>
          <w:sz w:val="19"/>
          <w:szCs w:val="19"/>
          <w:u w:val="single" w:color="auto"/>
          <w:color w:val="auto"/>
        </w:rPr>
        <w:t>Borrow</w:t>
      </w:r>
      <w:r>
        <w:rPr>
          <w:rFonts w:ascii="Arial" w:cs="Arial" w:eastAsia="Arial" w:hAnsi="Arial"/>
          <w:sz w:val="19"/>
          <w:szCs w:val="19"/>
          <w:color w:val="auto"/>
        </w:rPr>
        <w:t>er”), each other signatory hereto that is a Credit Party</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under the Loan Agreement (as hereinafter defined), BANK HAPOALIM B.M., as a Lender (“</w:t>
      </w:r>
      <w:r>
        <w:rPr>
          <w:rFonts w:ascii="Arial" w:cs="Arial" w:eastAsia="Arial" w:hAnsi="Arial"/>
          <w:sz w:val="21"/>
          <w:szCs w:val="21"/>
          <w:u w:val="single" w:color="auto"/>
          <w:color w:val="auto"/>
        </w:rPr>
        <w:t>BHI</w:t>
      </w:r>
      <w:r>
        <w:rPr>
          <w:rFonts w:ascii="Arial" w:cs="Arial" w:eastAsia="Arial" w:hAnsi="Arial"/>
          <w:sz w:val="21"/>
          <w:szCs w:val="21"/>
          <w:color w:val="auto"/>
        </w:rPr>
        <w:t>”), and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BHI as collateral and administrative agent for Lenders (in such capacity </w:t>
      </w:r>
      <w:r>
        <w:rPr>
          <w:rFonts w:ascii="Arial" w:cs="Arial" w:eastAsia="Arial" w:hAnsi="Arial"/>
          <w:sz w:val="22"/>
          <w:szCs w:val="22"/>
          <w:u w:val="single" w:color="auto"/>
          <w:color w:val="auto"/>
        </w:rPr>
        <w:t>“</w:t>
      </w:r>
      <w:r>
        <w:rPr>
          <w:rFonts w:ascii="Arial" w:cs="Arial" w:eastAsia="Arial" w:hAnsi="Arial"/>
          <w:sz w:val="22"/>
          <w:szCs w:val="22"/>
          <w:color w:val="auto"/>
        </w:rPr>
        <w:t>Agent”).</w:t>
      </w:r>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BACKGROUND</w:t>
      </w:r>
    </w:p>
    <w:p>
      <w:pPr>
        <w:spacing w:after="0" w:line="382"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21"/>
          <w:szCs w:val="21"/>
          <w:color w:val="auto"/>
        </w:rPr>
        <w:t xml:space="preserve">Initial Borrower, IM Brands, LLC </w:t>
      </w:r>
      <w:r>
        <w:rPr>
          <w:rFonts w:ascii="Arial" w:cs="Arial" w:eastAsia="Arial" w:hAnsi="Arial"/>
          <w:sz w:val="21"/>
          <w:szCs w:val="21"/>
          <w:u w:val="single" w:color="auto"/>
          <w:color w:val="auto"/>
        </w:rPr>
        <w:t>(</w:t>
      </w:r>
      <w:r>
        <w:rPr>
          <w:rFonts w:ascii="Arial" w:cs="Arial" w:eastAsia="Arial" w:hAnsi="Arial"/>
          <w:sz w:val="21"/>
          <w:szCs w:val="21"/>
          <w:color w:val="auto"/>
        </w:rPr>
        <w:t xml:space="preserve">“IM </w:t>
      </w:r>
      <w:r>
        <w:rPr>
          <w:rFonts w:ascii="Arial" w:cs="Arial" w:eastAsia="Arial" w:hAnsi="Arial"/>
          <w:sz w:val="21"/>
          <w:szCs w:val="21"/>
          <w:u w:val="single" w:color="auto"/>
          <w:color w:val="auto"/>
        </w:rPr>
        <w:t>B</w:t>
      </w:r>
      <w:r>
        <w:rPr>
          <w:rFonts w:ascii="Arial" w:cs="Arial" w:eastAsia="Arial" w:hAnsi="Arial"/>
          <w:sz w:val="21"/>
          <w:szCs w:val="21"/>
          <w:color w:val="auto"/>
        </w:rPr>
        <w:t xml:space="preserve">rands”), JR Licensing, LLC, H Licensing, LLC, C Wonder Licensing, LLC, Xcel Design Group, LLC, Judith Ripka Fine Jewelry, LLC, H Heritage Licensing, LLC and Xcel-CT MFG, LLC (other than Initial Borrower, collectively, </w:t>
      </w:r>
      <w:r>
        <w:rPr>
          <w:rFonts w:ascii="Arial" w:cs="Arial" w:eastAsia="Arial" w:hAnsi="Arial"/>
          <w:sz w:val="21"/>
          <w:szCs w:val="21"/>
          <w:u w:val="single" w:color="auto"/>
          <w:color w:val="auto"/>
        </w:rPr>
        <w:t>“</w:t>
      </w:r>
      <w:r>
        <w:rPr>
          <w:rFonts w:ascii="Arial" w:cs="Arial" w:eastAsia="Arial" w:hAnsi="Arial"/>
          <w:sz w:val="21"/>
          <w:szCs w:val="21"/>
          <w:color w:val="auto"/>
        </w:rPr>
        <w:t>Guarantors”), Lenders and Agent are parties to a Second Amended and Restated Loan and Security Agreement dated as of February 11, 2019 (as amended, restated, supplemented or otherwise modified from time to time, the “</w:t>
      </w:r>
      <w:r>
        <w:rPr>
          <w:rFonts w:ascii="Arial" w:cs="Arial" w:eastAsia="Arial" w:hAnsi="Arial"/>
          <w:sz w:val="21"/>
          <w:szCs w:val="21"/>
          <w:u w:val="single" w:color="auto"/>
          <w:color w:val="auto"/>
        </w:rPr>
        <w:t>Loan Agreeme</w:t>
      </w:r>
      <w:r>
        <w:rPr>
          <w:rFonts w:ascii="Arial" w:cs="Arial" w:eastAsia="Arial" w:hAnsi="Arial"/>
          <w:sz w:val="21"/>
          <w:szCs w:val="21"/>
          <w:color w:val="auto"/>
        </w:rPr>
        <w:t>nt”) pursuant to which Lenders made term loans to Initial Borrower secured by a Lien on substantially all of the assets of Initial Borrower. Guarantors have guaranteed the payment and performance of Initial Borrower’s obligations to Lenders and Agent under the Loan Agreement which guarantee obligations are secured by a Lien on substantially all of the assets of Guarantors.</w:t>
      </w:r>
    </w:p>
    <w:p>
      <w:pPr>
        <w:spacing w:after="0" w:line="341"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22"/>
          <w:szCs w:val="22"/>
          <w:color w:val="auto"/>
        </w:rPr>
        <w:t>Initial Borrower has requested that Lenders amend the Loan Agreement and Lenders and Agent have agreed to amend the Loan Agreement on the terms and conditions set forth herein.</w:t>
      </w:r>
    </w:p>
    <w:p>
      <w:pPr>
        <w:spacing w:after="0" w:line="350"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NOW, THEREFORE, in consideration of the financial accommodations provided to Initial Borrower by Lenders, and for other good and valuable consideration, the receipt and sufficiency of which are hereby acknowledged, the parties hereto hereby agree as follows:</w:t>
      </w:r>
    </w:p>
    <w:p>
      <w:pPr>
        <w:spacing w:after="0" w:line="347" w:lineRule="exact"/>
        <w:rPr>
          <w:sz w:val="20"/>
          <w:szCs w:val="20"/>
          <w:color w:val="auto"/>
        </w:rPr>
      </w:pPr>
    </w:p>
    <w:p>
      <w:pPr>
        <w:ind w:right="120" w:firstLine="644"/>
        <w:spacing w:after="0" w:line="263" w:lineRule="auto"/>
        <w:tabs>
          <w:tab w:leader="none" w:pos="1296" w:val="left"/>
        </w:tabs>
        <w:numPr>
          <w:ilvl w:val="0"/>
          <w:numId w:val="15"/>
        </w:numPr>
        <w:rPr>
          <w:rFonts w:ascii="Arial" w:cs="Arial" w:eastAsia="Arial" w:hAnsi="Arial"/>
          <w:sz w:val="22"/>
          <w:szCs w:val="22"/>
          <w:color w:val="010000"/>
        </w:rPr>
      </w:pPr>
      <w:r>
        <w:rPr>
          <w:rFonts w:ascii="Arial" w:cs="Arial" w:eastAsia="Arial" w:hAnsi="Arial"/>
          <w:sz w:val="22"/>
          <w:szCs w:val="22"/>
          <w:u w:val="single" w:color="auto"/>
          <w:color w:val="auto"/>
        </w:rPr>
        <w:t>D</w:t>
      </w:r>
      <w:r>
        <w:rPr>
          <w:rFonts w:ascii="Arial" w:cs="Arial" w:eastAsia="Arial" w:hAnsi="Arial"/>
          <w:sz w:val="22"/>
          <w:szCs w:val="22"/>
          <w:color w:val="auto"/>
        </w:rPr>
        <w:t>efinitions. All capitalized terms not otherwise defined herein shall have the meanings given to them in the Loan Agreement.</w:t>
      </w:r>
    </w:p>
    <w:p>
      <w:pPr>
        <w:spacing w:after="0" w:line="336" w:lineRule="exact"/>
        <w:rPr>
          <w:rFonts w:ascii="Arial" w:cs="Arial" w:eastAsia="Arial" w:hAnsi="Arial"/>
          <w:sz w:val="22"/>
          <w:szCs w:val="22"/>
          <w:color w:val="010000"/>
        </w:rPr>
      </w:pPr>
    </w:p>
    <w:p>
      <w:pPr>
        <w:ind w:right="100" w:firstLine="644"/>
        <w:spacing w:after="0" w:line="263" w:lineRule="auto"/>
        <w:tabs>
          <w:tab w:leader="none" w:pos="1296" w:val="left"/>
        </w:tabs>
        <w:numPr>
          <w:ilvl w:val="0"/>
          <w:numId w:val="15"/>
        </w:numPr>
        <w:rPr>
          <w:rFonts w:ascii="Arial" w:cs="Arial" w:eastAsia="Arial" w:hAnsi="Arial"/>
          <w:sz w:val="22"/>
          <w:szCs w:val="22"/>
          <w:color w:val="010000"/>
        </w:rPr>
      </w:pPr>
      <w:r>
        <w:rPr>
          <w:rFonts w:ascii="Arial" w:cs="Arial" w:eastAsia="Arial" w:hAnsi="Arial"/>
          <w:sz w:val="22"/>
          <w:szCs w:val="22"/>
          <w:u w:val="single" w:color="auto"/>
          <w:color w:val="auto"/>
        </w:rPr>
        <w:t>Amendments to Loan Agreeme</w:t>
      </w:r>
      <w:r>
        <w:rPr>
          <w:rFonts w:ascii="Arial" w:cs="Arial" w:eastAsia="Arial" w:hAnsi="Arial"/>
          <w:sz w:val="22"/>
          <w:szCs w:val="22"/>
          <w:color w:val="auto"/>
        </w:rPr>
        <w:t>nt. Subject to the satisfaction of the conditions set forth in Section 4 below, the Loan Agreement is amended as follows:</w:t>
      </w:r>
    </w:p>
    <w:p>
      <w:pPr>
        <w:spacing w:after="0" w:line="336" w:lineRule="exact"/>
        <w:rPr>
          <w:rFonts w:ascii="Arial" w:cs="Arial" w:eastAsia="Arial" w:hAnsi="Arial"/>
          <w:sz w:val="22"/>
          <w:szCs w:val="22"/>
          <w:color w:val="010000"/>
        </w:rPr>
      </w:pPr>
    </w:p>
    <w:p>
      <w:pPr>
        <w:ind w:right="740" w:firstLine="1292"/>
        <w:spacing w:after="0" w:line="263" w:lineRule="auto"/>
        <w:tabs>
          <w:tab w:leader="none" w:pos="1944" w:val="left"/>
        </w:tabs>
        <w:numPr>
          <w:ilvl w:val="1"/>
          <w:numId w:val="15"/>
        </w:numPr>
        <w:rPr>
          <w:rFonts w:ascii="Arial" w:cs="Arial" w:eastAsia="Arial" w:hAnsi="Arial"/>
          <w:sz w:val="22"/>
          <w:szCs w:val="22"/>
          <w:color w:val="010000"/>
        </w:rPr>
      </w:pPr>
      <w:r>
        <w:rPr>
          <w:rFonts w:ascii="Arial" w:cs="Arial" w:eastAsia="Arial" w:hAnsi="Arial"/>
          <w:sz w:val="22"/>
          <w:szCs w:val="22"/>
          <w:color w:val="auto"/>
        </w:rPr>
        <w:t>Section 1.1 is amended by amending the defined terms “EBITDA” and “Fixed Charge Coverage Ratio” to provide as follows:</w:t>
      </w:r>
    </w:p>
    <w:p>
      <w:pPr>
        <w:spacing w:after="0" w:line="350" w:lineRule="exact"/>
        <w:rPr>
          <w:sz w:val="20"/>
          <w:szCs w:val="20"/>
          <w:color w:val="auto"/>
        </w:rPr>
      </w:pPr>
    </w:p>
    <w:p>
      <w:pPr>
        <w:jc w:val="both"/>
        <w:ind w:left="1300" w:right="100" w:firstLine="648"/>
        <w:spacing w:after="0" w:line="246" w:lineRule="auto"/>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EBITDA” means, for the applicable period, for a Person, an amount equal to (a) Net Income for Initial Borrower and the Included Subsidiaries on a consolidated basis for such period, minus, (b) to the extent included in calculating Net Income for Initial Borrower and the Included Subsidiaries on a consolidated basis, the sum of, without duplication, (i) interest income (whether cash or non- cash) for such period, (ii) income tax credits for such period, (iii) gain from extraordinary or non-recurring items for such period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335280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1100" w:top="121" w:right="999" w:bottom="1440" w:gutter="0" w:footer="0" w:header="0"/>
        </w:sectPr>
      </w:pPr>
    </w:p>
    <w:bookmarkStart w:id="38" w:name="page39"/>
    <w:bookmarkEnd w:id="38"/>
    <w:p>
      <w:pPr>
        <w:jc w:val="both"/>
        <w:ind w:left="1500" w:right="219"/>
        <w:spacing w:after="0" w:line="284" w:lineRule="auto"/>
        <w:rPr>
          <w:sz w:val="20"/>
          <w:szCs w:val="20"/>
          <w:color w:val="auto"/>
        </w:rPr>
      </w:pPr>
      <w:r>
        <w:rPr>
          <w:rFonts w:ascii="Arial" w:cs="Arial" w:eastAsia="Arial" w:hAnsi="Arial"/>
          <w:sz w:val="19"/>
          <w:szCs w:val="19"/>
          <w:color w:val="auto"/>
        </w:rPr>
        <w:t>non-cash items related to purchase accounting) and (iv) deferred compensation payments (regardless of when accrued), plus (c) the following to the extent deducted in calculating such Net Income, (i) interest charges for such period, (ii) the provision for all federal, state, local and foreign taxes payable for such period and the amount of payments permitted pursuant to Section 9(h)(ii), (iii) the amount of depreciation and amortization expense for such period, (iv) the transaction fees, costs and expenses incurred in connection with (A) the negotiation and execution of this Agreement and the other Loan Documents and any amendments thereto and</w:t>
      </w:r>
    </w:p>
    <w:p>
      <w:pPr>
        <w:spacing w:after="0" w:line="2" w:lineRule="exact"/>
        <w:rPr>
          <w:sz w:val="20"/>
          <w:szCs w:val="20"/>
          <w:color w:val="auto"/>
        </w:rPr>
      </w:pPr>
    </w:p>
    <w:p>
      <w:pPr>
        <w:jc w:val="both"/>
        <w:ind w:left="1500" w:right="219" w:firstLine="5"/>
        <w:spacing w:after="0" w:line="243" w:lineRule="auto"/>
        <w:tabs>
          <w:tab w:leader="none" w:pos="1872" w:val="left"/>
        </w:tabs>
        <w:numPr>
          <w:ilvl w:val="0"/>
          <w:numId w:val="16"/>
        </w:numPr>
        <w:rPr>
          <w:rFonts w:ascii="Arial" w:cs="Arial" w:eastAsia="Arial" w:hAnsi="Arial"/>
          <w:sz w:val="22"/>
          <w:szCs w:val="22"/>
          <w:color w:val="auto"/>
        </w:rPr>
      </w:pPr>
      <w:r>
        <w:rPr>
          <w:rFonts w:ascii="Arial" w:cs="Arial" w:eastAsia="Arial" w:hAnsi="Arial"/>
          <w:sz w:val="22"/>
          <w:szCs w:val="22"/>
          <w:color w:val="auto"/>
        </w:rPr>
        <w:t>Permitted Acquisitions, (v) all other extraordinary or non-recurring non-cash charges (including, without limitation, non-cash items related to purchase accounting), (vi) deferred management salaries (accrued but not paid), (vii) all non-cash compensation (including without limitation, stock or equity compensation) in such period and (viii) the amount of the non-cash bad debt reserve taken during the Fiscal Years ending December 31, 2020 and December 31, 2021 relating to the bankruptcy of Lord &amp; Taylor.</w:t>
      </w:r>
    </w:p>
    <w:p>
      <w:pPr>
        <w:spacing w:after="0" w:line="363" w:lineRule="exact"/>
        <w:rPr>
          <w:sz w:val="20"/>
          <w:szCs w:val="20"/>
          <w:color w:val="auto"/>
        </w:rPr>
      </w:pPr>
    </w:p>
    <w:p>
      <w:pPr>
        <w:jc w:val="both"/>
        <w:ind w:left="1500" w:right="219" w:firstLine="648"/>
        <w:spacing w:after="0" w:line="250" w:lineRule="auto"/>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xml:space="preserve">Fixed </w:t>
      </w:r>
      <w:r>
        <w:rPr>
          <w:rFonts w:ascii="Arial" w:cs="Arial" w:eastAsia="Arial" w:hAnsi="Arial"/>
          <w:sz w:val="22"/>
          <w:szCs w:val="22"/>
          <w:u w:val="single" w:color="auto"/>
          <w:color w:val="auto"/>
        </w:rPr>
        <w:t>Charge Coverage Ratio</w:t>
      </w:r>
      <w:r>
        <w:rPr>
          <w:rFonts w:ascii="Arial" w:cs="Arial" w:eastAsia="Arial" w:hAnsi="Arial"/>
          <w:sz w:val="22"/>
          <w:szCs w:val="22"/>
          <w:color w:val="auto"/>
        </w:rPr>
        <w:t>” means for any period, as respects any Person, the ratio of (a) EBITDA of such Person for such period plus a decrease in cash in the amount of up to $925,000 expended in connection with the Longaberger Acquisition to (b) the Fixed Charges for such period.</w:t>
      </w:r>
    </w:p>
    <w:p>
      <w:pPr>
        <w:spacing w:after="0" w:line="363" w:lineRule="exact"/>
        <w:rPr>
          <w:sz w:val="20"/>
          <w:szCs w:val="20"/>
          <w:color w:val="auto"/>
        </w:rPr>
      </w:pPr>
    </w:p>
    <w:p>
      <w:pPr>
        <w:ind w:left="2160" w:hanging="655"/>
        <w:spacing w:after="0"/>
        <w:tabs>
          <w:tab w:leader="none" w:pos="2160" w:val="left"/>
        </w:tabs>
        <w:numPr>
          <w:ilvl w:val="0"/>
          <w:numId w:val="17"/>
        </w:numPr>
        <w:rPr>
          <w:rFonts w:ascii="Arial" w:cs="Arial" w:eastAsia="Arial" w:hAnsi="Arial"/>
          <w:sz w:val="22"/>
          <w:szCs w:val="22"/>
          <w:color w:val="010000"/>
        </w:rPr>
      </w:pPr>
      <w:r>
        <w:rPr>
          <w:rFonts w:ascii="Arial" w:cs="Arial" w:eastAsia="Arial" w:hAnsi="Arial"/>
          <w:sz w:val="22"/>
          <w:szCs w:val="22"/>
          <w:color w:val="auto"/>
        </w:rPr>
        <w:t>Section 3.6 is amended in its entirety to provide as follows:</w:t>
      </w:r>
    </w:p>
    <w:p>
      <w:pPr>
        <w:spacing w:after="0" w:line="382" w:lineRule="exact"/>
        <w:rPr>
          <w:sz w:val="20"/>
          <w:szCs w:val="20"/>
          <w:color w:val="auto"/>
        </w:rPr>
      </w:pPr>
    </w:p>
    <w:p>
      <w:pPr>
        <w:ind w:left="1500" w:right="219" w:firstLine="648"/>
        <w:spacing w:after="0" w:line="251"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Voluntary Prepaymen</w:t>
      </w:r>
      <w:r>
        <w:rPr>
          <w:rFonts w:ascii="Arial" w:cs="Arial" w:eastAsia="Arial" w:hAnsi="Arial"/>
          <w:sz w:val="22"/>
          <w:szCs w:val="22"/>
          <w:color w:val="auto"/>
        </w:rPr>
        <w:t>ts. Borrowing Representative shall have the right, at any time upon thirty (30) day’s prior written notice to Agent to</w:t>
      </w:r>
    </w:p>
    <w:p>
      <w:pPr>
        <w:spacing w:after="0" w:line="2" w:lineRule="exact"/>
        <w:rPr>
          <w:sz w:val="20"/>
          <w:szCs w:val="20"/>
          <w:color w:val="auto"/>
        </w:rPr>
      </w:pPr>
    </w:p>
    <w:p>
      <w:pPr>
        <w:jc w:val="both"/>
        <w:ind w:left="1500" w:right="219" w:firstLine="5"/>
        <w:spacing w:after="0" w:line="284" w:lineRule="auto"/>
        <w:tabs>
          <w:tab w:leader="none" w:pos="1794" w:val="left"/>
        </w:tabs>
        <w:numPr>
          <w:ilvl w:val="0"/>
          <w:numId w:val="18"/>
        </w:numPr>
        <w:rPr>
          <w:rFonts w:ascii="Arial" w:cs="Arial" w:eastAsia="Arial" w:hAnsi="Arial"/>
          <w:sz w:val="19"/>
          <w:szCs w:val="19"/>
          <w:color w:val="auto"/>
        </w:rPr>
      </w:pPr>
      <w:r>
        <w:rPr>
          <w:rFonts w:ascii="Arial" w:cs="Arial" w:eastAsia="Arial" w:hAnsi="Arial"/>
          <w:sz w:val="19"/>
          <w:szCs w:val="19"/>
          <w:color w:val="auto"/>
        </w:rPr>
        <w:t>terminate voluntarily Borrowers’ right to receive or benefit from, and Revolving Lenders’ obligation to make and to incur, Revolving Loans and Letter of Credit Obligations, (b) repay all outstanding Revolving Loans, Letter of Credit Obligations and accrued and unpaid interest thereon or (c) cause Borrowers to prepay all or a portion of the Term Loans or Incremental Term Loans, provided that any prepayment of less than all of the outstanding balance of the Term Loans or Incremental Term Loans shall be applied to the remaining installments of the Term Loans or Incremental Term Loan pro rata in the inverse order of their maturity. If any Term Loan or any Incremental Term Loan is prepaid on or prior to the third anniversary of the Effective Date (including as a result of the occurrence of an Event of Default), Borrowers shall pay to such Lenders the applicable Early Termination Fee. Each Borrower acknowledges and agrees that (i) it would be difficult or impractical to calculate Lenders’ actual damages from early repayment of any Term Loan or Incremental Term Loan, (ii) the Early Termination Fee is intended to be fair and reasonable approximations of such damages, and (iii) the Early Termination Fee is not intended to be a penalty. Notwithstanding the foregoing, in the event that Borrowers make the $750,000 Prepayment, such prepayment shall be applied to installment of the Term Loan due and payable on March 31, 2022 and no Early Termination Fee shall be due and payable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474980</wp:posOffset>
            </wp:positionV>
            <wp:extent cx="552069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2069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39" w:name="page40"/>
    <w:bookmarkEnd w:id="39"/>
    <w:p>
      <w:pPr>
        <w:ind w:left="2160" w:hanging="656"/>
        <w:spacing w:after="0"/>
        <w:tabs>
          <w:tab w:leader="none" w:pos="2160" w:val="left"/>
        </w:tabs>
        <w:numPr>
          <w:ilvl w:val="0"/>
          <w:numId w:val="19"/>
        </w:numPr>
        <w:rPr>
          <w:rFonts w:ascii="Arial" w:cs="Arial" w:eastAsia="Arial" w:hAnsi="Arial"/>
          <w:sz w:val="22"/>
          <w:szCs w:val="22"/>
          <w:color w:val="010000"/>
        </w:rPr>
      </w:pPr>
      <w:r>
        <w:rPr>
          <w:rFonts w:ascii="Arial" w:cs="Arial" w:eastAsia="Arial" w:hAnsi="Arial"/>
          <w:sz w:val="22"/>
          <w:szCs w:val="22"/>
          <w:color w:val="auto"/>
        </w:rPr>
        <w:t>Section 3.7(a) is amended in its entirety to provide as follows:</w:t>
      </w:r>
    </w:p>
    <w:p>
      <w:pPr>
        <w:spacing w:after="0" w:line="166" w:lineRule="exact"/>
        <w:rPr>
          <w:sz w:val="20"/>
          <w:szCs w:val="20"/>
          <w:color w:val="auto"/>
        </w:rPr>
      </w:pPr>
    </w:p>
    <w:p>
      <w:pPr>
        <w:jc w:val="both"/>
        <w:ind w:left="1500" w:right="219" w:firstLine="648"/>
        <w:spacing w:after="0" w:line="283" w:lineRule="auto"/>
        <w:rPr>
          <w:sz w:val="20"/>
          <w:szCs w:val="20"/>
          <w:color w:val="auto"/>
        </w:rPr>
      </w:pPr>
      <w:r>
        <w:rPr>
          <w:rFonts w:ascii="Arial" w:cs="Arial" w:eastAsia="Arial" w:hAnsi="Arial"/>
          <w:sz w:val="19"/>
          <w:szCs w:val="19"/>
          <w:color w:val="auto"/>
        </w:rPr>
        <w:t xml:space="preserve">“(a) If for any Fiscal Quarter, commencing with Fiscal Quarter ending on March 31, 2021, there shall be Excess Cash Flow for such Fiscal Quarter, then Borrowers shall pay to Agent for the benefit of Lenders holding a portion of the Term Loans an amount equal to fifty percent (50%) of such Excess Cash Flow until the aggregate amount paid for all such Fiscal Quarters equals $4,450,000 (the </w:t>
      </w:r>
      <w:r>
        <w:rPr>
          <w:rFonts w:ascii="Arial" w:cs="Arial" w:eastAsia="Arial" w:hAnsi="Arial"/>
          <w:sz w:val="19"/>
          <w:szCs w:val="19"/>
          <w:u w:val="single" w:color="auto"/>
          <w:color w:val="auto"/>
        </w:rPr>
        <w:t>“</w:t>
      </w:r>
      <w:r>
        <w:rPr>
          <w:rFonts w:ascii="Arial" w:cs="Arial" w:eastAsia="Arial" w:hAnsi="Arial"/>
          <w:sz w:val="19"/>
          <w:szCs w:val="19"/>
          <w:color w:val="auto"/>
        </w:rPr>
        <w:t xml:space="preserve">Deferred </w:t>
      </w:r>
      <w:r>
        <w:rPr>
          <w:rFonts w:ascii="Arial" w:cs="Arial" w:eastAsia="Arial" w:hAnsi="Arial"/>
          <w:sz w:val="19"/>
          <w:szCs w:val="19"/>
          <w:u w:val="single" w:color="auto"/>
          <w:color w:val="auto"/>
        </w:rPr>
        <w:t>Amo</w:t>
      </w:r>
      <w:r>
        <w:rPr>
          <w:rFonts w:ascii="Arial" w:cs="Arial" w:eastAsia="Arial" w:hAnsi="Arial"/>
          <w:sz w:val="19"/>
          <w:szCs w:val="19"/>
          <w:color w:val="auto"/>
        </w:rPr>
        <w:t>unt”). If for any Fiscal Year commencing with the Fiscal Year in which Borrowers paid to Agent the entire Deferred Amount, there shall be Excess Cash Flow for such Fiscal Year, then Borrowers shall pay to Agent for the benefit of such Lenders an amount equal to ten percent (10%) of Excess Cash Flow at the end of each Fiscal Year (collectively with the Deferred Amount, the “</w:t>
      </w:r>
      <w:r>
        <w:rPr>
          <w:rFonts w:ascii="Arial" w:cs="Arial" w:eastAsia="Arial" w:hAnsi="Arial"/>
          <w:sz w:val="19"/>
          <w:szCs w:val="19"/>
          <w:u w:val="single" w:color="auto"/>
          <w:color w:val="auto"/>
        </w:rPr>
        <w:t>Cash Flow</w:t>
      </w:r>
      <w:r>
        <w:rPr>
          <w:rFonts w:ascii="Arial" w:cs="Arial" w:eastAsia="Arial" w:hAnsi="Arial"/>
          <w:sz w:val="19"/>
          <w:szCs w:val="19"/>
          <w:color w:val="auto"/>
        </w:rPr>
        <w:t xml:space="preserve"> </w:t>
      </w:r>
      <w:r>
        <w:rPr>
          <w:rFonts w:ascii="Arial" w:cs="Arial" w:eastAsia="Arial" w:hAnsi="Arial"/>
          <w:sz w:val="19"/>
          <w:szCs w:val="19"/>
          <w:u w:val="single" w:color="auto"/>
          <w:color w:val="auto"/>
        </w:rPr>
        <w:t>Recapture Requiremen</w:t>
      </w:r>
      <w:r>
        <w:rPr>
          <w:rFonts w:ascii="Arial" w:cs="Arial" w:eastAsia="Arial" w:hAnsi="Arial"/>
          <w:sz w:val="19"/>
          <w:szCs w:val="19"/>
          <w:color w:val="auto"/>
        </w:rPr>
        <w:t>t”). The Cash Flow Recapture Requirement for any such Fiscal Quarter or Fiscal Year, as applicable, shall be received by Agent no later than the date that is seven (7) days after the delivery of the Financial Statements for such Fiscal Quarter or Fiscal Year, as applicable, required pursuant to Section 8.1 and, in the event that the Cash Flow Recapture Requirement paid to Agent for all Fiscal Quarters commencing with the Fiscal Quarter ending on March 31, 2021 and ending with the Fiscal Quarter ending March 31, 2022 is less than the Deferred Amount, then Borrower shall pay to Agent the shortfall no later than the date that is seven (7) days after the delivery of the Financial Statements for the Fiscal Quarter ending March 31, 2022 required pursuant to Section 8.1. The Cash Flow Recapture requirement shall be applied to the principal amount of the Term Loan B first in the reverse order of maturity, then to the principal amount of Term Loan A in the reverse order of maturity and after the Term Loans have been paid in full, to the outstanding principal balance of the Incremental Term Loans pro rata with any balance going to pay the outstanding principal balance of the Revolving Loan. Borrowers shall not be required to pay an Early Termination Fee on any amount repaid due to the Cash Flow Recapture Requirement. To the extent applicable, amounts prepaid shall be applied first to any Base Rate Loans then outstanding and then to outstanding LIBOR Rate Loans with the shortest Interest Periods remaining. Together with each prepayment of a LIBOR Rate Loan or a Fixed Rate Loan, Borrowers shall pay any amounts due and payable pursuant to Section 3.12.”</w:t>
      </w:r>
    </w:p>
    <w:p>
      <w:pPr>
        <w:spacing w:after="0" w:line="200" w:lineRule="exact"/>
        <w:rPr>
          <w:sz w:val="20"/>
          <w:szCs w:val="20"/>
          <w:color w:val="auto"/>
        </w:rPr>
      </w:pPr>
    </w:p>
    <w:p>
      <w:pPr>
        <w:spacing w:after="0" w:line="387" w:lineRule="exact"/>
        <w:rPr>
          <w:sz w:val="20"/>
          <w:szCs w:val="20"/>
          <w:color w:val="auto"/>
        </w:rPr>
      </w:pPr>
    </w:p>
    <w:p>
      <w:pPr>
        <w:ind w:left="2160" w:hanging="640"/>
        <w:spacing w:after="0"/>
        <w:tabs>
          <w:tab w:leader="none" w:pos="2160" w:val="left"/>
        </w:tabs>
        <w:numPr>
          <w:ilvl w:val="0"/>
          <w:numId w:val="20"/>
        </w:numPr>
        <w:rPr>
          <w:rFonts w:ascii="Arial" w:cs="Arial" w:eastAsia="Arial" w:hAnsi="Arial"/>
          <w:sz w:val="19"/>
          <w:szCs w:val="19"/>
          <w:color w:val="010000"/>
        </w:rPr>
      </w:pP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(Form of Term Loan Note A) is replaced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349885</wp:posOffset>
            </wp:positionV>
            <wp:extent cx="558038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sectPr>
      </w:pPr>
    </w:p>
    <w:bookmarkStart w:id="40" w:name="page41"/>
    <w:bookmarkEnd w:id="40"/>
    <w:p>
      <w:pPr>
        <w:ind w:left="2120" w:hanging="657"/>
        <w:spacing w:after="0"/>
        <w:tabs>
          <w:tab w:leader="none" w:pos="2120" w:val="left"/>
        </w:tabs>
        <w:numPr>
          <w:ilvl w:val="2"/>
          <w:numId w:val="21"/>
        </w:numPr>
        <w:rPr>
          <w:rFonts w:ascii="Arial" w:cs="Arial" w:eastAsia="Arial" w:hAnsi="Arial"/>
          <w:sz w:val="19"/>
          <w:szCs w:val="19"/>
          <w:color w:val="010000"/>
        </w:rPr>
      </w:pP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(Form of Term Loan Note B) is replaced with </w:t>
      </w:r>
      <w:r>
        <w:rPr>
          <w:rFonts w:ascii="Arial" w:cs="Arial" w:eastAsia="Arial" w:hAnsi="Arial"/>
          <w:sz w:val="19"/>
          <w:szCs w:val="19"/>
          <w:u w:val="single" w:color="auto"/>
          <w:color w:val="auto"/>
        </w:rPr>
        <w:t>Exhibit B-2</w:t>
      </w:r>
      <w:r>
        <w:rPr>
          <w:rFonts w:ascii="Arial" w:cs="Arial" w:eastAsia="Arial" w:hAnsi="Arial"/>
          <w:sz w:val="19"/>
          <w:szCs w:val="19"/>
          <w:color w:val="auto"/>
        </w:rPr>
        <w:t xml:space="preserve"> to</w:t>
      </w:r>
    </w:p>
    <w:p>
      <w:pPr>
        <w:spacing w:after="0" w:line="55" w:lineRule="exact"/>
        <w:rPr>
          <w:rFonts w:ascii="Arial" w:cs="Arial" w:eastAsia="Arial" w:hAnsi="Arial"/>
          <w:sz w:val="19"/>
          <w:szCs w:val="19"/>
          <w:color w:val="010000"/>
        </w:rPr>
      </w:pPr>
    </w:p>
    <w:p>
      <w:pPr>
        <w:ind w:left="160"/>
        <w:spacing w:after="0"/>
        <w:rPr>
          <w:rFonts w:ascii="Arial" w:cs="Arial" w:eastAsia="Arial" w:hAnsi="Arial"/>
          <w:sz w:val="19"/>
          <w:szCs w:val="19"/>
          <w:color w:val="010000"/>
        </w:rPr>
      </w:pPr>
      <w:r>
        <w:rPr>
          <w:rFonts w:ascii="Arial" w:cs="Arial" w:eastAsia="Arial" w:hAnsi="Arial"/>
          <w:sz w:val="22"/>
          <w:szCs w:val="22"/>
          <w:color w:val="auto"/>
        </w:rPr>
        <w:t>this Amendment.</w:t>
      </w:r>
    </w:p>
    <w:p>
      <w:pPr>
        <w:spacing w:after="0" w:line="363" w:lineRule="exact"/>
        <w:rPr>
          <w:rFonts w:ascii="Arial" w:cs="Arial" w:eastAsia="Arial" w:hAnsi="Arial"/>
          <w:sz w:val="19"/>
          <w:szCs w:val="19"/>
          <w:color w:val="010000"/>
        </w:rPr>
      </w:pPr>
    </w:p>
    <w:p>
      <w:pPr>
        <w:ind w:left="2120" w:hanging="657"/>
        <w:spacing w:after="0"/>
        <w:tabs>
          <w:tab w:leader="none" w:pos="2120" w:val="left"/>
        </w:tabs>
        <w:numPr>
          <w:ilvl w:val="2"/>
          <w:numId w:val="21"/>
        </w:numPr>
        <w:rPr>
          <w:rFonts w:ascii="Arial" w:cs="Arial" w:eastAsia="Arial" w:hAnsi="Arial"/>
          <w:sz w:val="19"/>
          <w:szCs w:val="19"/>
          <w:color w:val="010000"/>
        </w:rPr>
      </w:pP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(Financial Covenants) is replaced with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attached to</w:t>
      </w:r>
    </w:p>
    <w:p>
      <w:pPr>
        <w:spacing w:after="0" w:line="55" w:lineRule="exact"/>
        <w:rPr>
          <w:rFonts w:ascii="Arial" w:cs="Arial" w:eastAsia="Arial" w:hAnsi="Arial"/>
          <w:sz w:val="19"/>
          <w:szCs w:val="19"/>
          <w:color w:val="010000"/>
        </w:rPr>
      </w:pPr>
    </w:p>
    <w:p>
      <w:pPr>
        <w:ind w:left="160"/>
        <w:spacing w:after="0"/>
        <w:rPr>
          <w:rFonts w:ascii="Arial" w:cs="Arial" w:eastAsia="Arial" w:hAnsi="Arial"/>
          <w:sz w:val="19"/>
          <w:szCs w:val="19"/>
          <w:color w:val="010000"/>
        </w:rPr>
      </w:pPr>
      <w:r>
        <w:rPr>
          <w:rFonts w:ascii="Arial" w:cs="Arial" w:eastAsia="Arial" w:hAnsi="Arial"/>
          <w:sz w:val="22"/>
          <w:szCs w:val="22"/>
          <w:color w:val="auto"/>
        </w:rPr>
        <w:t>this Amendment.</w:t>
      </w:r>
    </w:p>
    <w:p>
      <w:pPr>
        <w:spacing w:after="0" w:line="242" w:lineRule="exact"/>
        <w:rPr>
          <w:rFonts w:ascii="Arial" w:cs="Arial" w:eastAsia="Arial" w:hAnsi="Arial"/>
          <w:sz w:val="19"/>
          <w:szCs w:val="19"/>
          <w:color w:val="010000"/>
        </w:rPr>
      </w:pPr>
    </w:p>
    <w:p>
      <w:pPr>
        <w:ind w:left="1460" w:hanging="654"/>
        <w:spacing w:after="0"/>
        <w:tabs>
          <w:tab w:leader="none" w:pos="1460" w:val="left"/>
        </w:tabs>
        <w:numPr>
          <w:ilvl w:val="1"/>
          <w:numId w:val="22"/>
        </w:numPr>
        <w:rPr>
          <w:rFonts w:ascii="Arial" w:cs="Arial" w:eastAsia="Arial" w:hAnsi="Arial"/>
          <w:sz w:val="21"/>
          <w:szCs w:val="21"/>
          <w:color w:val="010000"/>
        </w:rPr>
      </w:pPr>
      <w:r>
        <w:rPr>
          <w:rFonts w:ascii="Arial" w:cs="Arial" w:eastAsia="Arial" w:hAnsi="Arial"/>
          <w:sz w:val="21"/>
          <w:szCs w:val="21"/>
          <w:u w:val="single" w:color="auto"/>
          <w:color w:val="auto"/>
        </w:rPr>
        <w:t>Conditions of Effe</w:t>
      </w:r>
      <w:r>
        <w:rPr>
          <w:rFonts w:ascii="Arial" w:cs="Arial" w:eastAsia="Arial" w:hAnsi="Arial"/>
          <w:sz w:val="21"/>
          <w:szCs w:val="21"/>
          <w:color w:val="auto"/>
        </w:rPr>
        <w:t>ctiveness.   This Amendment shall become effective upon</w:t>
      </w:r>
    </w:p>
    <w:p>
      <w:pPr>
        <w:spacing w:after="0" w:line="32" w:lineRule="exact"/>
        <w:rPr>
          <w:rFonts w:ascii="Arial" w:cs="Arial" w:eastAsia="Arial" w:hAnsi="Arial"/>
          <w:sz w:val="21"/>
          <w:szCs w:val="21"/>
          <w:color w:val="010000"/>
        </w:rPr>
      </w:pPr>
    </w:p>
    <w:p>
      <w:pPr>
        <w:ind w:left="460" w:hanging="293"/>
        <w:spacing w:after="0"/>
        <w:tabs>
          <w:tab w:leader="none" w:pos="4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Agent’s receipt of this Amendment duly executed by each Credit Party and each Lender and</w:t>
      </w:r>
    </w:p>
    <w:p>
      <w:pPr>
        <w:spacing w:after="0" w:line="38" w:lineRule="exact"/>
        <w:rPr>
          <w:rFonts w:ascii="Arial" w:cs="Arial" w:eastAsia="Arial" w:hAnsi="Arial"/>
          <w:sz w:val="19"/>
          <w:szCs w:val="19"/>
          <w:color w:val="auto"/>
        </w:rPr>
      </w:pPr>
    </w:p>
    <w:p>
      <w:pPr>
        <w:ind w:left="160" w:right="519" w:firstLine="7"/>
        <w:spacing w:after="0" w:line="323" w:lineRule="auto"/>
        <w:tabs>
          <w:tab w:leader="none" w:pos="457" w:val="left"/>
        </w:tabs>
        <w:numPr>
          <w:ilvl w:val="0"/>
          <w:numId w:val="23"/>
        </w:numPr>
        <w:rPr>
          <w:rFonts w:ascii="Arial" w:cs="Arial" w:eastAsia="Arial" w:hAnsi="Arial"/>
          <w:sz w:val="19"/>
          <w:szCs w:val="19"/>
          <w:color w:val="auto"/>
        </w:rPr>
      </w:pPr>
      <w:r>
        <w:rPr>
          <w:rFonts w:ascii="Arial" w:cs="Arial" w:eastAsia="Arial" w:hAnsi="Arial"/>
          <w:sz w:val="19"/>
          <w:szCs w:val="19"/>
          <w:color w:val="auto"/>
        </w:rPr>
        <w:t>Agent’s receipt of Amended and Restated Term Loan Note A and Amended and Restated Term Loan Note B in the form attached to this Amendment duly executed by Initial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288925</wp:posOffset>
            </wp:positionV>
            <wp:extent cx="562356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3560" cy="25400"/>
                    </a:xfrm>
                    <a:prstGeom prst="rect">
                      <a:avLst/>
                    </a:prstGeom>
                    <a:noFill/>
                  </pic:spPr>
                </pic:pic>
              </a:graphicData>
            </a:graphic>
          </wp:anchor>
        </w:drawing>
      </w:r>
    </w:p>
    <w:p>
      <w:pPr>
        <w:sectPr>
          <w:pgSz w:w="11900" w:h="16838" w:orient="portrait"/>
          <w:cols w:equalWidth="0" w:num="1">
            <w:col w:w="9019"/>
          </w:cols>
          <w:pgMar w:left="1440" w:top="199" w:right="1440" w:bottom="1440" w:gutter="0" w:footer="0" w:header="0"/>
        </w:sectPr>
      </w:pPr>
    </w:p>
    <w:bookmarkStart w:id="41" w:name="page42"/>
    <w:bookmarkEnd w:id="41"/>
    <w:p>
      <w:pPr>
        <w:ind w:left="1500" w:hanging="645"/>
        <w:spacing w:after="0"/>
        <w:tabs>
          <w:tab w:leader="none" w:pos="1500" w:val="left"/>
        </w:tabs>
        <w:numPr>
          <w:ilvl w:val="0"/>
          <w:numId w:val="24"/>
        </w:numPr>
        <w:rPr>
          <w:rFonts w:ascii="Arial" w:cs="Arial" w:eastAsia="Arial" w:hAnsi="Arial"/>
          <w:sz w:val="19"/>
          <w:szCs w:val="19"/>
          <w:color w:val="010000"/>
        </w:rPr>
      </w:pPr>
      <w:r>
        <w:rPr>
          <w:rFonts w:ascii="Arial" w:cs="Arial" w:eastAsia="Arial" w:hAnsi="Arial"/>
          <w:sz w:val="19"/>
          <w:szCs w:val="19"/>
          <w:u w:val="single" w:color="auto"/>
          <w:color w:val="auto"/>
        </w:rPr>
        <w:t>Representations and War</w:t>
      </w:r>
      <w:r>
        <w:rPr>
          <w:rFonts w:ascii="Arial" w:cs="Arial" w:eastAsia="Arial" w:hAnsi="Arial"/>
          <w:sz w:val="19"/>
          <w:szCs w:val="19"/>
          <w:color w:val="auto"/>
        </w:rPr>
        <w:t>ranties. Each Credit Party hereby represents and warrants</w:t>
      </w:r>
    </w:p>
    <w:p>
      <w:pPr>
        <w:spacing w:after="0" w:line="55" w:lineRule="exact"/>
        <w:rPr>
          <w:rFonts w:ascii="Arial" w:cs="Arial" w:eastAsia="Arial" w:hAnsi="Arial"/>
          <w:sz w:val="19"/>
          <w:szCs w:val="19"/>
          <w:color w:val="010000"/>
        </w:rPr>
      </w:pPr>
    </w:p>
    <w:p>
      <w:pPr>
        <w:ind w:left="200"/>
        <w:spacing w:after="0"/>
        <w:rPr>
          <w:rFonts w:ascii="Arial" w:cs="Arial" w:eastAsia="Arial" w:hAnsi="Arial"/>
          <w:sz w:val="19"/>
          <w:szCs w:val="19"/>
          <w:color w:val="010000"/>
        </w:rPr>
      </w:pPr>
      <w:r>
        <w:rPr>
          <w:rFonts w:ascii="Arial" w:cs="Arial" w:eastAsia="Arial" w:hAnsi="Arial"/>
          <w:sz w:val="22"/>
          <w:szCs w:val="22"/>
          <w:color w:val="auto"/>
        </w:rPr>
        <w:t>as follows:</w:t>
      </w:r>
    </w:p>
    <w:p>
      <w:pPr>
        <w:spacing w:after="0" w:line="363" w:lineRule="exact"/>
        <w:rPr>
          <w:rFonts w:ascii="Arial" w:cs="Arial" w:eastAsia="Arial" w:hAnsi="Arial"/>
          <w:sz w:val="19"/>
          <w:szCs w:val="19"/>
          <w:color w:val="010000"/>
        </w:rPr>
      </w:pPr>
    </w:p>
    <w:p>
      <w:pPr>
        <w:jc w:val="both"/>
        <w:ind w:left="200" w:right="219" w:firstLine="1303"/>
        <w:spacing w:after="0" w:line="248" w:lineRule="auto"/>
        <w:tabs>
          <w:tab w:leader="none" w:pos="2144" w:val="left"/>
        </w:tabs>
        <w:numPr>
          <w:ilvl w:val="1"/>
          <w:numId w:val="24"/>
        </w:numPr>
        <w:rPr>
          <w:rFonts w:ascii="Arial" w:cs="Arial" w:eastAsia="Arial" w:hAnsi="Arial"/>
          <w:sz w:val="22"/>
          <w:szCs w:val="22"/>
          <w:color w:val="010000"/>
        </w:rPr>
      </w:pPr>
      <w:r>
        <w:rPr>
          <w:rFonts w:ascii="Arial" w:cs="Arial" w:eastAsia="Arial" w:hAnsi="Arial"/>
          <w:sz w:val="22"/>
          <w:szCs w:val="22"/>
          <w:color w:val="auto"/>
        </w:rPr>
        <w:t>This Amendment constitutes the legal, valid and binding obligation of such Credit Party and is enforceable against such Credit Party in accordance with its terms, except to the extent that such enforceability may be limited by applicable bankruptcy, insolvency, reorganization, moratorium or other similar laws affecting the enforcement of creditors’ rights generally or limiting the right of specific performance.</w:t>
      </w:r>
    </w:p>
    <w:p>
      <w:pPr>
        <w:spacing w:after="0" w:line="367" w:lineRule="exact"/>
        <w:rPr>
          <w:rFonts w:ascii="Arial" w:cs="Arial" w:eastAsia="Arial" w:hAnsi="Arial"/>
          <w:sz w:val="22"/>
          <w:szCs w:val="22"/>
          <w:color w:val="010000"/>
        </w:rPr>
      </w:pPr>
    </w:p>
    <w:p>
      <w:pPr>
        <w:jc w:val="both"/>
        <w:ind w:left="200" w:right="219" w:firstLine="1303"/>
        <w:spacing w:after="0" w:line="248" w:lineRule="auto"/>
        <w:tabs>
          <w:tab w:leader="none" w:pos="2144" w:val="left"/>
        </w:tabs>
        <w:numPr>
          <w:ilvl w:val="1"/>
          <w:numId w:val="24"/>
        </w:numPr>
        <w:rPr>
          <w:rFonts w:ascii="Arial" w:cs="Arial" w:eastAsia="Arial" w:hAnsi="Arial"/>
          <w:sz w:val="22"/>
          <w:szCs w:val="22"/>
          <w:color w:val="010000"/>
        </w:rPr>
      </w:pPr>
      <w:r>
        <w:rPr>
          <w:rFonts w:ascii="Arial" w:cs="Arial" w:eastAsia="Arial" w:hAnsi="Arial"/>
          <w:sz w:val="22"/>
          <w:szCs w:val="22"/>
          <w:color w:val="auto"/>
        </w:rPr>
        <w:t>Upon the effectiveness of this Amendment, all representations and warranties of such Credit Party contained in the Loan Documents to which it is a party continue to be true and correct in all material respects as of the date hereof, as if repeated as of the date hereof, except for such representations and warranties which, by their terms, are expressly made only as of a previous date.</w:t>
      </w:r>
    </w:p>
    <w:p>
      <w:pPr>
        <w:spacing w:after="0" w:line="353" w:lineRule="exact"/>
        <w:rPr>
          <w:rFonts w:ascii="Arial" w:cs="Arial" w:eastAsia="Arial" w:hAnsi="Arial"/>
          <w:sz w:val="22"/>
          <w:szCs w:val="22"/>
          <w:color w:val="010000"/>
        </w:rPr>
      </w:pPr>
    </w:p>
    <w:p>
      <w:pPr>
        <w:ind w:left="200" w:right="219" w:firstLine="1303"/>
        <w:spacing w:after="0" w:line="263" w:lineRule="auto"/>
        <w:tabs>
          <w:tab w:leader="none" w:pos="2144" w:val="left"/>
        </w:tabs>
        <w:numPr>
          <w:ilvl w:val="1"/>
          <w:numId w:val="24"/>
        </w:numPr>
        <w:rPr>
          <w:rFonts w:ascii="Arial" w:cs="Arial" w:eastAsia="Arial" w:hAnsi="Arial"/>
          <w:sz w:val="22"/>
          <w:szCs w:val="22"/>
          <w:color w:val="010000"/>
        </w:rPr>
      </w:pPr>
      <w:r>
        <w:rPr>
          <w:rFonts w:ascii="Arial" w:cs="Arial" w:eastAsia="Arial" w:hAnsi="Arial"/>
          <w:sz w:val="22"/>
          <w:szCs w:val="22"/>
          <w:color w:val="auto"/>
        </w:rPr>
        <w:t>No Event of Default has occurred and is continuing or would exist after giving effect to this Amendment.</w:t>
      </w:r>
    </w:p>
    <w:p>
      <w:pPr>
        <w:spacing w:after="0" w:line="336" w:lineRule="exact"/>
        <w:rPr>
          <w:rFonts w:ascii="Arial" w:cs="Arial" w:eastAsia="Arial" w:hAnsi="Arial"/>
          <w:sz w:val="22"/>
          <w:szCs w:val="22"/>
          <w:color w:val="010000"/>
        </w:rPr>
      </w:pPr>
    </w:p>
    <w:p>
      <w:pPr>
        <w:ind w:left="200" w:right="219" w:firstLine="1303"/>
        <w:spacing w:after="0" w:line="263" w:lineRule="auto"/>
        <w:tabs>
          <w:tab w:leader="none" w:pos="2144" w:val="left"/>
        </w:tabs>
        <w:numPr>
          <w:ilvl w:val="1"/>
          <w:numId w:val="24"/>
        </w:numPr>
        <w:rPr>
          <w:rFonts w:ascii="Arial" w:cs="Arial" w:eastAsia="Arial" w:hAnsi="Arial"/>
          <w:sz w:val="22"/>
          <w:szCs w:val="22"/>
          <w:color w:val="010000"/>
        </w:rPr>
      </w:pPr>
      <w:r>
        <w:rPr>
          <w:rFonts w:ascii="Arial" w:cs="Arial" w:eastAsia="Arial" w:hAnsi="Arial"/>
          <w:sz w:val="22"/>
          <w:szCs w:val="22"/>
          <w:color w:val="auto"/>
        </w:rPr>
        <w:t>No Credit Party has any defense, counterclaim or offset with respect to any of the Loan Documents.</w:t>
      </w:r>
    </w:p>
    <w:p>
      <w:pPr>
        <w:spacing w:after="0" w:line="350" w:lineRule="exact"/>
        <w:rPr>
          <w:rFonts w:ascii="Arial" w:cs="Arial" w:eastAsia="Arial" w:hAnsi="Arial"/>
          <w:sz w:val="22"/>
          <w:szCs w:val="22"/>
          <w:color w:val="010000"/>
        </w:rPr>
      </w:pPr>
    </w:p>
    <w:p>
      <w:pPr>
        <w:ind w:left="1500" w:hanging="645"/>
        <w:spacing w:after="0"/>
        <w:tabs>
          <w:tab w:leader="none" w:pos="1500" w:val="left"/>
        </w:tabs>
        <w:numPr>
          <w:ilvl w:val="0"/>
          <w:numId w:val="24"/>
        </w:numPr>
        <w:rPr>
          <w:rFonts w:ascii="Arial" w:cs="Arial" w:eastAsia="Arial" w:hAnsi="Arial"/>
          <w:sz w:val="22"/>
          <w:szCs w:val="22"/>
          <w:color w:val="010000"/>
        </w:rPr>
      </w:pPr>
      <w:r>
        <w:rPr>
          <w:rFonts w:ascii="Arial" w:cs="Arial" w:eastAsia="Arial" w:hAnsi="Arial"/>
          <w:sz w:val="22"/>
          <w:szCs w:val="22"/>
          <w:u w:val="single" w:color="auto"/>
          <w:color w:val="auto"/>
        </w:rPr>
        <w:t>Effect on the Loan Docume</w:t>
      </w:r>
      <w:r>
        <w:rPr>
          <w:rFonts w:ascii="Arial" w:cs="Arial" w:eastAsia="Arial" w:hAnsi="Arial"/>
          <w:sz w:val="22"/>
          <w:szCs w:val="22"/>
          <w:color w:val="auto"/>
        </w:rPr>
        <w:t>nts.</w:t>
      </w:r>
    </w:p>
    <w:p>
      <w:pPr>
        <w:spacing w:after="0" w:line="300" w:lineRule="exact"/>
        <w:rPr>
          <w:rFonts w:ascii="Arial" w:cs="Arial" w:eastAsia="Arial" w:hAnsi="Arial"/>
          <w:sz w:val="22"/>
          <w:szCs w:val="22"/>
          <w:color w:val="010000"/>
        </w:rPr>
      </w:pPr>
    </w:p>
    <w:p>
      <w:pPr>
        <w:ind w:left="200" w:right="219" w:firstLine="1303"/>
        <w:spacing w:after="0" w:line="343" w:lineRule="auto"/>
        <w:tabs>
          <w:tab w:leader="none" w:pos="2144" w:val="left"/>
        </w:tabs>
        <w:numPr>
          <w:ilvl w:val="1"/>
          <w:numId w:val="24"/>
        </w:numPr>
        <w:rPr>
          <w:rFonts w:ascii="Arial" w:cs="Arial" w:eastAsia="Arial" w:hAnsi="Arial"/>
          <w:sz w:val="19"/>
          <w:szCs w:val="19"/>
          <w:color w:val="010000"/>
        </w:rPr>
      </w:pPr>
      <w:r>
        <w:rPr>
          <w:rFonts w:ascii="Arial" w:cs="Arial" w:eastAsia="Arial" w:hAnsi="Arial"/>
          <w:sz w:val="19"/>
          <w:szCs w:val="19"/>
          <w:color w:val="auto"/>
        </w:rPr>
        <w:t>Except as specifically set forth herein, the Loan Documents shall remain in full force and effect, and are hereby ratified and confirmed by each Credit Party a party thereto.</w:t>
      </w:r>
    </w:p>
    <w:p>
      <w:pPr>
        <w:spacing w:after="0" w:line="266" w:lineRule="exact"/>
        <w:rPr>
          <w:rFonts w:ascii="Arial" w:cs="Arial" w:eastAsia="Arial" w:hAnsi="Arial"/>
          <w:sz w:val="19"/>
          <w:szCs w:val="19"/>
          <w:color w:val="010000"/>
        </w:rPr>
      </w:pPr>
    </w:p>
    <w:p>
      <w:pPr>
        <w:jc w:val="both"/>
        <w:ind w:left="200" w:right="219" w:firstLine="1303"/>
        <w:spacing w:after="0" w:line="271" w:lineRule="auto"/>
        <w:tabs>
          <w:tab w:leader="none" w:pos="2144" w:val="left"/>
        </w:tabs>
        <w:numPr>
          <w:ilvl w:val="1"/>
          <w:numId w:val="24"/>
        </w:numPr>
        <w:rPr>
          <w:rFonts w:ascii="Arial" w:cs="Arial" w:eastAsia="Arial" w:hAnsi="Arial"/>
          <w:sz w:val="21"/>
          <w:szCs w:val="21"/>
          <w:color w:val="010000"/>
        </w:rPr>
      </w:pPr>
      <w:r>
        <w:rPr>
          <w:rFonts w:ascii="Arial" w:cs="Arial" w:eastAsia="Arial" w:hAnsi="Arial"/>
          <w:sz w:val="21"/>
          <w:szCs w:val="21"/>
          <w:color w:val="auto"/>
        </w:rPr>
        <w:t>Except as specifically set forth herein, the execution, delivery and effectiveness of this Amendment shall not operate as a waiver of any right, power or remedy of Agent or any Lender nor constitute a waiver of any provision of any Loan Document.</w:t>
      </w:r>
    </w:p>
    <w:p>
      <w:pPr>
        <w:spacing w:after="0" w:line="342" w:lineRule="exact"/>
        <w:rPr>
          <w:rFonts w:ascii="Arial" w:cs="Arial" w:eastAsia="Arial" w:hAnsi="Arial"/>
          <w:sz w:val="21"/>
          <w:szCs w:val="21"/>
          <w:color w:val="010000"/>
        </w:rPr>
      </w:pPr>
    </w:p>
    <w:p>
      <w:pPr>
        <w:jc w:val="both"/>
        <w:ind w:left="200" w:right="219" w:firstLine="655"/>
        <w:spacing w:after="0" w:line="253" w:lineRule="auto"/>
        <w:tabs>
          <w:tab w:leader="none" w:pos="1496" w:val="left"/>
        </w:tabs>
        <w:numPr>
          <w:ilvl w:val="0"/>
          <w:numId w:val="24"/>
        </w:numPr>
        <w:rPr>
          <w:rFonts w:ascii="Arial" w:cs="Arial" w:eastAsia="Arial" w:hAnsi="Arial"/>
          <w:sz w:val="22"/>
          <w:szCs w:val="22"/>
          <w:color w:val="010000"/>
        </w:rPr>
      </w:pPr>
      <w:r>
        <w:rPr>
          <w:rFonts w:ascii="Arial" w:cs="Arial" w:eastAsia="Arial" w:hAnsi="Arial"/>
          <w:sz w:val="22"/>
          <w:szCs w:val="22"/>
          <w:u w:val="single" w:color="auto"/>
          <w:color w:val="auto"/>
        </w:rPr>
        <w:t>Governing L</w:t>
      </w:r>
      <w:r>
        <w:rPr>
          <w:rFonts w:ascii="Arial" w:cs="Arial" w:eastAsia="Arial" w:hAnsi="Arial"/>
          <w:sz w:val="22"/>
          <w:szCs w:val="22"/>
          <w:color w:val="auto"/>
        </w:rPr>
        <w:t>aw. This Amendment shall be binding upon and inure to the benefit of the parties hereto and their respective successors and assigns and shall be governed by and construed in accordance with the laws of the State of New York.</w:t>
      </w:r>
    </w:p>
    <w:p>
      <w:pPr>
        <w:spacing w:after="0" w:line="347" w:lineRule="exact"/>
        <w:rPr>
          <w:rFonts w:ascii="Arial" w:cs="Arial" w:eastAsia="Arial" w:hAnsi="Arial"/>
          <w:sz w:val="22"/>
          <w:szCs w:val="22"/>
          <w:color w:val="010000"/>
        </w:rPr>
      </w:pPr>
    </w:p>
    <w:p>
      <w:pPr>
        <w:jc w:val="both"/>
        <w:ind w:left="200" w:right="219" w:firstLine="655"/>
        <w:spacing w:after="0" w:line="253" w:lineRule="auto"/>
        <w:tabs>
          <w:tab w:leader="none" w:pos="1496" w:val="left"/>
        </w:tabs>
        <w:numPr>
          <w:ilvl w:val="0"/>
          <w:numId w:val="24"/>
        </w:numPr>
        <w:rPr>
          <w:rFonts w:ascii="Arial" w:cs="Arial" w:eastAsia="Arial" w:hAnsi="Arial"/>
          <w:sz w:val="22"/>
          <w:szCs w:val="22"/>
          <w:color w:val="010000"/>
        </w:rPr>
      </w:pPr>
      <w:r>
        <w:rPr>
          <w:rFonts w:ascii="Arial" w:cs="Arial" w:eastAsia="Arial" w:hAnsi="Arial"/>
          <w:sz w:val="22"/>
          <w:szCs w:val="22"/>
          <w:u w:val="single" w:color="auto"/>
          <w:color w:val="auto"/>
        </w:rPr>
        <w:t>H</w:t>
      </w:r>
      <w:r>
        <w:rPr>
          <w:rFonts w:ascii="Arial" w:cs="Arial" w:eastAsia="Arial" w:hAnsi="Arial"/>
          <w:sz w:val="22"/>
          <w:szCs w:val="22"/>
          <w:color w:val="auto"/>
        </w:rPr>
        <w:t>eadings. Section headings in this Amendment are included herein for convenience of reference only and shall not constitute a part of this Amendment for any other purpose.</w:t>
      </w:r>
    </w:p>
    <w:p>
      <w:pPr>
        <w:spacing w:after="0" w:line="347" w:lineRule="exact"/>
        <w:rPr>
          <w:rFonts w:ascii="Arial" w:cs="Arial" w:eastAsia="Arial" w:hAnsi="Arial"/>
          <w:sz w:val="22"/>
          <w:szCs w:val="22"/>
          <w:color w:val="010000"/>
        </w:rPr>
      </w:pPr>
    </w:p>
    <w:p>
      <w:pPr>
        <w:jc w:val="both"/>
        <w:ind w:left="200" w:right="219" w:firstLine="655"/>
        <w:spacing w:after="0" w:line="248" w:lineRule="auto"/>
        <w:tabs>
          <w:tab w:leader="none" w:pos="1496" w:val="left"/>
        </w:tabs>
        <w:numPr>
          <w:ilvl w:val="0"/>
          <w:numId w:val="24"/>
        </w:numPr>
        <w:rPr>
          <w:rFonts w:ascii="Arial" w:cs="Arial" w:eastAsia="Arial" w:hAnsi="Arial"/>
          <w:sz w:val="22"/>
          <w:szCs w:val="22"/>
          <w:color w:val="010000"/>
        </w:rPr>
      </w:pPr>
      <w:r>
        <w:rPr>
          <w:rFonts w:ascii="Arial" w:cs="Arial" w:eastAsia="Arial" w:hAnsi="Arial"/>
          <w:sz w:val="22"/>
          <w:szCs w:val="22"/>
          <w:u w:val="single" w:color="auto"/>
          <w:color w:val="auto"/>
        </w:rPr>
        <w:t>Counterparts; Electronic Transmi</w:t>
      </w:r>
      <w:r>
        <w:rPr>
          <w:rFonts w:ascii="Arial" w:cs="Arial" w:eastAsia="Arial" w:hAnsi="Arial"/>
          <w:sz w:val="22"/>
          <w:szCs w:val="22"/>
          <w:color w:val="auto"/>
        </w:rPr>
        <w:t>ssion. This Amendment may be executed by the parties hereto in one or more counterparts, each of which shall be deemed an original and all of which when taken together shall constitute one and the same agreement. Any signature delivered by a party by facsimile or other electronic transmission shall be deemed to be an original signature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332105</wp:posOffset>
            </wp:positionV>
            <wp:extent cx="558927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2" w:name="page43"/>
    <w:bookmarkEnd w:id="42"/>
    <w:p>
      <w:pPr>
        <w:ind w:left="160" w:right="619" w:firstLine="634"/>
        <w:spacing w:after="0" w:line="264" w:lineRule="auto"/>
        <w:rPr>
          <w:sz w:val="20"/>
          <w:szCs w:val="20"/>
          <w:color w:val="auto"/>
        </w:rPr>
      </w:pPr>
      <w:r>
        <w:rPr>
          <w:rFonts w:ascii="Arial" w:cs="Arial" w:eastAsia="Arial" w:hAnsi="Arial"/>
          <w:sz w:val="21"/>
          <w:szCs w:val="21"/>
          <w:color w:val="505050"/>
        </w:rPr>
        <w:t>IN WITNESS WHEREOF, this Amendment has been duly executed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0"/>
        <w:spacing w:after="0"/>
        <w:rPr>
          <w:sz w:val="20"/>
          <w:szCs w:val="20"/>
          <w:color w:val="auto"/>
        </w:rPr>
      </w:pPr>
      <w:r>
        <w:rPr>
          <w:rFonts w:ascii="Arial" w:cs="Arial" w:eastAsia="Arial" w:hAnsi="Arial"/>
          <w:sz w:val="21"/>
          <w:szCs w:val="21"/>
          <w:color w:val="505050"/>
        </w:rPr>
        <w:t>XCEL BRANDS, INC.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James Haran</w:t>
      </w:r>
    </w:p>
    <w:p>
      <w:pPr>
        <w:spacing w:after="0" w:line="14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334" w:lineRule="exact"/>
        <w:rPr>
          <w:sz w:val="20"/>
          <w:szCs w:val="20"/>
          <w:color w:val="auto"/>
        </w:rPr>
      </w:pPr>
    </w:p>
    <w:p>
      <w:pPr>
        <w:ind w:left="4100"/>
        <w:spacing w:after="0"/>
        <w:rPr>
          <w:sz w:val="20"/>
          <w:szCs w:val="20"/>
          <w:color w:val="auto"/>
        </w:rPr>
      </w:pPr>
      <w:r>
        <w:rPr>
          <w:rFonts w:ascii="Arial" w:cs="Arial" w:eastAsia="Arial" w:hAnsi="Arial"/>
          <w:sz w:val="21"/>
          <w:szCs w:val="21"/>
          <w:color w:val="505050"/>
        </w:rPr>
        <w:t>IM BRANDS, LLC</w:t>
      </w:r>
    </w:p>
    <w:p>
      <w:pPr>
        <w:spacing w:after="0" w:line="312" w:lineRule="exact"/>
        <w:rPr>
          <w:sz w:val="20"/>
          <w:szCs w:val="20"/>
          <w:color w:val="auto"/>
        </w:rPr>
      </w:pPr>
    </w:p>
    <w:p>
      <w:pPr>
        <w:ind w:left="4020"/>
        <w:spacing w:after="0"/>
        <w:tabs>
          <w:tab w:leader="none" w:pos="4620" w:val="left"/>
        </w:tabs>
        <w:rPr>
          <w:sz w:val="20"/>
          <w:szCs w:val="20"/>
          <w:color w:val="auto"/>
        </w:rPr>
      </w:pPr>
      <w:r>
        <w:rPr>
          <w:rFonts w:ascii="Arial" w:cs="Arial" w:eastAsia="Arial" w:hAnsi="Arial"/>
          <w:sz w:val="21"/>
          <w:szCs w:val="21"/>
          <w:color w:val="505050"/>
        </w:rPr>
        <w:t>By:</w:t>
      </w:r>
      <w:r>
        <w:rPr>
          <w:sz w:val="20"/>
          <w:szCs w:val="20"/>
          <w:color w:val="auto"/>
        </w:rPr>
        <w:tab/>
      </w:r>
      <w:r>
        <w:rPr>
          <w:rFonts w:ascii="Arial" w:cs="Arial" w:eastAsia="Arial" w:hAnsi="Arial"/>
          <w:sz w:val="21"/>
          <w:szCs w:val="21"/>
          <w:color w:val="505050"/>
        </w:rPr>
        <w:t>XCEL BRANDS, INC.,</w:t>
      </w:r>
    </w:p>
    <w:p>
      <w:pPr>
        <w:spacing w:after="0" w:line="164" w:lineRule="exact"/>
        <w:rPr>
          <w:sz w:val="20"/>
          <w:szCs w:val="20"/>
          <w:color w:val="auto"/>
        </w:rPr>
      </w:pPr>
    </w:p>
    <w:p>
      <w:pPr>
        <w:ind w:left="4740"/>
        <w:spacing w:after="0"/>
        <w:rPr>
          <w:sz w:val="20"/>
          <w:szCs w:val="20"/>
          <w:color w:val="auto"/>
        </w:rPr>
      </w:pPr>
      <w:r>
        <w:rPr>
          <w:rFonts w:ascii="Arial" w:cs="Arial" w:eastAsia="Arial" w:hAnsi="Arial"/>
          <w:sz w:val="21"/>
          <w:szCs w:val="21"/>
          <w:color w:val="505050"/>
        </w:rPr>
        <w:t>Its Manager</w:t>
      </w:r>
    </w:p>
    <w:p>
      <w:pPr>
        <w:spacing w:after="0" w:line="29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James Haran</w:t>
      </w:r>
    </w:p>
    <w:p>
      <w:pPr>
        <w:spacing w:after="0" w:line="14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334" w:lineRule="exact"/>
        <w:rPr>
          <w:sz w:val="20"/>
          <w:szCs w:val="20"/>
          <w:color w:val="auto"/>
        </w:rPr>
      </w:pPr>
    </w:p>
    <w:p>
      <w:pPr>
        <w:ind w:left="4020"/>
        <w:spacing w:after="0"/>
        <w:rPr>
          <w:sz w:val="20"/>
          <w:szCs w:val="20"/>
          <w:color w:val="auto"/>
        </w:rPr>
      </w:pPr>
      <w:r>
        <w:rPr>
          <w:rFonts w:ascii="Arial" w:cs="Arial" w:eastAsia="Arial" w:hAnsi="Arial"/>
          <w:sz w:val="21"/>
          <w:szCs w:val="21"/>
          <w:color w:val="505050"/>
        </w:rPr>
        <w:t>JR LICENSING, LLC</w:t>
      </w:r>
    </w:p>
    <w:p>
      <w:pPr>
        <w:spacing w:after="0" w:line="312" w:lineRule="exact"/>
        <w:rPr>
          <w:sz w:val="20"/>
          <w:szCs w:val="20"/>
          <w:color w:val="auto"/>
        </w:rPr>
      </w:pPr>
    </w:p>
    <w:p>
      <w:pPr>
        <w:ind w:left="4020"/>
        <w:spacing w:after="0"/>
        <w:tabs>
          <w:tab w:leader="none" w:pos="4620" w:val="left"/>
        </w:tabs>
        <w:rPr>
          <w:sz w:val="20"/>
          <w:szCs w:val="20"/>
          <w:color w:val="auto"/>
        </w:rPr>
      </w:pPr>
      <w:r>
        <w:rPr>
          <w:rFonts w:ascii="Arial" w:cs="Arial" w:eastAsia="Arial" w:hAnsi="Arial"/>
          <w:sz w:val="21"/>
          <w:szCs w:val="21"/>
          <w:color w:val="505050"/>
        </w:rPr>
        <w:t>By:</w:t>
      </w:r>
      <w:r>
        <w:rPr>
          <w:sz w:val="20"/>
          <w:szCs w:val="20"/>
          <w:color w:val="auto"/>
        </w:rPr>
        <w:tab/>
      </w:r>
      <w:r>
        <w:rPr>
          <w:rFonts w:ascii="Arial" w:cs="Arial" w:eastAsia="Arial" w:hAnsi="Arial"/>
          <w:sz w:val="21"/>
          <w:szCs w:val="21"/>
          <w:color w:val="505050"/>
        </w:rPr>
        <w:t>XCEL BRANDS, INC.,</w:t>
      </w:r>
    </w:p>
    <w:p>
      <w:pPr>
        <w:spacing w:after="0" w:line="164" w:lineRule="exact"/>
        <w:rPr>
          <w:sz w:val="20"/>
          <w:szCs w:val="20"/>
          <w:color w:val="auto"/>
        </w:rPr>
      </w:pPr>
    </w:p>
    <w:p>
      <w:pPr>
        <w:ind w:left="4740"/>
        <w:spacing w:after="0"/>
        <w:rPr>
          <w:sz w:val="20"/>
          <w:szCs w:val="20"/>
          <w:color w:val="auto"/>
        </w:rPr>
      </w:pPr>
      <w:r>
        <w:rPr>
          <w:rFonts w:ascii="Arial" w:cs="Arial" w:eastAsia="Arial" w:hAnsi="Arial"/>
          <w:sz w:val="21"/>
          <w:szCs w:val="21"/>
          <w:color w:val="505050"/>
        </w:rPr>
        <w:t>Its Manager</w:t>
      </w:r>
    </w:p>
    <w:p>
      <w:pPr>
        <w:spacing w:after="0" w:line="29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James Haran</w:t>
      </w:r>
    </w:p>
    <w:p>
      <w:pPr>
        <w:spacing w:after="0" w:line="15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1"/>
          <w:szCs w:val="21"/>
          <w:color w:val="505050"/>
        </w:rPr>
        <w:t>H LICENSING, LLC</w:t>
      </w:r>
    </w:p>
    <w:p>
      <w:pPr>
        <w:spacing w:after="0" w:line="200" w:lineRule="exact"/>
        <w:rPr>
          <w:sz w:val="20"/>
          <w:szCs w:val="20"/>
          <w:color w:val="auto"/>
        </w:rPr>
      </w:pPr>
    </w:p>
    <w:p>
      <w:pPr>
        <w:spacing w:after="0" w:line="328" w:lineRule="exact"/>
        <w:rPr>
          <w:sz w:val="20"/>
          <w:szCs w:val="20"/>
          <w:color w:val="auto"/>
        </w:rPr>
      </w:pPr>
    </w:p>
    <w:p>
      <w:pPr>
        <w:ind w:left="4020"/>
        <w:spacing w:after="0"/>
        <w:tabs>
          <w:tab w:leader="none" w:pos="4640" w:val="left"/>
        </w:tabs>
        <w:rPr>
          <w:sz w:val="20"/>
          <w:szCs w:val="20"/>
          <w:color w:val="auto"/>
        </w:rPr>
      </w:pPr>
      <w:r>
        <w:rPr>
          <w:rFonts w:ascii="Arial" w:cs="Arial" w:eastAsia="Arial" w:hAnsi="Arial"/>
          <w:sz w:val="21"/>
          <w:szCs w:val="21"/>
          <w:color w:val="505050"/>
        </w:rPr>
        <w:t>By:</w:t>
      </w:r>
      <w:r>
        <w:rPr>
          <w:sz w:val="20"/>
          <w:szCs w:val="20"/>
          <w:color w:val="auto"/>
        </w:rPr>
        <w:tab/>
      </w:r>
      <w:r>
        <w:rPr>
          <w:rFonts w:ascii="Arial" w:cs="Arial" w:eastAsia="Arial" w:hAnsi="Arial"/>
          <w:sz w:val="21"/>
          <w:szCs w:val="21"/>
          <w:color w:val="505050"/>
        </w:rPr>
        <w:t>XCEL BRANDS, INC.,</w:t>
      </w:r>
    </w:p>
    <w:p>
      <w:pPr>
        <w:spacing w:after="0" w:line="164" w:lineRule="exact"/>
        <w:rPr>
          <w:sz w:val="20"/>
          <w:szCs w:val="20"/>
          <w:color w:val="auto"/>
        </w:rPr>
      </w:pPr>
    </w:p>
    <w:p>
      <w:pPr>
        <w:ind w:left="4740"/>
        <w:spacing w:after="0"/>
        <w:rPr>
          <w:sz w:val="20"/>
          <w:szCs w:val="20"/>
          <w:color w:val="auto"/>
        </w:rPr>
      </w:pPr>
      <w:r>
        <w:rPr>
          <w:rFonts w:ascii="Arial" w:cs="Arial" w:eastAsia="Arial" w:hAnsi="Arial"/>
          <w:sz w:val="21"/>
          <w:szCs w:val="21"/>
          <w:color w:val="505050"/>
        </w:rPr>
        <w:t>Its Manager</w:t>
      </w:r>
    </w:p>
    <w:p>
      <w:pPr>
        <w:spacing w:after="0" w:line="29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James Haran</w:t>
      </w:r>
    </w:p>
    <w:p>
      <w:pPr>
        <w:spacing w:after="0" w:line="15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1283335</wp:posOffset>
            </wp:positionV>
            <wp:extent cx="55206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20690" cy="17145"/>
                    </a:xfrm>
                    <a:prstGeom prst="rect">
                      <a:avLst/>
                    </a:prstGeom>
                    <a:noFill/>
                  </pic:spPr>
                </pic:pic>
              </a:graphicData>
            </a:graphic>
          </wp:anchor>
        </w:drawing>
      </w:r>
    </w:p>
    <w:p>
      <w:pPr>
        <w:sectPr>
          <w:pgSz w:w="11900" w:h="16838" w:orient="portrait"/>
          <w:cols w:equalWidth="0" w:num="1">
            <w:col w:w="9019"/>
          </w:cols>
          <w:pgMar w:left="1440" w:top="855" w:right="1440" w:bottom="1440" w:gutter="0" w:footer="0" w:header="0"/>
        </w:sectPr>
      </w:pPr>
    </w:p>
    <w:bookmarkStart w:id="43" w:name="page44"/>
    <w:bookmarkEnd w:id="43"/>
    <w:p>
      <w:pPr>
        <w:ind w:left="4040"/>
        <w:spacing w:after="0"/>
        <w:rPr>
          <w:sz w:val="20"/>
          <w:szCs w:val="20"/>
          <w:color w:val="auto"/>
        </w:rPr>
      </w:pPr>
      <w:r>
        <w:rPr>
          <w:rFonts w:ascii="Arial" w:cs="Arial" w:eastAsia="Arial" w:hAnsi="Arial"/>
          <w:sz w:val="21"/>
          <w:szCs w:val="21"/>
          <w:color w:val="4D4D4D"/>
        </w:rPr>
        <w:t>C WONDER LICENSING, LLC</w:t>
      </w:r>
    </w:p>
    <w:p>
      <w:pPr>
        <w:spacing w:after="0" w:line="200" w:lineRule="exact"/>
        <w:rPr>
          <w:sz w:val="20"/>
          <w:szCs w:val="20"/>
          <w:color w:val="auto"/>
        </w:rPr>
      </w:pPr>
    </w:p>
    <w:p>
      <w:pPr>
        <w:spacing w:after="0" w:line="328" w:lineRule="exact"/>
        <w:rPr>
          <w:sz w:val="20"/>
          <w:szCs w:val="20"/>
          <w:color w:val="auto"/>
        </w:rPr>
      </w:pPr>
    </w:p>
    <w:p>
      <w:pPr>
        <w:ind w:left="4040"/>
        <w:spacing w:after="0"/>
        <w:tabs>
          <w:tab w:leader="none" w:pos="4660" w:val="left"/>
        </w:tabs>
        <w:rPr>
          <w:sz w:val="20"/>
          <w:szCs w:val="20"/>
          <w:color w:val="auto"/>
        </w:rPr>
      </w:pPr>
      <w:r>
        <w:rPr>
          <w:rFonts w:ascii="Arial" w:cs="Arial" w:eastAsia="Arial" w:hAnsi="Arial"/>
          <w:sz w:val="21"/>
          <w:szCs w:val="21"/>
          <w:color w:val="4D4D4D"/>
        </w:rPr>
        <w:t>By:</w:t>
      </w:r>
      <w:r>
        <w:rPr>
          <w:sz w:val="20"/>
          <w:szCs w:val="20"/>
          <w:color w:val="auto"/>
        </w:rPr>
        <w:tab/>
      </w:r>
      <w:r>
        <w:rPr>
          <w:rFonts w:ascii="Arial" w:cs="Arial" w:eastAsia="Arial" w:hAnsi="Arial"/>
          <w:sz w:val="21"/>
          <w:szCs w:val="21"/>
          <w:color w:val="4D4D4D"/>
        </w:rPr>
        <w:t>XCEL BRANDS, INC.,</w:t>
      </w:r>
    </w:p>
    <w:p>
      <w:pPr>
        <w:spacing w:after="0" w:line="164" w:lineRule="exact"/>
        <w:rPr>
          <w:sz w:val="20"/>
          <w:szCs w:val="20"/>
          <w:color w:val="auto"/>
        </w:rPr>
      </w:pPr>
    </w:p>
    <w:p>
      <w:pPr>
        <w:ind w:left="4780"/>
        <w:spacing w:after="0"/>
        <w:rPr>
          <w:sz w:val="20"/>
          <w:szCs w:val="20"/>
          <w:color w:val="auto"/>
        </w:rPr>
      </w:pPr>
      <w:r>
        <w:rPr>
          <w:rFonts w:ascii="Arial" w:cs="Arial" w:eastAsia="Arial" w:hAnsi="Arial"/>
          <w:sz w:val="21"/>
          <w:szCs w:val="21"/>
          <w:color w:val="4D4D4D"/>
        </w:rPr>
        <w:t>Its Manager</w:t>
      </w:r>
    </w:p>
    <w:p>
      <w:pPr>
        <w:spacing w:after="0" w:line="200" w:lineRule="exact"/>
        <w:rPr>
          <w:sz w:val="20"/>
          <w:szCs w:val="20"/>
          <w:color w:val="auto"/>
        </w:rPr>
      </w:pPr>
    </w:p>
    <w:p>
      <w:pPr>
        <w:spacing w:after="0" w:line="24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James Haran</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3" w:lineRule="exact"/>
        <w:rPr>
          <w:sz w:val="20"/>
          <w:szCs w:val="20"/>
          <w:color w:val="auto"/>
        </w:rPr>
      </w:pPr>
    </w:p>
    <w:p>
      <w:pPr>
        <w:ind w:left="4040"/>
        <w:spacing w:after="0"/>
        <w:rPr>
          <w:sz w:val="20"/>
          <w:szCs w:val="20"/>
          <w:color w:val="auto"/>
        </w:rPr>
      </w:pPr>
      <w:r>
        <w:rPr>
          <w:rFonts w:ascii="Arial" w:cs="Arial" w:eastAsia="Arial" w:hAnsi="Arial"/>
          <w:sz w:val="21"/>
          <w:szCs w:val="21"/>
          <w:color w:val="4D4D4D"/>
        </w:rPr>
        <w:t>XCEL DESIGN GROUP, LLC</w:t>
      </w:r>
    </w:p>
    <w:p>
      <w:pPr>
        <w:spacing w:after="0" w:line="20" w:lineRule="exact"/>
        <w:rPr>
          <w:sz w:val="20"/>
          <w:szCs w:val="20"/>
          <w:color w:val="auto"/>
        </w:rPr>
      </w:pPr>
    </w:p>
    <w:p>
      <w:pPr>
        <w:ind w:left="4040"/>
        <w:spacing w:after="0"/>
        <w:tabs>
          <w:tab w:leader="none" w:pos="4660" w:val="left"/>
        </w:tabs>
        <w:rPr>
          <w:sz w:val="20"/>
          <w:szCs w:val="20"/>
          <w:color w:val="auto"/>
        </w:rPr>
      </w:pPr>
      <w:r>
        <w:rPr>
          <w:rFonts w:ascii="Arial" w:cs="Arial" w:eastAsia="Arial" w:hAnsi="Arial"/>
          <w:sz w:val="21"/>
          <w:szCs w:val="21"/>
          <w:color w:val="4D4D4D"/>
        </w:rPr>
        <w:t>By:</w:t>
      </w:r>
      <w:r>
        <w:rPr>
          <w:sz w:val="20"/>
          <w:szCs w:val="20"/>
          <w:color w:val="auto"/>
        </w:rPr>
        <w:tab/>
      </w:r>
      <w:r>
        <w:rPr>
          <w:rFonts w:ascii="Arial" w:cs="Arial" w:eastAsia="Arial" w:hAnsi="Arial"/>
          <w:sz w:val="21"/>
          <w:szCs w:val="21"/>
          <w:color w:val="4D4D4D"/>
        </w:rPr>
        <w:t>XCEL BRANDS, INC.,</w:t>
      </w:r>
    </w:p>
    <w:p>
      <w:pPr>
        <w:spacing w:after="0" w:line="146" w:lineRule="exact"/>
        <w:rPr>
          <w:sz w:val="20"/>
          <w:szCs w:val="20"/>
          <w:color w:val="auto"/>
        </w:rPr>
      </w:pPr>
    </w:p>
    <w:p>
      <w:pPr>
        <w:ind w:left="4780"/>
        <w:spacing w:after="0"/>
        <w:rPr>
          <w:sz w:val="20"/>
          <w:szCs w:val="20"/>
          <w:color w:val="auto"/>
        </w:rPr>
      </w:pPr>
      <w:r>
        <w:rPr>
          <w:rFonts w:ascii="Arial" w:cs="Arial" w:eastAsia="Arial" w:hAnsi="Arial"/>
          <w:sz w:val="21"/>
          <w:szCs w:val="21"/>
          <w:color w:val="4D4D4D"/>
        </w:rPr>
        <w:t>Its Manager</w:t>
      </w:r>
    </w:p>
    <w:p>
      <w:pPr>
        <w:spacing w:after="0" w:line="200" w:lineRule="exact"/>
        <w:rPr>
          <w:sz w:val="20"/>
          <w:szCs w:val="20"/>
          <w:color w:val="auto"/>
        </w:rPr>
      </w:pPr>
    </w:p>
    <w:p>
      <w:pPr>
        <w:spacing w:after="0" w:line="20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James Haran</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3" w:lineRule="exact"/>
        <w:rPr>
          <w:sz w:val="20"/>
          <w:szCs w:val="20"/>
          <w:color w:val="auto"/>
        </w:rPr>
      </w:pPr>
    </w:p>
    <w:p>
      <w:pPr>
        <w:ind w:left="4060"/>
        <w:spacing w:after="0"/>
        <w:rPr>
          <w:sz w:val="20"/>
          <w:szCs w:val="20"/>
          <w:color w:val="auto"/>
        </w:rPr>
      </w:pPr>
      <w:r>
        <w:rPr>
          <w:rFonts w:ascii="Arial" w:cs="Arial" w:eastAsia="Arial" w:hAnsi="Arial"/>
          <w:sz w:val="20"/>
          <w:szCs w:val="20"/>
          <w:color w:val="4D4D4D"/>
        </w:rPr>
        <w:t>JUDITH RIPKA FINE JEWELRY, LLC</w:t>
      </w:r>
    </w:p>
    <w:p>
      <w:pPr>
        <w:spacing w:after="0" w:line="31" w:lineRule="exact"/>
        <w:rPr>
          <w:sz w:val="20"/>
          <w:szCs w:val="20"/>
          <w:color w:val="auto"/>
        </w:rPr>
      </w:pPr>
    </w:p>
    <w:p>
      <w:pPr>
        <w:ind w:left="4060"/>
        <w:spacing w:after="0"/>
        <w:tabs>
          <w:tab w:leader="none" w:pos="4680" w:val="left"/>
        </w:tabs>
        <w:rPr>
          <w:sz w:val="20"/>
          <w:szCs w:val="20"/>
          <w:color w:val="auto"/>
        </w:rPr>
      </w:pPr>
      <w:r>
        <w:rPr>
          <w:rFonts w:ascii="Arial" w:cs="Arial" w:eastAsia="Arial" w:hAnsi="Arial"/>
          <w:sz w:val="21"/>
          <w:szCs w:val="21"/>
          <w:color w:val="4D4D4D"/>
        </w:rPr>
        <w:t>By:</w:t>
      </w:r>
      <w:r>
        <w:rPr>
          <w:sz w:val="20"/>
          <w:szCs w:val="20"/>
          <w:color w:val="auto"/>
        </w:rPr>
        <w:tab/>
      </w:r>
      <w:r>
        <w:rPr>
          <w:rFonts w:ascii="Arial" w:cs="Arial" w:eastAsia="Arial" w:hAnsi="Arial"/>
          <w:sz w:val="21"/>
          <w:szCs w:val="21"/>
          <w:color w:val="4D4D4D"/>
        </w:rPr>
        <w:t>XCEL BRANDS, INC.,</w:t>
      </w:r>
    </w:p>
    <w:p>
      <w:pPr>
        <w:spacing w:after="0" w:line="146" w:lineRule="exact"/>
        <w:rPr>
          <w:sz w:val="20"/>
          <w:szCs w:val="20"/>
          <w:color w:val="auto"/>
        </w:rPr>
      </w:pPr>
    </w:p>
    <w:p>
      <w:pPr>
        <w:ind w:left="4780"/>
        <w:spacing w:after="0"/>
        <w:rPr>
          <w:sz w:val="20"/>
          <w:szCs w:val="20"/>
          <w:color w:val="auto"/>
        </w:rPr>
      </w:pPr>
      <w:r>
        <w:rPr>
          <w:rFonts w:ascii="Arial" w:cs="Arial" w:eastAsia="Arial" w:hAnsi="Arial"/>
          <w:sz w:val="21"/>
          <w:szCs w:val="21"/>
          <w:color w:val="4D4D4D"/>
        </w:rPr>
        <w:t>Its Manager</w:t>
      </w:r>
    </w:p>
    <w:p>
      <w:pPr>
        <w:spacing w:after="0" w:line="200" w:lineRule="exact"/>
        <w:rPr>
          <w:sz w:val="20"/>
          <w:szCs w:val="20"/>
          <w:color w:val="auto"/>
        </w:rPr>
      </w:pPr>
    </w:p>
    <w:p>
      <w:pPr>
        <w:spacing w:after="0" w:line="2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James Haran</w:t>
      </w:r>
    </w:p>
    <w:p>
      <w:pPr>
        <w:spacing w:after="0" w:line="14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36" w:lineRule="exact"/>
        <w:rPr>
          <w:sz w:val="20"/>
          <w:szCs w:val="20"/>
          <w:color w:val="auto"/>
        </w:rPr>
      </w:pPr>
    </w:p>
    <w:p>
      <w:pPr>
        <w:ind w:left="4060"/>
        <w:spacing w:after="0"/>
        <w:rPr>
          <w:sz w:val="20"/>
          <w:szCs w:val="20"/>
          <w:color w:val="auto"/>
        </w:rPr>
      </w:pPr>
      <w:r>
        <w:rPr>
          <w:rFonts w:ascii="Arial" w:cs="Arial" w:eastAsia="Arial" w:hAnsi="Arial"/>
          <w:sz w:val="21"/>
          <w:szCs w:val="21"/>
          <w:color w:val="4D4D4D"/>
        </w:rPr>
        <w:t>H HERITAGE LICENSING, LLC</w:t>
      </w:r>
    </w:p>
    <w:p>
      <w:pPr>
        <w:spacing w:after="0" w:line="20" w:lineRule="exact"/>
        <w:rPr>
          <w:sz w:val="20"/>
          <w:szCs w:val="20"/>
          <w:color w:val="auto"/>
        </w:rPr>
      </w:pPr>
    </w:p>
    <w:p>
      <w:pPr>
        <w:ind w:left="4060"/>
        <w:spacing w:after="0"/>
        <w:tabs>
          <w:tab w:leader="none" w:pos="4680" w:val="left"/>
        </w:tabs>
        <w:rPr>
          <w:sz w:val="20"/>
          <w:szCs w:val="20"/>
          <w:color w:val="auto"/>
        </w:rPr>
      </w:pPr>
      <w:r>
        <w:rPr>
          <w:rFonts w:ascii="Arial" w:cs="Arial" w:eastAsia="Arial" w:hAnsi="Arial"/>
          <w:sz w:val="21"/>
          <w:szCs w:val="21"/>
          <w:color w:val="4D4D4D"/>
        </w:rPr>
        <w:t>By:</w:t>
      </w:r>
      <w:r>
        <w:rPr>
          <w:sz w:val="20"/>
          <w:szCs w:val="20"/>
          <w:color w:val="auto"/>
        </w:rPr>
        <w:tab/>
      </w:r>
      <w:r>
        <w:rPr>
          <w:rFonts w:ascii="Arial" w:cs="Arial" w:eastAsia="Arial" w:hAnsi="Arial"/>
          <w:sz w:val="21"/>
          <w:szCs w:val="21"/>
          <w:color w:val="4D4D4D"/>
        </w:rPr>
        <w:t>XCEL BRANDS, INC.,</w:t>
      </w:r>
    </w:p>
    <w:p>
      <w:pPr>
        <w:spacing w:after="0" w:line="132" w:lineRule="exact"/>
        <w:rPr>
          <w:sz w:val="20"/>
          <w:szCs w:val="20"/>
          <w:color w:val="auto"/>
        </w:rPr>
      </w:pPr>
    </w:p>
    <w:p>
      <w:pPr>
        <w:ind w:left="4800"/>
        <w:spacing w:after="0"/>
        <w:rPr>
          <w:sz w:val="20"/>
          <w:szCs w:val="20"/>
          <w:color w:val="auto"/>
        </w:rPr>
      </w:pPr>
      <w:r>
        <w:rPr>
          <w:rFonts w:ascii="Arial" w:cs="Arial" w:eastAsia="Arial" w:hAnsi="Arial"/>
          <w:sz w:val="21"/>
          <w:szCs w:val="21"/>
          <w:color w:val="4D4D4D"/>
        </w:rPr>
        <w:t>Its Manager</w:t>
      </w:r>
    </w:p>
    <w:p>
      <w:pPr>
        <w:spacing w:after="0" w:line="200" w:lineRule="exact"/>
        <w:rPr>
          <w:sz w:val="20"/>
          <w:szCs w:val="20"/>
          <w:color w:val="auto"/>
        </w:rPr>
      </w:pPr>
    </w:p>
    <w:p>
      <w:pPr>
        <w:spacing w:after="0" w:line="34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James Haran</w:t>
      </w:r>
    </w:p>
    <w:p>
      <w:pPr>
        <w:spacing w:after="0" w:line="14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1343660</wp:posOffset>
            </wp:positionV>
            <wp:extent cx="539178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91785"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4" w:name="page45"/>
    <w:bookmarkEnd w:id="44"/>
    <w:p>
      <w:pPr>
        <w:ind w:left="4020"/>
        <w:spacing w:after="0"/>
        <w:rPr>
          <w:sz w:val="20"/>
          <w:szCs w:val="20"/>
          <w:color w:val="auto"/>
        </w:rPr>
      </w:pPr>
      <w:r>
        <w:rPr>
          <w:rFonts w:ascii="Arial" w:cs="Arial" w:eastAsia="Arial" w:hAnsi="Arial"/>
          <w:sz w:val="20"/>
          <w:szCs w:val="20"/>
          <w:b w:val="1"/>
          <w:bCs w:val="1"/>
          <w:color w:val="595959"/>
        </w:rPr>
        <w:t>XCEL-CT MFG, LLC</w:t>
      </w:r>
    </w:p>
    <w:p>
      <w:pPr>
        <w:spacing w:after="0" w:line="200" w:lineRule="exact"/>
        <w:rPr>
          <w:sz w:val="20"/>
          <w:szCs w:val="20"/>
          <w:color w:val="auto"/>
        </w:rPr>
      </w:pPr>
    </w:p>
    <w:p>
      <w:pPr>
        <w:spacing w:after="0" w:line="340" w:lineRule="exact"/>
        <w:rPr>
          <w:sz w:val="20"/>
          <w:szCs w:val="20"/>
          <w:color w:val="auto"/>
        </w:rPr>
      </w:pPr>
    </w:p>
    <w:p>
      <w:pPr>
        <w:ind w:left="4020"/>
        <w:spacing w:after="0"/>
        <w:tabs>
          <w:tab w:leader="none" w:pos="4640" w:val="left"/>
        </w:tabs>
        <w:rPr>
          <w:sz w:val="20"/>
          <w:szCs w:val="20"/>
          <w:color w:val="auto"/>
        </w:rPr>
      </w:pPr>
      <w:r>
        <w:rPr>
          <w:rFonts w:ascii="Arial" w:cs="Arial" w:eastAsia="Arial" w:hAnsi="Arial"/>
          <w:sz w:val="20"/>
          <w:szCs w:val="20"/>
          <w:b w:val="1"/>
          <w:bCs w:val="1"/>
          <w:color w:val="595959"/>
        </w:rPr>
        <w:t>By:</w:t>
      </w:r>
      <w:r>
        <w:rPr>
          <w:sz w:val="20"/>
          <w:szCs w:val="20"/>
          <w:color w:val="auto"/>
        </w:rPr>
        <w:tab/>
      </w:r>
      <w:r>
        <w:rPr>
          <w:rFonts w:ascii="Arial" w:cs="Arial" w:eastAsia="Arial" w:hAnsi="Arial"/>
          <w:sz w:val="20"/>
          <w:szCs w:val="20"/>
          <w:b w:val="1"/>
          <w:bCs w:val="1"/>
          <w:color w:val="595959"/>
        </w:rPr>
        <w:t>XCEL BRANDS, INC.,</w:t>
      </w:r>
    </w:p>
    <w:p>
      <w:pPr>
        <w:spacing w:after="0" w:line="156" w:lineRule="exact"/>
        <w:rPr>
          <w:sz w:val="20"/>
          <w:szCs w:val="20"/>
          <w:color w:val="auto"/>
        </w:rPr>
      </w:pPr>
    </w:p>
    <w:p>
      <w:pPr>
        <w:ind w:left="4760"/>
        <w:spacing w:after="0"/>
        <w:rPr>
          <w:sz w:val="20"/>
          <w:szCs w:val="20"/>
          <w:color w:val="auto"/>
        </w:rPr>
      </w:pPr>
      <w:r>
        <w:rPr>
          <w:rFonts w:ascii="Arial" w:cs="Arial" w:eastAsia="Arial" w:hAnsi="Arial"/>
          <w:sz w:val="19"/>
          <w:szCs w:val="19"/>
          <w:b w:val="1"/>
          <w:bCs w:val="1"/>
          <w:color w:val="595959"/>
        </w:rPr>
        <w:t>Its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James Haran</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6504305</wp:posOffset>
            </wp:positionV>
            <wp:extent cx="539178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91785"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45" w:name="page46"/>
    <w:bookmarkEnd w:id="45"/>
    <w:p>
      <w:pPr>
        <w:ind w:left="4100"/>
        <w:spacing w:after="0"/>
        <w:rPr>
          <w:sz w:val="20"/>
          <w:szCs w:val="20"/>
          <w:color w:val="auto"/>
        </w:rPr>
      </w:pPr>
      <w:r>
        <w:rPr>
          <w:rFonts w:ascii="Arial" w:cs="Arial" w:eastAsia="Arial" w:hAnsi="Arial"/>
          <w:sz w:val="19"/>
          <w:szCs w:val="19"/>
          <w:color w:val="auto"/>
        </w:rPr>
        <w:t>BANK HAPOALIM B.M., a Lender and as Agent</w:t>
      </w:r>
    </w:p>
    <w:p>
      <w:pPr>
        <w:sectPr>
          <w:pgSz w:w="11900" w:h="16838" w:orient="portrait"/>
          <w:cols w:equalWidth="0" w:num="1">
            <w:col w:w="9019"/>
          </w:cols>
          <w:pgMar w:left="14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260"/>
        <w:spacing w:after="0"/>
        <w:tabs>
          <w:tab w:leader="none" w:pos="5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0"/>
          <w:szCs w:val="20"/>
          <w:color w:val="auto"/>
        </w:rPr>
        <w:t>/s/ Lisa Matalon</w:t>
      </w:r>
    </w:p>
    <w:p>
      <w:pPr>
        <w:spacing w:after="0" w:line="37"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w:t>
      </w:r>
    </w:p>
    <w:p>
      <w:pPr>
        <w:jc w:val="center"/>
        <w:ind w:right="-280"/>
        <w:spacing w:after="0" w:line="213" w:lineRule="auto"/>
        <w:rPr>
          <w:sz w:val="20"/>
          <w:szCs w:val="20"/>
          <w:color w:val="auto"/>
        </w:rPr>
      </w:pPr>
      <w:r>
        <w:rPr>
          <w:rFonts w:ascii="Arial" w:cs="Arial" w:eastAsia="Arial" w:hAnsi="Arial"/>
          <w:sz w:val="22"/>
          <w:szCs w:val="22"/>
          <w:color w:val="auto"/>
        </w:rPr>
        <w:t>Title:</w:t>
      </w:r>
    </w:p>
    <w:p>
      <w:pPr>
        <w:ind w:left="5640"/>
        <w:spacing w:after="0"/>
        <w:rPr>
          <w:sz w:val="20"/>
          <w:szCs w:val="20"/>
          <w:color w:val="auto"/>
        </w:rPr>
      </w:pPr>
      <w:r>
        <w:rPr>
          <w:rFonts w:ascii="Arial" w:cs="Arial" w:eastAsia="Arial" w:hAnsi="Arial"/>
          <w:sz w:val="16"/>
          <w:szCs w:val="16"/>
          <w:color w:val="auto"/>
        </w:rPr>
        <w:t>Lisa Matalon</w:t>
      </w:r>
    </w:p>
    <w:p>
      <w:pPr>
        <w:spacing w:after="0" w:line="1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First Vice President</w:t>
      </w:r>
    </w:p>
    <w:p>
      <w:pPr>
        <w:jc w:val="center"/>
        <w:ind w:right="199"/>
        <w:spacing w:after="0"/>
        <w:rPr>
          <w:sz w:val="20"/>
          <w:szCs w:val="20"/>
          <w:color w:val="auto"/>
        </w:rPr>
      </w:pPr>
      <w:r>
        <w:rPr>
          <w:rFonts w:ascii="Arial" w:cs="Arial" w:eastAsia="Arial" w:hAnsi="Arial"/>
          <w:sz w:val="19"/>
          <w:szCs w:val="19"/>
          <w:color w:val="auto"/>
        </w:rPr>
        <w:t>By:</w:t>
      </w:r>
    </w:p>
    <w:p>
      <w:pPr>
        <w:spacing w:after="0" w:line="3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Title:</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Marline Alexander</w:t>
      </w:r>
    </w:p>
    <w:p>
      <w:pPr>
        <w:spacing w:after="0" w:line="200" w:lineRule="exact"/>
        <w:rPr>
          <w:sz w:val="20"/>
          <w:szCs w:val="20"/>
          <w:color w:val="auto"/>
        </w:rPr>
      </w:pPr>
    </w:p>
    <w:p>
      <w:pPr>
        <w:spacing w:after="0" w:line="35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Marline Alexander</w:t>
      </w:r>
    </w:p>
    <w:p>
      <w:pPr>
        <w:spacing w:after="0" w:line="1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439420</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21"/>
          <w:szCs w:val="21"/>
          <w:b w:val="1"/>
          <w:bCs w:val="1"/>
          <w:u w:val="single" w:color="auto"/>
          <w:color w:val="auto"/>
        </w:rPr>
        <w:t>EXHIBIT B-1</w:t>
      </w:r>
    </w:p>
    <w:p>
      <w:pPr>
        <w:sectPr>
          <w:pgSz w:w="11900" w:h="16838" w:orient="portrait"/>
          <w:cols w:equalWidth="0" w:num="1">
            <w:col w:w="9019"/>
          </w:cols>
          <w:pgMar w:left="1440" w:top="369" w:right="1440"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2889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88915" cy="2603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type w:val="continuous"/>
        </w:sectPr>
      </w:pPr>
    </w:p>
    <w:bookmarkStart w:id="47" w:name="page48"/>
    <w:bookmarkEnd w:id="47"/>
    <w:p>
      <w:pPr>
        <w:jc w:val="center"/>
        <w:ind w:right="19"/>
        <w:spacing w:after="0"/>
        <w:rPr>
          <w:sz w:val="20"/>
          <w:szCs w:val="20"/>
          <w:color w:val="auto"/>
        </w:rPr>
      </w:pPr>
      <w:r>
        <w:rPr>
          <w:rFonts w:ascii="Arial" w:cs="Arial" w:eastAsia="Arial" w:hAnsi="Arial"/>
          <w:sz w:val="22"/>
          <w:szCs w:val="22"/>
          <w:b w:val="1"/>
          <w:bCs w:val="1"/>
          <w:color w:val="auto"/>
        </w:rPr>
        <w:t>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 LOAN NOTE A</w:t>
      </w:r>
    </w:p>
    <w:p>
      <w:pPr>
        <w:spacing w:after="0" w:line="364" w:lineRule="exact"/>
        <w:rPr>
          <w:sz w:val="20"/>
          <w:szCs w:val="20"/>
          <w:color w:val="auto"/>
        </w:rPr>
      </w:pPr>
    </w:p>
    <w:p>
      <w:pPr>
        <w:ind w:left="300"/>
        <w:spacing w:after="0"/>
        <w:tabs>
          <w:tab w:leader="none" w:pos="6960" w:val="left"/>
        </w:tabs>
        <w:rPr>
          <w:sz w:val="20"/>
          <w:szCs w:val="20"/>
          <w:color w:val="auto"/>
        </w:rPr>
      </w:pPr>
      <w:r>
        <w:rPr>
          <w:rFonts w:ascii="Arial" w:cs="Arial" w:eastAsia="Arial" w:hAnsi="Arial"/>
          <w:sz w:val="22"/>
          <w:szCs w:val="22"/>
          <w:color w:val="auto"/>
        </w:rPr>
        <w:t>$7,250,000</w:t>
      </w:r>
      <w:r>
        <w:rPr>
          <w:sz w:val="20"/>
          <w:szCs w:val="20"/>
          <w:color w:val="auto"/>
        </w:rPr>
        <w:tab/>
      </w:r>
      <w:r>
        <w:rPr>
          <w:rFonts w:ascii="Arial" w:cs="Arial" w:eastAsia="Arial" w:hAnsi="Arial"/>
          <w:sz w:val="19"/>
          <w:szCs w:val="19"/>
          <w:color w:val="auto"/>
        </w:rPr>
        <w:t>September 24, 2020</w:t>
      </w:r>
    </w:p>
    <w:p>
      <w:pPr>
        <w:spacing w:after="0" w:line="166"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 xml:space="preserve">This Amended and Restated Term Loan Note A (this </w:t>
      </w:r>
      <w:r>
        <w:rPr>
          <w:rFonts w:ascii="Arial" w:cs="Arial" w:eastAsia="Arial" w:hAnsi="Arial"/>
          <w:sz w:val="19"/>
          <w:szCs w:val="19"/>
          <w:u w:val="single" w:color="auto"/>
          <w:color w:val="auto"/>
        </w:rPr>
        <w:t>“</w:t>
      </w:r>
      <w:r>
        <w:rPr>
          <w:rFonts w:ascii="Arial" w:cs="Arial" w:eastAsia="Arial" w:hAnsi="Arial"/>
          <w:sz w:val="19"/>
          <w:szCs w:val="19"/>
          <w:color w:val="auto"/>
        </w:rPr>
        <w:t>Note”) is executed and delivered under and pursuant to the terms of that certain Second Amended and Restated Loan and Security Agreement dated as of February 11, 2019 (as amended, modified, supplemented or restated from time to time, the “</w:t>
      </w:r>
      <w:r>
        <w:rPr>
          <w:rFonts w:ascii="Arial" w:cs="Arial" w:eastAsia="Arial" w:hAnsi="Arial"/>
          <w:sz w:val="19"/>
          <w:szCs w:val="19"/>
          <w:u w:val="single" w:color="auto"/>
          <w:color w:val="auto"/>
        </w:rPr>
        <w:t>Loan Agreeme</w:t>
      </w:r>
      <w:r>
        <w:rPr>
          <w:rFonts w:ascii="Arial" w:cs="Arial" w:eastAsia="Arial" w:hAnsi="Arial"/>
          <w:sz w:val="19"/>
          <w:szCs w:val="19"/>
          <w:color w:val="auto"/>
        </w:rPr>
        <w:t>nt”) by and among BANK HAPOALIM B.M. (</w:t>
      </w:r>
      <w:r>
        <w:rPr>
          <w:rFonts w:ascii="Arial" w:cs="Arial" w:eastAsia="Arial" w:hAnsi="Arial"/>
          <w:sz w:val="19"/>
          <w:szCs w:val="19"/>
          <w:u w:val="single" w:color="auto"/>
          <w:color w:val="auto"/>
        </w:rPr>
        <w:t>“</w:t>
      </w:r>
      <w:r>
        <w:rPr>
          <w:rFonts w:ascii="Arial" w:cs="Arial" w:eastAsia="Arial" w:hAnsi="Arial"/>
          <w:sz w:val="19"/>
          <w:szCs w:val="19"/>
          <w:color w:val="auto"/>
        </w:rPr>
        <w:t>Lend</w:t>
      </w:r>
      <w:r>
        <w:rPr>
          <w:rFonts w:ascii="Arial" w:cs="Arial" w:eastAsia="Arial" w:hAnsi="Arial"/>
          <w:sz w:val="19"/>
          <w:szCs w:val="19"/>
          <w:u w:val="single" w:color="auto"/>
          <w:color w:val="auto"/>
        </w:rPr>
        <w:t>er</w:t>
      </w:r>
      <w:r>
        <w:rPr>
          <w:rFonts w:ascii="Arial" w:cs="Arial" w:eastAsia="Arial" w:hAnsi="Arial"/>
          <w:sz w:val="19"/>
          <w:szCs w:val="19"/>
          <w:color w:val="auto"/>
        </w:rPr>
        <w:t>”), XCEL BRANDS, INC. (</w:t>
      </w:r>
      <w:r>
        <w:rPr>
          <w:rFonts w:ascii="Arial" w:cs="Arial" w:eastAsia="Arial" w:hAnsi="Arial"/>
          <w:sz w:val="19"/>
          <w:szCs w:val="19"/>
          <w:u w:val="single" w:color="auto"/>
          <w:color w:val="auto"/>
        </w:rPr>
        <w:t>“</w:t>
      </w:r>
      <w:r>
        <w:rPr>
          <w:rFonts w:ascii="Arial" w:cs="Arial" w:eastAsia="Arial" w:hAnsi="Arial"/>
          <w:sz w:val="19"/>
          <w:szCs w:val="19"/>
          <w:color w:val="auto"/>
        </w:rPr>
        <w:t xml:space="preserve">Initial </w:t>
      </w:r>
      <w:r>
        <w:rPr>
          <w:rFonts w:ascii="Arial" w:cs="Arial" w:eastAsia="Arial" w:hAnsi="Arial"/>
          <w:sz w:val="19"/>
          <w:szCs w:val="19"/>
          <w:u w:val="single" w:color="auto"/>
          <w:color w:val="auto"/>
        </w:rPr>
        <w:t>B</w:t>
      </w:r>
      <w:r>
        <w:rPr>
          <w:rFonts w:ascii="Arial" w:cs="Arial" w:eastAsia="Arial" w:hAnsi="Arial"/>
          <w:sz w:val="19"/>
          <w:szCs w:val="19"/>
          <w:color w:val="auto"/>
        </w:rPr>
        <w:t xml:space="preserve">orrower” and together with each Person who hereafter becomes a Borrower, collectively </w:t>
      </w:r>
      <w:r>
        <w:rPr>
          <w:rFonts w:ascii="Arial" w:cs="Arial" w:eastAsia="Arial" w:hAnsi="Arial"/>
          <w:sz w:val="19"/>
          <w:szCs w:val="19"/>
          <w:u w:val="single" w:color="auto"/>
          <w:color w:val="auto"/>
        </w:rPr>
        <w:t>“</w:t>
      </w:r>
      <w:r>
        <w:rPr>
          <w:rFonts w:ascii="Arial" w:cs="Arial" w:eastAsia="Arial" w:hAnsi="Arial"/>
          <w:sz w:val="19"/>
          <w:szCs w:val="19"/>
          <w:color w:val="auto"/>
        </w:rPr>
        <w:t xml:space="preserve">Borrowers”), and any other Credit Party executing or becoming a party to the Loan Agreement, the financial institutions party thereto as Lenders and BANK HAPOALIM B.M., as agent for Lenders (in such capacity, </w:t>
      </w:r>
      <w:r>
        <w:rPr>
          <w:rFonts w:ascii="Arial" w:cs="Arial" w:eastAsia="Arial" w:hAnsi="Arial"/>
          <w:sz w:val="19"/>
          <w:szCs w:val="19"/>
          <w:u w:val="single" w:color="auto"/>
          <w:color w:val="auto"/>
        </w:rPr>
        <w:t>“</w:t>
      </w:r>
      <w:r>
        <w:rPr>
          <w:rFonts w:ascii="Arial" w:cs="Arial" w:eastAsia="Arial" w:hAnsi="Arial"/>
          <w:sz w:val="19"/>
          <w:szCs w:val="19"/>
          <w:color w:val="auto"/>
        </w:rPr>
        <w:t>Agent”). Capitalized terms not otherwise defined herein shall have the meanings ascribed thereto in the Loan Agreement.</w:t>
      </w:r>
    </w:p>
    <w:p>
      <w:pPr>
        <w:spacing w:after="0" w:line="103"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FOR VALUE RECEIVED, Borrower promises to pay to the order of Lender at the offices of Agent located at 1120 Avenue of the Americas, New York, New York 10036 or at such other place as the holder hereof may from time to time designate to Borrower in writing:</w:t>
      </w:r>
    </w:p>
    <w:p>
      <w:pPr>
        <w:spacing w:after="0" w:line="93" w:lineRule="exact"/>
        <w:rPr>
          <w:sz w:val="20"/>
          <w:szCs w:val="20"/>
          <w:color w:val="auto"/>
        </w:rPr>
      </w:pPr>
    </w:p>
    <w:p>
      <w:pPr>
        <w:jc w:val="both"/>
        <w:ind w:left="200" w:right="219" w:firstLine="655"/>
        <w:spacing w:after="0" w:line="294" w:lineRule="auto"/>
        <w:tabs>
          <w:tab w:leader="none" w:pos="1496" w:val="left"/>
        </w:tabs>
        <w:numPr>
          <w:ilvl w:val="0"/>
          <w:numId w:val="25"/>
        </w:numPr>
        <w:rPr>
          <w:rFonts w:ascii="Arial" w:cs="Arial" w:eastAsia="Arial" w:hAnsi="Arial"/>
          <w:sz w:val="19"/>
          <w:szCs w:val="19"/>
          <w:color w:val="010000"/>
        </w:rPr>
      </w:pPr>
      <w:r>
        <w:rPr>
          <w:rFonts w:ascii="Arial" w:cs="Arial" w:eastAsia="Arial" w:hAnsi="Arial"/>
          <w:sz w:val="19"/>
          <w:szCs w:val="19"/>
          <w:color w:val="auto"/>
        </w:rPr>
        <w:t>the principal sum of Seven Million Two Hundred Fifty Thousand Dollars ($7,250,000), payable, subject to acceleration upon the occurrence of an Event of Default under the Loan Agreement, or earlier termination of the Loan Agreement pursuant to the terms thereof, in quarterly installments commencing on June 30, 2019 and on each March 31, June 30, September 30 and December 31 thereafter in the amounts set forth below for the corresponding period, with the entire unpaid balance due and payable on the Term Loan Maturity Date:</w:t>
      </w:r>
    </w:p>
    <w:p>
      <w:pPr>
        <w:spacing w:after="0" w:line="299" w:lineRule="exact"/>
        <w:rPr>
          <w:sz w:val="20"/>
          <w:szCs w:val="20"/>
          <w:color w:val="auto"/>
        </w:rPr>
      </w:pPr>
    </w:p>
    <w:tbl>
      <w:tblPr>
        <w:tblLayout w:type="fixed"/>
        <w:tblInd w:w="1530" w:type="dxa"/>
        <w:tblCellMar>
          <w:top w:w="0" w:type="dxa"/>
          <w:left w:w="0" w:type="dxa"/>
          <w:bottom w:w="0" w:type="dxa"/>
          <w:right w:w="0" w:type="dxa"/>
        </w:tblCellMar>
      </w:tblPr>
      <w:tr>
        <w:trPr>
          <w:trHeight w:val="310"/>
        </w:trPr>
        <w:tc>
          <w:tcPr>
            <w:tcW w:w="100" w:type="dxa"/>
            <w:vAlign w:val="bottom"/>
            <w:tcBorders>
              <w:top w:val="single" w:sz="8" w:color="auto"/>
              <w:left w:val="single" w:sz="8" w:color="auto"/>
            </w:tcBorders>
          </w:tcPr>
          <w:p>
            <w:pPr>
              <w:spacing w:after="0"/>
              <w:rPr>
                <w:sz w:val="24"/>
                <w:szCs w:val="24"/>
                <w:color w:val="auto"/>
              </w:rPr>
            </w:pPr>
          </w:p>
        </w:tc>
        <w:tc>
          <w:tcPr>
            <w:tcW w:w="32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Period</w:t>
            </w:r>
          </w:p>
        </w:tc>
        <w:tc>
          <w:tcPr>
            <w:tcW w:w="100" w:type="dxa"/>
            <w:vAlign w:val="bottom"/>
            <w:tcBorders>
              <w:top w:val="single" w:sz="8" w:color="auto"/>
            </w:tcBorders>
          </w:tcPr>
          <w:p>
            <w:pPr>
              <w:spacing w:after="0"/>
              <w:rPr>
                <w:sz w:val="24"/>
                <w:szCs w:val="24"/>
                <w:color w:val="auto"/>
              </w:rPr>
            </w:pPr>
          </w:p>
        </w:tc>
        <w:tc>
          <w:tcPr>
            <w:tcW w:w="26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Amount</w:t>
            </w:r>
          </w:p>
        </w:tc>
      </w:tr>
      <w:tr>
        <w:trPr>
          <w:trHeight w:val="155"/>
        </w:trPr>
        <w:tc>
          <w:tcPr>
            <w:tcW w:w="100" w:type="dxa"/>
            <w:vAlign w:val="bottom"/>
            <w:tcBorders>
              <w:left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270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r>
      <w:tr>
        <w:trPr>
          <w:trHeight w:val="250"/>
        </w:trPr>
        <w:tc>
          <w:tcPr>
            <w:tcW w:w="100" w:type="dxa"/>
            <w:vAlign w:val="bottom"/>
            <w:tcBorders>
              <w:left w:val="single" w:sz="8" w:color="auto"/>
              <w:bottom w:val="single" w:sz="8" w:color="auto"/>
            </w:tcBorders>
          </w:tcPr>
          <w:p>
            <w:pPr>
              <w:spacing w:after="0"/>
              <w:rPr>
                <w:sz w:val="21"/>
                <w:szCs w:val="21"/>
                <w:color w:val="auto"/>
              </w:rPr>
            </w:pPr>
          </w:p>
        </w:tc>
        <w:tc>
          <w:tcPr>
            <w:tcW w:w="3260" w:type="dxa"/>
            <w:vAlign w:val="bottom"/>
            <w:tcBorders>
              <w:bottom w:val="single" w:sz="8" w:color="auto"/>
              <w:right w:val="single" w:sz="8" w:color="auto"/>
            </w:tcBorders>
            <w:gridSpan w:val="2"/>
          </w:tcPr>
          <w:p>
            <w:pPr>
              <w:spacing w:after="0" w:line="250" w:lineRule="exact"/>
              <w:rPr>
                <w:sz w:val="20"/>
                <w:szCs w:val="20"/>
                <w:color w:val="auto"/>
              </w:rPr>
            </w:pPr>
            <w:r>
              <w:rPr>
                <w:rFonts w:ascii="Arial" w:cs="Arial" w:eastAsia="Arial" w:hAnsi="Arial"/>
                <w:sz w:val="22"/>
                <w:szCs w:val="22"/>
                <w:color w:val="auto"/>
                <w:w w:val="90"/>
              </w:rPr>
              <w:t>June 30, 2019 – December 31, 2019</w:t>
            </w:r>
          </w:p>
        </w:tc>
        <w:tc>
          <w:tcPr>
            <w:tcW w:w="2720" w:type="dxa"/>
            <w:vAlign w:val="bottom"/>
            <w:tcBorders>
              <w:bottom w:val="single" w:sz="8" w:color="auto"/>
              <w:right w:val="single" w:sz="8" w:color="auto"/>
            </w:tcBorders>
            <w:gridSpan w:val="3"/>
          </w:tcPr>
          <w:p>
            <w:pPr>
              <w:ind w:left="80"/>
              <w:spacing w:after="0" w:line="250" w:lineRule="exact"/>
              <w:rPr>
                <w:sz w:val="20"/>
                <w:szCs w:val="20"/>
                <w:color w:val="auto"/>
              </w:rPr>
            </w:pPr>
            <w:r>
              <w:rPr>
                <w:rFonts w:ascii="Arial" w:cs="Arial" w:eastAsia="Arial" w:hAnsi="Arial"/>
                <w:sz w:val="22"/>
                <w:szCs w:val="22"/>
                <w:color w:val="auto"/>
              </w:rPr>
              <w:t>$1,000,000</w:t>
            </w:r>
          </w:p>
        </w:tc>
      </w:tr>
      <w:tr>
        <w:trPr>
          <w:trHeight w:val="250"/>
        </w:trPr>
        <w:tc>
          <w:tcPr>
            <w:tcW w:w="100" w:type="dxa"/>
            <w:vAlign w:val="bottom"/>
            <w:tcBorders>
              <w:left w:val="single" w:sz="8" w:color="auto"/>
              <w:bottom w:val="single" w:sz="8" w:color="auto"/>
            </w:tcBorders>
          </w:tcPr>
          <w:p>
            <w:pPr>
              <w:spacing w:after="0"/>
              <w:rPr>
                <w:sz w:val="21"/>
                <w:szCs w:val="21"/>
                <w:color w:val="auto"/>
              </w:rPr>
            </w:pPr>
          </w:p>
        </w:tc>
        <w:tc>
          <w:tcPr>
            <w:tcW w:w="3260" w:type="dxa"/>
            <w:vAlign w:val="bottom"/>
            <w:tcBorders>
              <w:bottom w:val="single" w:sz="8" w:color="auto"/>
              <w:right w:val="single" w:sz="8" w:color="auto"/>
            </w:tcBorders>
            <w:gridSpan w:val="2"/>
          </w:tcPr>
          <w:p>
            <w:pPr>
              <w:spacing w:after="0" w:line="250" w:lineRule="exact"/>
              <w:rPr>
                <w:sz w:val="20"/>
                <w:szCs w:val="20"/>
                <w:color w:val="auto"/>
              </w:rPr>
            </w:pPr>
            <w:r>
              <w:rPr>
                <w:rFonts w:ascii="Arial" w:cs="Arial" w:eastAsia="Arial" w:hAnsi="Arial"/>
                <w:sz w:val="22"/>
                <w:szCs w:val="22"/>
                <w:color w:val="auto"/>
                <w:w w:val="90"/>
              </w:rPr>
              <w:t>June 30, 2020 – December 31, 2020</w:t>
            </w:r>
          </w:p>
        </w:tc>
        <w:tc>
          <w:tcPr>
            <w:tcW w:w="2720" w:type="dxa"/>
            <w:vAlign w:val="bottom"/>
            <w:tcBorders>
              <w:bottom w:val="single" w:sz="8" w:color="auto"/>
              <w:right w:val="single" w:sz="8" w:color="auto"/>
            </w:tcBorders>
            <w:gridSpan w:val="3"/>
          </w:tcPr>
          <w:p>
            <w:pPr>
              <w:ind w:left="80"/>
              <w:spacing w:after="0" w:line="250" w:lineRule="exact"/>
              <w:rPr>
                <w:sz w:val="20"/>
                <w:szCs w:val="20"/>
                <w:color w:val="auto"/>
              </w:rPr>
            </w:pPr>
            <w:r>
              <w:rPr>
                <w:rFonts w:ascii="Arial" w:cs="Arial" w:eastAsia="Arial" w:hAnsi="Arial"/>
                <w:sz w:val="22"/>
                <w:szCs w:val="22"/>
                <w:color w:val="auto"/>
              </w:rPr>
              <w:t>$750,000</w:t>
            </w:r>
          </w:p>
        </w:tc>
      </w:tr>
      <w:tr>
        <w:trPr>
          <w:trHeight w:val="250"/>
        </w:trPr>
        <w:tc>
          <w:tcPr>
            <w:tcW w:w="100" w:type="dxa"/>
            <w:vAlign w:val="bottom"/>
            <w:tcBorders>
              <w:left w:val="single" w:sz="8" w:color="auto"/>
              <w:bottom w:val="single" w:sz="8" w:color="auto"/>
            </w:tcBorders>
          </w:tcPr>
          <w:p>
            <w:pPr>
              <w:spacing w:after="0"/>
              <w:rPr>
                <w:sz w:val="21"/>
                <w:szCs w:val="21"/>
                <w:color w:val="auto"/>
              </w:rPr>
            </w:pPr>
          </w:p>
        </w:tc>
        <w:tc>
          <w:tcPr>
            <w:tcW w:w="3260" w:type="dxa"/>
            <w:vAlign w:val="bottom"/>
            <w:tcBorders>
              <w:bottom w:val="single" w:sz="8" w:color="auto"/>
              <w:right w:val="single" w:sz="8" w:color="auto"/>
            </w:tcBorders>
            <w:gridSpan w:val="2"/>
          </w:tcPr>
          <w:p>
            <w:pPr>
              <w:spacing w:after="0" w:line="250" w:lineRule="exact"/>
              <w:rPr>
                <w:sz w:val="20"/>
                <w:szCs w:val="20"/>
                <w:color w:val="auto"/>
              </w:rPr>
            </w:pPr>
            <w:r>
              <w:rPr>
                <w:rFonts w:ascii="Arial" w:cs="Arial" w:eastAsia="Arial" w:hAnsi="Arial"/>
                <w:sz w:val="22"/>
                <w:szCs w:val="22"/>
                <w:color w:val="auto"/>
              </w:rPr>
              <w:t>March 31, 2021</w:t>
            </w:r>
          </w:p>
        </w:tc>
        <w:tc>
          <w:tcPr>
            <w:tcW w:w="2720" w:type="dxa"/>
            <w:vAlign w:val="bottom"/>
            <w:tcBorders>
              <w:bottom w:val="single" w:sz="8" w:color="auto"/>
              <w:right w:val="single" w:sz="8" w:color="auto"/>
            </w:tcBorders>
            <w:gridSpan w:val="3"/>
          </w:tcPr>
          <w:p>
            <w:pPr>
              <w:ind w:left="100"/>
              <w:spacing w:after="0" w:line="250" w:lineRule="exact"/>
              <w:rPr>
                <w:sz w:val="20"/>
                <w:szCs w:val="20"/>
                <w:color w:val="auto"/>
              </w:rPr>
            </w:pPr>
            <w:r>
              <w:rPr>
                <w:rFonts w:ascii="Arial" w:cs="Arial" w:eastAsia="Arial" w:hAnsi="Arial"/>
                <w:sz w:val="22"/>
                <w:szCs w:val="22"/>
                <w:color w:val="auto"/>
              </w:rPr>
              <w:t>$700,000</w:t>
            </w:r>
          </w:p>
        </w:tc>
      </w:tr>
      <w:tr>
        <w:trPr>
          <w:trHeight w:val="250"/>
        </w:trPr>
        <w:tc>
          <w:tcPr>
            <w:tcW w:w="100" w:type="dxa"/>
            <w:vAlign w:val="bottom"/>
            <w:tcBorders>
              <w:left w:val="single" w:sz="8" w:color="auto"/>
              <w:bottom w:val="single" w:sz="8" w:color="auto"/>
            </w:tcBorders>
          </w:tcPr>
          <w:p>
            <w:pPr>
              <w:spacing w:after="0"/>
              <w:rPr>
                <w:sz w:val="21"/>
                <w:szCs w:val="21"/>
                <w:color w:val="auto"/>
              </w:rPr>
            </w:pPr>
          </w:p>
        </w:tc>
        <w:tc>
          <w:tcPr>
            <w:tcW w:w="3260" w:type="dxa"/>
            <w:vAlign w:val="bottom"/>
            <w:tcBorders>
              <w:bottom w:val="single" w:sz="8" w:color="auto"/>
              <w:right w:val="single" w:sz="8" w:color="auto"/>
            </w:tcBorders>
            <w:gridSpan w:val="2"/>
          </w:tcPr>
          <w:p>
            <w:pPr>
              <w:spacing w:after="0" w:line="250" w:lineRule="exact"/>
              <w:rPr>
                <w:sz w:val="20"/>
                <w:szCs w:val="20"/>
                <w:color w:val="auto"/>
              </w:rPr>
            </w:pPr>
            <w:r>
              <w:rPr>
                <w:rFonts w:ascii="Arial" w:cs="Arial" w:eastAsia="Arial" w:hAnsi="Arial"/>
                <w:sz w:val="22"/>
                <w:szCs w:val="22"/>
                <w:color w:val="auto"/>
              </w:rPr>
              <w:t>June 30, 2021</w:t>
            </w:r>
          </w:p>
        </w:tc>
        <w:tc>
          <w:tcPr>
            <w:tcW w:w="2720" w:type="dxa"/>
            <w:vAlign w:val="bottom"/>
            <w:tcBorders>
              <w:bottom w:val="single" w:sz="8" w:color="auto"/>
              <w:right w:val="single" w:sz="8" w:color="auto"/>
            </w:tcBorders>
            <w:gridSpan w:val="3"/>
          </w:tcPr>
          <w:p>
            <w:pPr>
              <w:ind w:left="100"/>
              <w:spacing w:after="0" w:line="250" w:lineRule="exact"/>
              <w:rPr>
                <w:sz w:val="20"/>
                <w:szCs w:val="20"/>
                <w:color w:val="auto"/>
              </w:rPr>
            </w:pPr>
            <w:r>
              <w:rPr>
                <w:rFonts w:ascii="Arial" w:cs="Arial" w:eastAsia="Arial" w:hAnsi="Arial"/>
                <w:sz w:val="22"/>
                <w:szCs w:val="22"/>
                <w:color w:val="auto"/>
              </w:rPr>
              <w:t>$700,000</w:t>
            </w:r>
          </w:p>
        </w:tc>
      </w:tr>
      <w:tr>
        <w:trPr>
          <w:trHeight w:val="250"/>
        </w:trPr>
        <w:tc>
          <w:tcPr>
            <w:tcW w:w="100" w:type="dxa"/>
            <w:vAlign w:val="bottom"/>
            <w:tcBorders>
              <w:left w:val="single" w:sz="8" w:color="auto"/>
              <w:bottom w:val="single" w:sz="8" w:color="auto"/>
            </w:tcBorders>
          </w:tcPr>
          <w:p>
            <w:pPr>
              <w:spacing w:after="0"/>
              <w:rPr>
                <w:sz w:val="21"/>
                <w:szCs w:val="21"/>
                <w:color w:val="auto"/>
              </w:rPr>
            </w:pPr>
          </w:p>
        </w:tc>
        <w:tc>
          <w:tcPr>
            <w:tcW w:w="3260" w:type="dxa"/>
            <w:vAlign w:val="bottom"/>
            <w:tcBorders>
              <w:bottom w:val="single" w:sz="8" w:color="auto"/>
              <w:right w:val="single" w:sz="8" w:color="auto"/>
            </w:tcBorders>
            <w:gridSpan w:val="2"/>
          </w:tcPr>
          <w:p>
            <w:pPr>
              <w:spacing w:after="0" w:line="250" w:lineRule="exact"/>
              <w:rPr>
                <w:sz w:val="20"/>
                <w:szCs w:val="20"/>
                <w:color w:val="auto"/>
              </w:rPr>
            </w:pPr>
            <w:r>
              <w:rPr>
                <w:rFonts w:ascii="Arial" w:cs="Arial" w:eastAsia="Arial" w:hAnsi="Arial"/>
                <w:sz w:val="22"/>
                <w:szCs w:val="22"/>
                <w:color w:val="auto"/>
              </w:rPr>
              <w:t>September 30, 2021</w:t>
            </w:r>
          </w:p>
        </w:tc>
        <w:tc>
          <w:tcPr>
            <w:tcW w:w="2720" w:type="dxa"/>
            <w:vAlign w:val="bottom"/>
            <w:tcBorders>
              <w:bottom w:val="single" w:sz="8" w:color="auto"/>
              <w:right w:val="single" w:sz="8" w:color="auto"/>
            </w:tcBorders>
            <w:gridSpan w:val="3"/>
          </w:tcPr>
          <w:p>
            <w:pPr>
              <w:ind w:left="100"/>
              <w:spacing w:after="0" w:line="250" w:lineRule="exact"/>
              <w:rPr>
                <w:sz w:val="20"/>
                <w:szCs w:val="20"/>
                <w:color w:val="auto"/>
              </w:rPr>
            </w:pPr>
            <w:r>
              <w:rPr>
                <w:rFonts w:ascii="Arial" w:cs="Arial" w:eastAsia="Arial" w:hAnsi="Arial"/>
                <w:sz w:val="22"/>
                <w:szCs w:val="22"/>
                <w:color w:val="auto"/>
              </w:rPr>
              <w:t>$600,000</w:t>
            </w:r>
          </w:p>
        </w:tc>
      </w:tr>
    </w:tbl>
    <w:p>
      <w:pPr>
        <w:spacing w:after="0" w:line="28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and</w:t>
      </w:r>
    </w:p>
    <w:p>
      <w:pPr>
        <w:spacing w:after="0" w:line="179" w:lineRule="exact"/>
        <w:rPr>
          <w:sz w:val="20"/>
          <w:szCs w:val="20"/>
          <w:color w:val="auto"/>
        </w:rPr>
      </w:pPr>
    </w:p>
    <w:p>
      <w:pPr>
        <w:jc w:val="both"/>
        <w:ind w:left="200" w:right="219" w:firstLine="655"/>
        <w:spacing w:after="0" w:line="294" w:lineRule="auto"/>
        <w:tabs>
          <w:tab w:leader="none" w:pos="1496" w:val="left"/>
        </w:tabs>
        <w:numPr>
          <w:ilvl w:val="0"/>
          <w:numId w:val="26"/>
        </w:numPr>
        <w:rPr>
          <w:rFonts w:ascii="Arial" w:cs="Arial" w:eastAsia="Arial" w:hAnsi="Arial"/>
          <w:sz w:val="19"/>
          <w:szCs w:val="19"/>
          <w:color w:val="010000"/>
        </w:rPr>
      </w:pPr>
      <w:r>
        <w:rPr>
          <w:rFonts w:ascii="Arial" w:cs="Arial" w:eastAsia="Arial" w:hAnsi="Arial"/>
          <w:sz w:val="19"/>
          <w:szCs w:val="19"/>
          <w:color w:val="auto"/>
        </w:rPr>
        <w:t>interest on the principal amount of this Note from time to time outstanding, payable at the applicable interest rate set forth in the Loan Agreement commencing on March 31, 2019 and on each March 31, June 30, September 30 and December 31 thereafter and upon payment in full of the principal amount of this Note. Upon and after the occurrence of an Event of Default, and during the continuation thereof, interest shall be payable at the applicable Default Rate. In no event, however, shall interest hereunder exceed the maximum interest rate permitted by law.</w:t>
      </w:r>
    </w:p>
    <w:p>
      <w:pPr>
        <w:spacing w:after="0" w:line="95"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21"/>
          <w:szCs w:val="21"/>
          <w:color w:val="auto"/>
        </w:rPr>
        <w:t xml:space="preserve">This Note is the Term Loan Note A referred to in the Loan Agreement and is secured, </w:t>
      </w:r>
      <w:r>
        <w:rPr>
          <w:rFonts w:ascii="Arial" w:cs="Arial" w:eastAsia="Arial" w:hAnsi="Arial"/>
          <w:sz w:val="21"/>
          <w:szCs w:val="21"/>
          <w:u w:val="single" w:color="auto"/>
          <w:color w:val="auto"/>
        </w:rPr>
        <w:t>inter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lia, by the liens granted pursuant to the Loan Agreement and the other Loan Documents, is entitled to the benefits of the Loan Agreement and the other Loan Documents, and is subject to all of the agreements, terms and conditions therein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321945</wp:posOffset>
            </wp:positionV>
            <wp:extent cx="55892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9270" cy="2603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48" w:name="page49"/>
    <w:bookmarkEnd w:id="48"/>
    <w:p>
      <w:pPr>
        <w:jc w:val="both"/>
        <w:ind w:left="200" w:right="219" w:firstLine="648"/>
        <w:spacing w:after="0" w:line="253" w:lineRule="auto"/>
        <w:rPr>
          <w:sz w:val="20"/>
          <w:szCs w:val="20"/>
          <w:color w:val="auto"/>
        </w:rPr>
      </w:pPr>
      <w:r>
        <w:rPr>
          <w:rFonts w:ascii="Arial" w:cs="Arial" w:eastAsia="Arial" w:hAnsi="Arial"/>
          <w:sz w:val="22"/>
          <w:szCs w:val="22"/>
          <w:color w:val="auto"/>
        </w:rPr>
        <w:t>Payments received by Lender shall be applied against principal and interest as provided for in the Loan Agreement. This Note may be voluntarily prepaid, in whole or in part, on the terms and conditions set forth in the Loan Agreement.</w:t>
      </w:r>
    </w:p>
    <w:p>
      <w:pPr>
        <w:spacing w:after="0" w:line="347"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If an Event of Default under Section 12.1(f) of the Loan Agreement shall occur, then this Note shall immediately become due and payable, without notice, together with attorneys’ fees if the collection hereof is placed in the hands of an attorney to obtain or enforce payment hereof. If any other Event of Default shall occur under the Loan Agreement or any of the other Loan Documents which is not cured within any applicable grace period, then this Note may, as provided in the Loan Agreement, be declared to be immediately due and payable, without notice, together with attorneys’ fees, if the collection hereof is placed in the hands of an attorney to obtain or enforce payment hereof.</w:t>
      </w:r>
    </w:p>
    <w:p>
      <w:pPr>
        <w:spacing w:after="0" w:line="359"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This Note shall be governed by and construed in accordance with the laws of the State of New York.</w:t>
      </w:r>
    </w:p>
    <w:p>
      <w:pPr>
        <w:spacing w:after="0" w:line="337"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To the fullest extent permitted by applicable law, Borrower waives: (a) presentment, demand and protest, and notice of presentment, dishonor, intent to accelerate, acceleration, protest, default, nonpayment, maturity, release, compromise, settlement, extension or renewal of any or all of the Obligations, the Loan Agreement, this Note or any other Loan Documents; (b) all rights to notice and a hearing prior to Agent’s taking possession or control of, or to Agent’s replevy, attachment or levy upon, the Collateral or any bond or security that might be required by any court prior to allowing Agent to exercise any of its remedies; and (c) the benefit of all valuation, appraisal and exemption laws.</w:t>
      </w:r>
    </w:p>
    <w:p>
      <w:pPr>
        <w:spacing w:after="0" w:line="345" w:lineRule="exact"/>
        <w:rPr>
          <w:sz w:val="20"/>
          <w:szCs w:val="20"/>
          <w:color w:val="auto"/>
        </w:rPr>
      </w:pPr>
    </w:p>
    <w:p>
      <w:pPr>
        <w:jc w:val="both"/>
        <w:ind w:left="200" w:right="219" w:firstLine="648"/>
        <w:spacing w:after="0" w:line="343" w:lineRule="auto"/>
        <w:rPr>
          <w:sz w:val="20"/>
          <w:szCs w:val="20"/>
          <w:color w:val="auto"/>
        </w:rPr>
      </w:pPr>
      <w:r>
        <w:rPr>
          <w:rFonts w:ascii="Arial" w:cs="Arial" w:eastAsia="Arial" w:hAnsi="Arial"/>
          <w:sz w:val="19"/>
          <w:szCs w:val="19"/>
          <w:color w:val="auto"/>
        </w:rPr>
        <w:t>Borrower acknowledges that this Note is executed as part of a commercial transaction and that the proceeds of this Note will not be used for any personal or consumer purpose.</w:t>
      </w:r>
    </w:p>
    <w:p>
      <w:pPr>
        <w:spacing w:after="0" w:line="280"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This Note amends and restates and is given in partial substitution for but not in satisfaction of the Amended and Restated Term Loan Note A dated April 13, 2020 executed by Borrower in favor of Lender, in the original principal amount of $7,250,000.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328295</wp:posOffset>
            </wp:positionV>
            <wp:extent cx="55803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49" w:name="page50"/>
    <w:bookmarkEnd w:id="49"/>
    <w:p>
      <w:pPr>
        <w:ind w:left="200" w:right="419" w:firstLine="648"/>
        <w:spacing w:after="0" w:line="263" w:lineRule="auto"/>
        <w:rPr>
          <w:sz w:val="20"/>
          <w:szCs w:val="20"/>
          <w:color w:val="auto"/>
        </w:rPr>
      </w:pPr>
      <w:r>
        <w:rPr>
          <w:rFonts w:ascii="Arial" w:cs="Arial" w:eastAsia="Arial" w:hAnsi="Arial"/>
          <w:sz w:val="22"/>
          <w:szCs w:val="22"/>
          <w:color w:val="auto"/>
        </w:rPr>
        <w:t>Borrower agrees to pay to Agent all fees and expenses described in the Loan Agreement and the other Loan Documents.</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XCEL BRANDS, INC.</w:t>
      </w:r>
    </w:p>
    <w:p>
      <w:pPr>
        <w:spacing w:after="0" w:line="200" w:lineRule="exact"/>
        <w:rPr>
          <w:sz w:val="20"/>
          <w:szCs w:val="20"/>
          <w:color w:val="auto"/>
        </w:rPr>
      </w:pPr>
    </w:p>
    <w:p>
      <w:pPr>
        <w:spacing w:after="0" w:line="26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
        <w:spacing w:after="0"/>
        <w:tabs>
          <w:tab w:leader="none" w:pos="7300" w:val="left"/>
        </w:tabs>
        <w:rPr>
          <w:sz w:val="20"/>
          <w:szCs w:val="20"/>
          <w:color w:val="auto"/>
        </w:rPr>
      </w:pPr>
      <w:r>
        <w:rPr>
          <w:rFonts w:ascii="Arial" w:cs="Arial" w:eastAsia="Arial" w:hAnsi="Arial"/>
          <w:sz w:val="13"/>
          <w:szCs w:val="13"/>
          <w:color w:val="auto"/>
        </w:rPr>
        <w:t>19415930</w:t>
      </w:r>
      <w:r>
        <w:rPr>
          <w:sz w:val="20"/>
          <w:szCs w:val="20"/>
          <w:color w:val="auto"/>
        </w:rPr>
        <w:tab/>
      </w:r>
      <w:r>
        <w:rPr>
          <w:rFonts w:ascii="Arial" w:cs="Arial" w:eastAsia="Arial" w:hAnsi="Arial"/>
          <w:sz w:val="13"/>
          <w:szCs w:val="13"/>
          <w:color w:val="auto"/>
        </w:rPr>
        <w:t>SIGNATURE PAGE TO</w:t>
      </w:r>
    </w:p>
    <w:p>
      <w:pPr>
        <w:spacing w:after="0" w:line="175" w:lineRule="exact"/>
        <w:rPr>
          <w:sz w:val="20"/>
          <w:szCs w:val="20"/>
          <w:color w:val="auto"/>
        </w:rPr>
      </w:pPr>
    </w:p>
    <w:p>
      <w:pPr>
        <w:jc w:val="right"/>
        <w:ind w:right="319"/>
        <w:spacing w:after="0"/>
        <w:rPr>
          <w:sz w:val="20"/>
          <w:szCs w:val="20"/>
          <w:color w:val="auto"/>
        </w:rPr>
      </w:pPr>
      <w:r>
        <w:rPr>
          <w:rFonts w:ascii="Arial" w:cs="Arial" w:eastAsia="Arial" w:hAnsi="Arial"/>
          <w:sz w:val="14"/>
          <w:szCs w:val="14"/>
          <w:color w:val="auto"/>
        </w:rPr>
        <w:t>AMENDED AND RESTATED</w:t>
      </w:r>
    </w:p>
    <w:p>
      <w:pPr>
        <w:spacing w:after="0" w:line="21" w:lineRule="exact"/>
        <w:rPr>
          <w:sz w:val="20"/>
          <w:szCs w:val="20"/>
          <w:color w:val="auto"/>
        </w:rPr>
      </w:pPr>
    </w:p>
    <w:p>
      <w:pPr>
        <w:jc w:val="right"/>
        <w:ind w:right="319"/>
        <w:spacing w:after="0"/>
        <w:rPr>
          <w:sz w:val="20"/>
          <w:szCs w:val="20"/>
          <w:color w:val="auto"/>
        </w:rPr>
      </w:pPr>
      <w:r>
        <w:rPr>
          <w:rFonts w:ascii="Arial" w:cs="Arial" w:eastAsia="Arial" w:hAnsi="Arial"/>
          <w:sz w:val="14"/>
          <w:szCs w:val="14"/>
          <w:color w:val="auto"/>
        </w:rPr>
        <w:t>TERM LOAN NOTE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351155</wp:posOffset>
            </wp:positionV>
            <wp:extent cx="558038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1"/>
          <w:szCs w:val="21"/>
          <w:b w:val="1"/>
          <w:bCs w:val="1"/>
          <w:u w:val="single" w:color="auto"/>
          <w:color w:val="auto"/>
        </w:rPr>
        <w:t>EXHIBIT B-2</w:t>
      </w:r>
    </w:p>
    <w:p>
      <w:pPr>
        <w:sectPr>
          <w:pgSz w:w="11900" w:h="16838" w:orient="portrait"/>
          <w:cols w:equalWidth="0" w:num="1">
            <w:col w:w="9019"/>
          </w:cols>
          <w:pgMar w:left="1440" w:top="369" w:right="1440"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2889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88915" cy="2603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 LOAN NOTE B</w:t>
      </w:r>
    </w:p>
    <w:p>
      <w:pPr>
        <w:spacing w:after="0" w:line="364" w:lineRule="exact"/>
        <w:rPr>
          <w:sz w:val="20"/>
          <w:szCs w:val="20"/>
          <w:color w:val="auto"/>
        </w:rPr>
      </w:pPr>
    </w:p>
    <w:p>
      <w:pPr>
        <w:ind w:left="300"/>
        <w:spacing w:after="0"/>
        <w:tabs>
          <w:tab w:leader="none" w:pos="6960" w:val="left"/>
        </w:tabs>
        <w:rPr>
          <w:sz w:val="20"/>
          <w:szCs w:val="20"/>
          <w:color w:val="auto"/>
        </w:rPr>
      </w:pPr>
      <w:r>
        <w:rPr>
          <w:rFonts w:ascii="Arial" w:cs="Arial" w:eastAsia="Arial" w:hAnsi="Arial"/>
          <w:sz w:val="22"/>
          <w:szCs w:val="22"/>
          <w:color w:val="auto"/>
        </w:rPr>
        <w:t>$14,750,000</w:t>
      </w:r>
      <w:r>
        <w:rPr>
          <w:sz w:val="20"/>
          <w:szCs w:val="20"/>
          <w:color w:val="auto"/>
        </w:rPr>
        <w:tab/>
      </w:r>
      <w:r>
        <w:rPr>
          <w:rFonts w:ascii="Arial" w:cs="Arial" w:eastAsia="Arial" w:hAnsi="Arial"/>
          <w:sz w:val="19"/>
          <w:szCs w:val="19"/>
          <w:color w:val="auto"/>
        </w:rPr>
        <w:t>September 24, 2020</w:t>
      </w:r>
    </w:p>
    <w:p>
      <w:pPr>
        <w:spacing w:after="0" w:line="382" w:lineRule="exact"/>
        <w:rPr>
          <w:sz w:val="20"/>
          <w:szCs w:val="20"/>
          <w:color w:val="auto"/>
        </w:rPr>
      </w:pPr>
    </w:p>
    <w:p>
      <w:pPr>
        <w:jc w:val="both"/>
        <w:ind w:left="200" w:right="219" w:firstLine="648"/>
        <w:spacing w:after="0" w:line="289" w:lineRule="auto"/>
        <w:rPr>
          <w:sz w:val="20"/>
          <w:szCs w:val="20"/>
          <w:color w:val="auto"/>
        </w:rPr>
      </w:pPr>
      <w:r>
        <w:rPr>
          <w:rFonts w:ascii="Arial" w:cs="Arial" w:eastAsia="Arial" w:hAnsi="Arial"/>
          <w:sz w:val="19"/>
          <w:szCs w:val="19"/>
          <w:color w:val="auto"/>
        </w:rPr>
        <w:t xml:space="preserve">This Amended and Restated Term Loan Note B (this </w:t>
      </w:r>
      <w:r>
        <w:rPr>
          <w:rFonts w:ascii="Arial" w:cs="Arial" w:eastAsia="Arial" w:hAnsi="Arial"/>
          <w:sz w:val="19"/>
          <w:szCs w:val="19"/>
          <w:u w:val="single" w:color="auto"/>
          <w:color w:val="auto"/>
        </w:rPr>
        <w:t>“</w:t>
      </w:r>
      <w:r>
        <w:rPr>
          <w:rFonts w:ascii="Arial" w:cs="Arial" w:eastAsia="Arial" w:hAnsi="Arial"/>
          <w:sz w:val="19"/>
          <w:szCs w:val="19"/>
          <w:color w:val="auto"/>
        </w:rPr>
        <w:t>Note”) is executed and delivered under and pursuant to the terms of that certain Second Amended and Restated Loan and Security Agreement dated as of February 11, 2019 (as amended, modified, supplemented or restated from time to time, the “</w:t>
      </w:r>
      <w:r>
        <w:rPr>
          <w:rFonts w:ascii="Arial" w:cs="Arial" w:eastAsia="Arial" w:hAnsi="Arial"/>
          <w:sz w:val="19"/>
          <w:szCs w:val="19"/>
          <w:u w:val="single" w:color="auto"/>
          <w:color w:val="auto"/>
        </w:rPr>
        <w:t>Loan Agreeme</w:t>
      </w:r>
      <w:r>
        <w:rPr>
          <w:rFonts w:ascii="Arial" w:cs="Arial" w:eastAsia="Arial" w:hAnsi="Arial"/>
          <w:sz w:val="19"/>
          <w:szCs w:val="19"/>
          <w:color w:val="auto"/>
        </w:rPr>
        <w:t>nt”) by and among BANK HAPOALIM B.M. (</w:t>
      </w:r>
      <w:r>
        <w:rPr>
          <w:rFonts w:ascii="Arial" w:cs="Arial" w:eastAsia="Arial" w:hAnsi="Arial"/>
          <w:sz w:val="19"/>
          <w:szCs w:val="19"/>
          <w:u w:val="single" w:color="auto"/>
          <w:color w:val="auto"/>
        </w:rPr>
        <w:t>“</w:t>
      </w:r>
      <w:r>
        <w:rPr>
          <w:rFonts w:ascii="Arial" w:cs="Arial" w:eastAsia="Arial" w:hAnsi="Arial"/>
          <w:sz w:val="19"/>
          <w:szCs w:val="19"/>
          <w:color w:val="auto"/>
        </w:rPr>
        <w:t>Lend</w:t>
      </w:r>
      <w:r>
        <w:rPr>
          <w:rFonts w:ascii="Arial" w:cs="Arial" w:eastAsia="Arial" w:hAnsi="Arial"/>
          <w:sz w:val="19"/>
          <w:szCs w:val="19"/>
          <w:u w:val="single" w:color="auto"/>
          <w:color w:val="auto"/>
        </w:rPr>
        <w:t>er</w:t>
      </w:r>
      <w:r>
        <w:rPr>
          <w:rFonts w:ascii="Arial" w:cs="Arial" w:eastAsia="Arial" w:hAnsi="Arial"/>
          <w:sz w:val="19"/>
          <w:szCs w:val="19"/>
          <w:color w:val="auto"/>
        </w:rPr>
        <w:t>”), XCEL BRANDS, INC. (</w:t>
      </w:r>
      <w:r>
        <w:rPr>
          <w:rFonts w:ascii="Arial" w:cs="Arial" w:eastAsia="Arial" w:hAnsi="Arial"/>
          <w:sz w:val="19"/>
          <w:szCs w:val="19"/>
          <w:u w:val="single" w:color="auto"/>
          <w:color w:val="auto"/>
        </w:rPr>
        <w:t>“</w:t>
      </w:r>
      <w:r>
        <w:rPr>
          <w:rFonts w:ascii="Arial" w:cs="Arial" w:eastAsia="Arial" w:hAnsi="Arial"/>
          <w:sz w:val="19"/>
          <w:szCs w:val="19"/>
          <w:color w:val="auto"/>
        </w:rPr>
        <w:t xml:space="preserve">Initial </w:t>
      </w:r>
      <w:r>
        <w:rPr>
          <w:rFonts w:ascii="Arial" w:cs="Arial" w:eastAsia="Arial" w:hAnsi="Arial"/>
          <w:sz w:val="19"/>
          <w:szCs w:val="19"/>
          <w:u w:val="single" w:color="auto"/>
          <w:color w:val="auto"/>
        </w:rPr>
        <w:t>B</w:t>
      </w:r>
      <w:r>
        <w:rPr>
          <w:rFonts w:ascii="Arial" w:cs="Arial" w:eastAsia="Arial" w:hAnsi="Arial"/>
          <w:sz w:val="19"/>
          <w:szCs w:val="19"/>
          <w:color w:val="auto"/>
        </w:rPr>
        <w:t xml:space="preserve">orrower” and together with each Person who hereafter becomes a Borrower, collectively </w:t>
      </w:r>
      <w:r>
        <w:rPr>
          <w:rFonts w:ascii="Arial" w:cs="Arial" w:eastAsia="Arial" w:hAnsi="Arial"/>
          <w:sz w:val="19"/>
          <w:szCs w:val="19"/>
          <w:u w:val="single" w:color="auto"/>
          <w:color w:val="auto"/>
        </w:rPr>
        <w:t>“</w:t>
      </w:r>
      <w:r>
        <w:rPr>
          <w:rFonts w:ascii="Arial" w:cs="Arial" w:eastAsia="Arial" w:hAnsi="Arial"/>
          <w:sz w:val="19"/>
          <w:szCs w:val="19"/>
          <w:color w:val="auto"/>
        </w:rPr>
        <w:t xml:space="preserve">Borrowers”), and any other Credit Party executing or becoming a party to the Loan Agreement, the financial institutions party thereto as Lenders and BANK HAPOALIM B.M., as agent for Lenders (in such capacity, </w:t>
      </w:r>
      <w:r>
        <w:rPr>
          <w:rFonts w:ascii="Arial" w:cs="Arial" w:eastAsia="Arial" w:hAnsi="Arial"/>
          <w:sz w:val="19"/>
          <w:szCs w:val="19"/>
          <w:u w:val="single" w:color="auto"/>
          <w:color w:val="auto"/>
        </w:rPr>
        <w:t>“</w:t>
      </w:r>
      <w:r>
        <w:rPr>
          <w:rFonts w:ascii="Arial" w:cs="Arial" w:eastAsia="Arial" w:hAnsi="Arial"/>
          <w:sz w:val="19"/>
          <w:szCs w:val="19"/>
          <w:color w:val="auto"/>
        </w:rPr>
        <w:t>Agent”). Capitalized terms not otherwise defined herein shall have the meanings ascribed thereto in the Loan Agreement.</w:t>
      </w:r>
    </w:p>
    <w:p>
      <w:pPr>
        <w:spacing w:after="0" w:line="103" w:lineRule="exact"/>
        <w:rPr>
          <w:sz w:val="20"/>
          <w:szCs w:val="20"/>
          <w:color w:val="auto"/>
        </w:rPr>
      </w:pPr>
    </w:p>
    <w:p>
      <w:pPr>
        <w:jc w:val="both"/>
        <w:ind w:left="200" w:right="219" w:firstLine="648"/>
        <w:spacing w:after="0" w:line="312" w:lineRule="auto"/>
        <w:rPr>
          <w:sz w:val="20"/>
          <w:szCs w:val="20"/>
          <w:color w:val="auto"/>
        </w:rPr>
      </w:pPr>
      <w:r>
        <w:rPr>
          <w:rFonts w:ascii="Arial" w:cs="Arial" w:eastAsia="Arial" w:hAnsi="Arial"/>
          <w:sz w:val="19"/>
          <w:szCs w:val="19"/>
          <w:color w:val="auto"/>
        </w:rPr>
        <w:t>FOR VALUE RECEIVED, Borrower promises to pay to the order of Lender at the offices of Agent located at 1120 Avenue of the Americas, New York, New York 10036 or at such other place as the holder hereof may from time to time designate to Borrower in writing:</w:t>
      </w:r>
    </w:p>
    <w:p>
      <w:pPr>
        <w:spacing w:after="0" w:line="93" w:lineRule="exact"/>
        <w:rPr>
          <w:sz w:val="20"/>
          <w:szCs w:val="20"/>
          <w:color w:val="auto"/>
        </w:rPr>
      </w:pPr>
    </w:p>
    <w:p>
      <w:pPr>
        <w:jc w:val="both"/>
        <w:ind w:left="200" w:right="219" w:firstLine="655"/>
        <w:spacing w:after="0" w:line="294" w:lineRule="auto"/>
        <w:tabs>
          <w:tab w:leader="none" w:pos="1496"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the principal sum of Fourteen Million Seven Hundred Fifty Thousand Dollars ($14,750,000), payable, subject to acceleration upon the occurrence of an Event of Default under the Loan Agreement, or earlier termination of the Loan Agreement pursuant to the terms thereof, in quarterly installments commencing on June 30, 2021 and on each March 31, June 30, September 30 and December 31 thereafter in the amounts set forth below for the corresponding period, with the entire unpaid balance due and payable on the Term Loan Maturity Date:</w:t>
      </w:r>
    </w:p>
    <w:p>
      <w:pPr>
        <w:spacing w:after="0" w:line="299" w:lineRule="exact"/>
        <w:rPr>
          <w:sz w:val="20"/>
          <w:szCs w:val="20"/>
          <w:color w:val="auto"/>
        </w:rPr>
      </w:pPr>
    </w:p>
    <w:tbl>
      <w:tblPr>
        <w:tblLayout w:type="fixed"/>
        <w:tblInd w:w="1530" w:type="dxa"/>
        <w:tblCellMar>
          <w:top w:w="0" w:type="dxa"/>
          <w:left w:w="0" w:type="dxa"/>
          <w:bottom w:w="0" w:type="dxa"/>
          <w:right w:w="0" w:type="dxa"/>
        </w:tblCellMar>
      </w:tblPr>
      <w:tr>
        <w:trPr>
          <w:trHeight w:val="310"/>
        </w:trPr>
        <w:tc>
          <w:tcPr>
            <w:tcW w:w="100" w:type="dxa"/>
            <w:vAlign w:val="bottom"/>
            <w:tcBorders>
              <w:top w:val="single" w:sz="8" w:color="auto"/>
              <w:left w:val="single" w:sz="8" w:color="auto"/>
            </w:tcBorders>
          </w:tcPr>
          <w:p>
            <w:pPr>
              <w:spacing w:after="0"/>
              <w:rPr>
                <w:sz w:val="24"/>
                <w:szCs w:val="24"/>
                <w:color w:val="auto"/>
              </w:rPr>
            </w:pPr>
          </w:p>
        </w:tc>
        <w:tc>
          <w:tcPr>
            <w:tcW w:w="32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Period</w:t>
            </w:r>
          </w:p>
        </w:tc>
        <w:tc>
          <w:tcPr>
            <w:tcW w:w="270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Amount</w:t>
            </w:r>
          </w:p>
        </w:tc>
      </w:tr>
      <w:tr>
        <w:trPr>
          <w:trHeight w:val="155"/>
        </w:trPr>
        <w:tc>
          <w:tcPr>
            <w:tcW w:w="100" w:type="dxa"/>
            <w:vAlign w:val="bottom"/>
            <w:tcBorders>
              <w:left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r>
      <w:tr>
        <w:trPr>
          <w:trHeight w:val="250"/>
        </w:trPr>
        <w:tc>
          <w:tcPr>
            <w:tcW w:w="100" w:type="dxa"/>
            <w:vAlign w:val="bottom"/>
            <w:tcBorders>
              <w:left w:val="single" w:sz="8" w:color="auto"/>
              <w:bottom w:val="single" w:sz="8" w:color="auto"/>
            </w:tcBorders>
          </w:tcPr>
          <w:p>
            <w:pPr>
              <w:spacing w:after="0"/>
              <w:rPr>
                <w:sz w:val="21"/>
                <w:szCs w:val="21"/>
                <w:color w:val="auto"/>
              </w:rPr>
            </w:pPr>
          </w:p>
        </w:tc>
        <w:tc>
          <w:tcPr>
            <w:tcW w:w="3280" w:type="dxa"/>
            <w:vAlign w:val="bottom"/>
            <w:tcBorders>
              <w:bottom w:val="single" w:sz="8" w:color="auto"/>
              <w:right w:val="single" w:sz="8" w:color="auto"/>
            </w:tcBorders>
            <w:gridSpan w:val="2"/>
          </w:tcPr>
          <w:p>
            <w:pPr>
              <w:spacing w:after="0" w:line="250" w:lineRule="exact"/>
              <w:rPr>
                <w:sz w:val="20"/>
                <w:szCs w:val="20"/>
                <w:color w:val="auto"/>
              </w:rPr>
            </w:pPr>
            <w:r>
              <w:rPr>
                <w:rFonts w:ascii="Arial" w:cs="Arial" w:eastAsia="Arial" w:hAnsi="Arial"/>
                <w:sz w:val="22"/>
                <w:szCs w:val="22"/>
                <w:color w:val="auto"/>
              </w:rPr>
              <w:t>September 30, 2021</w:t>
            </w:r>
          </w:p>
        </w:tc>
        <w:tc>
          <w:tcPr>
            <w:tcW w:w="2700" w:type="dxa"/>
            <w:vAlign w:val="bottom"/>
            <w:tcBorders>
              <w:bottom w:val="single" w:sz="8" w:color="auto"/>
              <w:right w:val="single" w:sz="8" w:color="auto"/>
            </w:tcBorders>
            <w:gridSpan w:val="3"/>
          </w:tcPr>
          <w:p>
            <w:pPr>
              <w:ind w:left="80"/>
              <w:spacing w:after="0" w:line="250" w:lineRule="exact"/>
              <w:rPr>
                <w:sz w:val="20"/>
                <w:szCs w:val="20"/>
                <w:color w:val="auto"/>
              </w:rPr>
            </w:pPr>
            <w:r>
              <w:rPr>
                <w:rFonts w:ascii="Arial" w:cs="Arial" w:eastAsia="Arial" w:hAnsi="Arial"/>
                <w:sz w:val="22"/>
                <w:szCs w:val="22"/>
                <w:color w:val="auto"/>
              </w:rPr>
              <w:t>$100,000</w:t>
            </w:r>
          </w:p>
        </w:tc>
      </w:tr>
      <w:tr>
        <w:trPr>
          <w:trHeight w:val="250"/>
        </w:trPr>
        <w:tc>
          <w:tcPr>
            <w:tcW w:w="100" w:type="dxa"/>
            <w:vAlign w:val="bottom"/>
            <w:tcBorders>
              <w:left w:val="single" w:sz="8" w:color="auto"/>
              <w:bottom w:val="single" w:sz="8" w:color="auto"/>
            </w:tcBorders>
          </w:tcPr>
          <w:p>
            <w:pPr>
              <w:spacing w:after="0"/>
              <w:rPr>
                <w:sz w:val="21"/>
                <w:szCs w:val="21"/>
                <w:color w:val="auto"/>
              </w:rPr>
            </w:pPr>
          </w:p>
        </w:tc>
        <w:tc>
          <w:tcPr>
            <w:tcW w:w="3280" w:type="dxa"/>
            <w:vAlign w:val="bottom"/>
            <w:tcBorders>
              <w:bottom w:val="single" w:sz="8" w:color="auto"/>
              <w:right w:val="single" w:sz="8" w:color="auto"/>
            </w:tcBorders>
            <w:gridSpan w:val="2"/>
          </w:tcPr>
          <w:p>
            <w:pPr>
              <w:spacing w:after="0" w:line="250" w:lineRule="exact"/>
              <w:rPr>
                <w:sz w:val="20"/>
                <w:szCs w:val="20"/>
                <w:color w:val="auto"/>
              </w:rPr>
            </w:pPr>
            <w:r>
              <w:rPr>
                <w:rFonts w:ascii="Arial" w:cs="Arial" w:eastAsia="Arial" w:hAnsi="Arial"/>
                <w:sz w:val="22"/>
                <w:szCs w:val="22"/>
                <w:color w:val="auto"/>
              </w:rPr>
              <w:t>December 31, 2021</w:t>
            </w:r>
          </w:p>
        </w:tc>
        <w:tc>
          <w:tcPr>
            <w:tcW w:w="2700" w:type="dxa"/>
            <w:vAlign w:val="bottom"/>
            <w:tcBorders>
              <w:bottom w:val="single" w:sz="8" w:color="auto"/>
              <w:right w:val="single" w:sz="8" w:color="auto"/>
            </w:tcBorders>
            <w:gridSpan w:val="3"/>
          </w:tcPr>
          <w:p>
            <w:pPr>
              <w:ind w:left="80"/>
              <w:spacing w:after="0" w:line="250" w:lineRule="exact"/>
              <w:rPr>
                <w:sz w:val="20"/>
                <w:szCs w:val="20"/>
                <w:color w:val="auto"/>
              </w:rPr>
            </w:pPr>
            <w:r>
              <w:rPr>
                <w:rFonts w:ascii="Arial" w:cs="Arial" w:eastAsia="Arial" w:hAnsi="Arial"/>
                <w:sz w:val="22"/>
                <w:szCs w:val="22"/>
                <w:color w:val="auto"/>
              </w:rPr>
              <w:t>$700,000</w:t>
            </w:r>
          </w:p>
        </w:tc>
      </w:tr>
      <w:tr>
        <w:trPr>
          <w:trHeight w:val="250"/>
        </w:trPr>
        <w:tc>
          <w:tcPr>
            <w:tcW w:w="100" w:type="dxa"/>
            <w:vAlign w:val="bottom"/>
            <w:tcBorders>
              <w:left w:val="single" w:sz="8" w:color="auto"/>
              <w:bottom w:val="single" w:sz="8" w:color="auto"/>
            </w:tcBorders>
          </w:tcPr>
          <w:p>
            <w:pPr>
              <w:spacing w:after="0"/>
              <w:rPr>
                <w:sz w:val="21"/>
                <w:szCs w:val="21"/>
                <w:color w:val="auto"/>
              </w:rPr>
            </w:pPr>
          </w:p>
        </w:tc>
        <w:tc>
          <w:tcPr>
            <w:tcW w:w="3280" w:type="dxa"/>
            <w:vAlign w:val="bottom"/>
            <w:tcBorders>
              <w:bottom w:val="single" w:sz="8" w:color="auto"/>
              <w:right w:val="single" w:sz="8" w:color="auto"/>
            </w:tcBorders>
            <w:gridSpan w:val="2"/>
          </w:tcPr>
          <w:p>
            <w:pPr>
              <w:spacing w:after="0" w:line="250" w:lineRule="exact"/>
              <w:rPr>
                <w:sz w:val="20"/>
                <w:szCs w:val="20"/>
                <w:color w:val="auto"/>
              </w:rPr>
            </w:pPr>
            <w:r>
              <w:rPr>
                <w:rFonts w:ascii="Arial" w:cs="Arial" w:eastAsia="Arial" w:hAnsi="Arial"/>
                <w:sz w:val="22"/>
                <w:szCs w:val="22"/>
                <w:color w:val="auto"/>
              </w:rPr>
              <w:t>March 31, 2022 – December 31,</w:t>
            </w:r>
          </w:p>
        </w:tc>
        <w:tc>
          <w:tcPr>
            <w:tcW w:w="2700" w:type="dxa"/>
            <w:vAlign w:val="bottom"/>
            <w:tcBorders>
              <w:bottom w:val="single" w:sz="8" w:color="auto"/>
              <w:right w:val="single" w:sz="8" w:color="auto"/>
            </w:tcBorders>
            <w:gridSpan w:val="3"/>
          </w:tcPr>
          <w:p>
            <w:pPr>
              <w:ind w:left="80"/>
              <w:spacing w:after="0" w:line="250" w:lineRule="exact"/>
              <w:rPr>
                <w:sz w:val="20"/>
                <w:szCs w:val="20"/>
                <w:color w:val="auto"/>
              </w:rPr>
            </w:pPr>
            <w:r>
              <w:rPr>
                <w:rFonts w:ascii="Arial" w:cs="Arial" w:eastAsia="Arial" w:hAnsi="Arial"/>
                <w:sz w:val="22"/>
                <w:szCs w:val="22"/>
                <w:color w:val="auto"/>
              </w:rPr>
              <w:t>$1,125,000</w:t>
            </w:r>
          </w:p>
        </w:tc>
      </w:tr>
      <w:tr>
        <w:trPr>
          <w:trHeight w:val="250"/>
        </w:trPr>
        <w:tc>
          <w:tcPr>
            <w:tcW w:w="100" w:type="dxa"/>
            <w:vAlign w:val="bottom"/>
            <w:tcBorders>
              <w:left w:val="single" w:sz="8" w:color="auto"/>
              <w:bottom w:val="single" w:sz="8" w:color="auto"/>
            </w:tcBorders>
          </w:tcPr>
          <w:p>
            <w:pPr>
              <w:spacing w:after="0"/>
              <w:rPr>
                <w:sz w:val="21"/>
                <w:szCs w:val="21"/>
                <w:color w:val="auto"/>
              </w:rPr>
            </w:pPr>
          </w:p>
        </w:tc>
        <w:tc>
          <w:tcPr>
            <w:tcW w:w="3280" w:type="dxa"/>
            <w:vAlign w:val="bottom"/>
            <w:tcBorders>
              <w:bottom w:val="single" w:sz="8" w:color="auto"/>
              <w:right w:val="single" w:sz="8" w:color="auto"/>
            </w:tcBorders>
            <w:gridSpan w:val="2"/>
          </w:tcPr>
          <w:p>
            <w:pPr>
              <w:spacing w:after="0" w:line="250" w:lineRule="exact"/>
              <w:rPr>
                <w:sz w:val="20"/>
                <w:szCs w:val="20"/>
                <w:color w:val="auto"/>
              </w:rPr>
            </w:pPr>
            <w:r>
              <w:rPr>
                <w:rFonts w:ascii="Arial" w:cs="Arial" w:eastAsia="Arial" w:hAnsi="Arial"/>
                <w:sz w:val="22"/>
                <w:szCs w:val="22"/>
                <w:color w:val="auto"/>
              </w:rPr>
              <w:t>March 31, 2023 – December 31,</w:t>
            </w:r>
          </w:p>
        </w:tc>
        <w:tc>
          <w:tcPr>
            <w:tcW w:w="2700" w:type="dxa"/>
            <w:vAlign w:val="bottom"/>
            <w:tcBorders>
              <w:bottom w:val="single" w:sz="8" w:color="auto"/>
              <w:right w:val="single" w:sz="8" w:color="auto"/>
            </w:tcBorders>
            <w:gridSpan w:val="3"/>
          </w:tcPr>
          <w:p>
            <w:pPr>
              <w:ind w:left="80"/>
              <w:spacing w:after="0" w:line="250" w:lineRule="exact"/>
              <w:rPr>
                <w:sz w:val="20"/>
                <w:szCs w:val="20"/>
                <w:color w:val="auto"/>
              </w:rPr>
            </w:pPr>
            <w:r>
              <w:rPr>
                <w:rFonts w:ascii="Arial" w:cs="Arial" w:eastAsia="Arial" w:hAnsi="Arial"/>
                <w:sz w:val="22"/>
                <w:szCs w:val="22"/>
                <w:color w:val="auto"/>
              </w:rPr>
              <w:t>$1,250,000</w:t>
            </w:r>
          </w:p>
        </w:tc>
      </w:tr>
    </w:tbl>
    <w:p>
      <w:pPr>
        <w:spacing w:after="0" w:line="28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and</w:t>
      </w:r>
    </w:p>
    <w:p>
      <w:pPr>
        <w:spacing w:after="0" w:line="179" w:lineRule="exact"/>
        <w:rPr>
          <w:sz w:val="20"/>
          <w:szCs w:val="20"/>
          <w:color w:val="auto"/>
        </w:rPr>
      </w:pPr>
    </w:p>
    <w:p>
      <w:pPr>
        <w:jc w:val="both"/>
        <w:ind w:left="200" w:right="219" w:firstLine="655"/>
        <w:spacing w:after="0" w:line="294" w:lineRule="auto"/>
        <w:tabs>
          <w:tab w:leader="none" w:pos="1496" w:val="left"/>
        </w:tabs>
        <w:numPr>
          <w:ilvl w:val="0"/>
          <w:numId w:val="28"/>
        </w:numPr>
        <w:rPr>
          <w:rFonts w:ascii="Arial" w:cs="Arial" w:eastAsia="Arial" w:hAnsi="Arial"/>
          <w:sz w:val="19"/>
          <w:szCs w:val="19"/>
          <w:color w:val="010000"/>
        </w:rPr>
      </w:pPr>
      <w:r>
        <w:rPr>
          <w:rFonts w:ascii="Arial" w:cs="Arial" w:eastAsia="Arial" w:hAnsi="Arial"/>
          <w:sz w:val="19"/>
          <w:szCs w:val="19"/>
          <w:color w:val="auto"/>
        </w:rPr>
        <w:t>interest on the principal amount of this Note from time to time outstanding, payable at the applicable interest rate set forth in the Loan Agreement commencing on March 31, 2019 and on each March 31, June 30, September 30 and December 31 thereafter and upon payment in full of the principal amount of this Note. Upon and after the occurrence of an Event of Default, and during the continuation thereof, interest shall be payable at the applicable Default Rate. In no event, however, shall interest hereunder exceed the maximum interest rate permitted by law.</w:t>
      </w:r>
    </w:p>
    <w:p>
      <w:pPr>
        <w:spacing w:after="0" w:line="95"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21"/>
          <w:szCs w:val="21"/>
          <w:color w:val="auto"/>
        </w:rPr>
        <w:t xml:space="preserve">This Note is the Term Loan Note B referred to in the Loan Agreement and is secured, </w:t>
      </w:r>
      <w:r>
        <w:rPr>
          <w:rFonts w:ascii="Arial" w:cs="Arial" w:eastAsia="Arial" w:hAnsi="Arial"/>
          <w:sz w:val="21"/>
          <w:szCs w:val="21"/>
          <w:u w:val="single" w:color="auto"/>
          <w:color w:val="auto"/>
        </w:rPr>
        <w:t>inter</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lia, by the liens granted pursuant to the Loan Agreement and the other Loan Documents, is entitled to the benefits of the Loan Agreement and the other Loan Documents, and is subject to all of the agreements, terms and conditions therein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321945</wp:posOffset>
            </wp:positionV>
            <wp:extent cx="558927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9270" cy="25400"/>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52" w:name="page53"/>
    <w:bookmarkEnd w:id="52"/>
    <w:p>
      <w:pPr>
        <w:jc w:val="both"/>
        <w:ind w:left="200" w:right="219" w:firstLine="648"/>
        <w:spacing w:after="0" w:line="253" w:lineRule="auto"/>
        <w:rPr>
          <w:sz w:val="20"/>
          <w:szCs w:val="20"/>
          <w:color w:val="auto"/>
        </w:rPr>
      </w:pPr>
      <w:r>
        <w:rPr>
          <w:rFonts w:ascii="Arial" w:cs="Arial" w:eastAsia="Arial" w:hAnsi="Arial"/>
          <w:sz w:val="22"/>
          <w:szCs w:val="22"/>
          <w:color w:val="auto"/>
        </w:rPr>
        <w:t>Payments received by Lender shall be applied against principal and interest as provided for in the Loan Agreement. This Note may be voluntarily prepaid, in whole or in part, on the terms and conditions set forth in the Loan Agreement.</w:t>
      </w:r>
    </w:p>
    <w:p>
      <w:pPr>
        <w:spacing w:after="0" w:line="347"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If an Event of Default under Section 12.1(f) of the Loan Agreement shall occur, then this Note shall immediately become due and payable, without notice, together with attorneys’ fees if the collection hereof is placed in the hands of an attorney to obtain or enforce payment hereof. If any other Event of Default shall occur under the Loan Agreement or any of the other Loan Documents which is not cured within any applicable grace period, then this Note may, as provided in the Loan Agreement, be declared to be immediately due and payable, without notice, together with attorneys’ fees, if the collection hereof is placed in the hands of an attorney to obtain or enforce payment hereof.</w:t>
      </w:r>
    </w:p>
    <w:p>
      <w:pPr>
        <w:spacing w:after="0" w:line="359"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This Note shall be governed by and construed in accordance with the laws of the State of New York.</w:t>
      </w:r>
    </w:p>
    <w:p>
      <w:pPr>
        <w:spacing w:after="0" w:line="337"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21"/>
          <w:szCs w:val="21"/>
          <w:color w:val="auto"/>
        </w:rPr>
        <w:t>To the fullest extent permitted by applicable law, Borrower waives: (a) presentment, demand and protest, and notice of presentment, dishonor, intent to accelerate, acceleration, protest, default, nonpayment, maturity, release, compromise, settlement, extension or renewal of any or all of the Obligations, the Loan Agreement, this Note or any other Loan Documents; (b) all rights to notice and a hearing prior to Agent’s taking possession or control of, or to Agent’s replevy, attachment or levy upon, the Collateral or any bond or security that might be required by any court prior to allowing Agent to exercise any of its remedies; and (c) the benefit of all valuation, appraisal and exemption laws.</w:t>
      </w:r>
    </w:p>
    <w:p>
      <w:pPr>
        <w:spacing w:after="0" w:line="345" w:lineRule="exact"/>
        <w:rPr>
          <w:sz w:val="20"/>
          <w:szCs w:val="20"/>
          <w:color w:val="auto"/>
        </w:rPr>
      </w:pPr>
    </w:p>
    <w:p>
      <w:pPr>
        <w:jc w:val="both"/>
        <w:ind w:left="200" w:right="219" w:firstLine="648"/>
        <w:spacing w:after="0" w:line="343" w:lineRule="auto"/>
        <w:rPr>
          <w:sz w:val="20"/>
          <w:szCs w:val="20"/>
          <w:color w:val="auto"/>
        </w:rPr>
      </w:pPr>
      <w:r>
        <w:rPr>
          <w:rFonts w:ascii="Arial" w:cs="Arial" w:eastAsia="Arial" w:hAnsi="Arial"/>
          <w:sz w:val="19"/>
          <w:szCs w:val="19"/>
          <w:color w:val="auto"/>
        </w:rPr>
        <w:t>Borrower acknowledges that this Note is executed as part of a commercial transaction and that the proceeds of this Note will not be used for any personal or consumer purpose.</w:t>
      </w:r>
    </w:p>
    <w:p>
      <w:pPr>
        <w:spacing w:after="0" w:line="280"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21"/>
          <w:szCs w:val="21"/>
          <w:color w:val="auto"/>
        </w:rPr>
        <w:t>This Note amends and restates and is given in partial substitution for but not in satisfaction of the Amended and Restated Term Loan Note B dated April 13, 2020 executed by Borrower in favor of Lender, in the original principal amount of $14,750,000.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316865</wp:posOffset>
            </wp:positionV>
            <wp:extent cx="55803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53" w:name="page54"/>
    <w:bookmarkEnd w:id="53"/>
    <w:p>
      <w:pPr>
        <w:ind w:left="200" w:right="419" w:firstLine="648"/>
        <w:spacing w:after="0" w:line="263" w:lineRule="auto"/>
        <w:rPr>
          <w:sz w:val="20"/>
          <w:szCs w:val="20"/>
          <w:color w:val="auto"/>
        </w:rPr>
      </w:pPr>
      <w:r>
        <w:rPr>
          <w:rFonts w:ascii="Arial" w:cs="Arial" w:eastAsia="Arial" w:hAnsi="Arial"/>
          <w:sz w:val="22"/>
          <w:szCs w:val="22"/>
          <w:color w:val="auto"/>
        </w:rPr>
        <w:t>Borrower agrees to pay to Agent all fees and expenses described in the Loan Agreement and the other Loan Documents.</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XCEL BRANDS, INC.</w:t>
      </w:r>
    </w:p>
    <w:p>
      <w:pPr>
        <w:spacing w:after="0" w:line="200" w:lineRule="exact"/>
        <w:rPr>
          <w:sz w:val="20"/>
          <w:szCs w:val="20"/>
          <w:color w:val="auto"/>
        </w:rPr>
      </w:pPr>
    </w:p>
    <w:p>
      <w:pPr>
        <w:spacing w:after="0" w:line="26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0"/>
        <w:spacing w:after="0"/>
        <w:tabs>
          <w:tab w:leader="none" w:pos="7300" w:val="left"/>
        </w:tabs>
        <w:rPr>
          <w:sz w:val="20"/>
          <w:szCs w:val="20"/>
          <w:color w:val="auto"/>
        </w:rPr>
      </w:pPr>
      <w:r>
        <w:rPr>
          <w:rFonts w:ascii="Arial" w:cs="Arial" w:eastAsia="Arial" w:hAnsi="Arial"/>
          <w:sz w:val="13"/>
          <w:szCs w:val="13"/>
          <w:color w:val="auto"/>
        </w:rPr>
        <w:t>19419585</w:t>
      </w:r>
      <w:r>
        <w:rPr>
          <w:sz w:val="20"/>
          <w:szCs w:val="20"/>
          <w:color w:val="auto"/>
        </w:rPr>
        <w:tab/>
      </w:r>
      <w:r>
        <w:rPr>
          <w:rFonts w:ascii="Arial" w:cs="Arial" w:eastAsia="Arial" w:hAnsi="Arial"/>
          <w:sz w:val="13"/>
          <w:szCs w:val="13"/>
          <w:color w:val="auto"/>
        </w:rPr>
        <w:t>SIGNATURE PAGE TO</w:t>
      </w:r>
    </w:p>
    <w:p>
      <w:pPr>
        <w:spacing w:after="0" w:line="161" w:lineRule="exact"/>
        <w:rPr>
          <w:sz w:val="20"/>
          <w:szCs w:val="20"/>
          <w:color w:val="auto"/>
        </w:rPr>
      </w:pPr>
    </w:p>
    <w:p>
      <w:pPr>
        <w:jc w:val="right"/>
        <w:ind w:right="319"/>
        <w:spacing w:after="0"/>
        <w:rPr>
          <w:sz w:val="20"/>
          <w:szCs w:val="20"/>
          <w:color w:val="auto"/>
        </w:rPr>
      </w:pPr>
      <w:r>
        <w:rPr>
          <w:rFonts w:ascii="Arial" w:cs="Arial" w:eastAsia="Arial" w:hAnsi="Arial"/>
          <w:sz w:val="14"/>
          <w:szCs w:val="14"/>
          <w:color w:val="auto"/>
        </w:rPr>
        <w:t>AMENDED AND RESTATED</w:t>
      </w:r>
    </w:p>
    <w:p>
      <w:pPr>
        <w:spacing w:after="0" w:line="21" w:lineRule="exact"/>
        <w:rPr>
          <w:sz w:val="20"/>
          <w:szCs w:val="20"/>
          <w:color w:val="auto"/>
        </w:rPr>
      </w:pPr>
    </w:p>
    <w:p>
      <w:pPr>
        <w:jc w:val="right"/>
        <w:ind w:right="319"/>
        <w:spacing w:after="0"/>
        <w:rPr>
          <w:sz w:val="20"/>
          <w:szCs w:val="20"/>
          <w:color w:val="auto"/>
        </w:rPr>
      </w:pPr>
      <w:r>
        <w:rPr>
          <w:rFonts w:ascii="Arial" w:cs="Arial" w:eastAsia="Arial" w:hAnsi="Arial"/>
          <w:sz w:val="14"/>
          <w:szCs w:val="14"/>
          <w:color w:val="auto"/>
        </w:rPr>
        <w:t>TERM LOAN NOTE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351155</wp:posOffset>
            </wp:positionV>
            <wp:extent cx="558038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22"/>
          <w:szCs w:val="22"/>
          <w:b w:val="1"/>
          <w:bCs w:val="1"/>
          <w:u w:val="single" w:color="auto"/>
          <w:color w:val="auto"/>
        </w:rPr>
        <w:t>SCHEDULE II</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COVENANTS</w:t>
      </w:r>
    </w:p>
    <w:p>
      <w:pPr>
        <w:spacing w:after="0" w:line="334" w:lineRule="exact"/>
        <w:rPr>
          <w:sz w:val="20"/>
          <w:szCs w:val="20"/>
          <w:color w:val="auto"/>
        </w:rPr>
      </w:pPr>
    </w:p>
    <w:p>
      <w:pPr>
        <w:ind w:left="200" w:right="219" w:firstLine="656"/>
        <w:spacing w:after="0" w:line="343" w:lineRule="auto"/>
        <w:tabs>
          <w:tab w:leader="none" w:pos="1496" w:val="left"/>
        </w:tabs>
        <w:numPr>
          <w:ilvl w:val="0"/>
          <w:numId w:val="29"/>
        </w:numPr>
        <w:rPr>
          <w:rFonts w:ascii="Arial" w:cs="Arial" w:eastAsia="Arial" w:hAnsi="Arial"/>
          <w:sz w:val="19"/>
          <w:szCs w:val="19"/>
          <w:color w:val="010000"/>
        </w:rPr>
      </w:pPr>
      <w:r>
        <w:rPr>
          <w:rFonts w:ascii="Arial" w:cs="Arial" w:eastAsia="Arial" w:hAnsi="Arial"/>
          <w:sz w:val="19"/>
          <w:szCs w:val="19"/>
          <w:u w:val="single" w:color="auto"/>
          <w:color w:val="auto"/>
        </w:rPr>
        <w:t>Minimum Net Wor</w:t>
      </w:r>
      <w:r>
        <w:rPr>
          <w:rFonts w:ascii="Arial" w:cs="Arial" w:eastAsia="Arial" w:hAnsi="Arial"/>
          <w:sz w:val="19"/>
          <w:szCs w:val="19"/>
          <w:color w:val="auto"/>
        </w:rPr>
        <w:t>th. Net Worth of Initial Borrower and the Included Subsidiaries on a consolidated basis shall not be less than $90,000,000 at the end of each Fiscal Quarter.</w:t>
      </w:r>
    </w:p>
    <w:p>
      <w:pPr>
        <w:spacing w:after="0" w:line="50" w:lineRule="exact"/>
        <w:rPr>
          <w:rFonts w:ascii="Arial" w:cs="Arial" w:eastAsia="Arial" w:hAnsi="Arial"/>
          <w:sz w:val="19"/>
          <w:szCs w:val="19"/>
          <w:color w:val="010000"/>
        </w:rPr>
      </w:pPr>
    </w:p>
    <w:p>
      <w:pPr>
        <w:jc w:val="both"/>
        <w:ind w:left="200" w:right="219" w:firstLine="656"/>
        <w:spacing w:after="0" w:line="253" w:lineRule="auto"/>
        <w:tabs>
          <w:tab w:leader="none" w:pos="1496"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Minimum Liquid A</w:t>
      </w:r>
      <w:r>
        <w:rPr>
          <w:rFonts w:ascii="Arial" w:cs="Arial" w:eastAsia="Arial" w:hAnsi="Arial"/>
          <w:sz w:val="22"/>
          <w:szCs w:val="22"/>
          <w:color w:val="auto"/>
        </w:rPr>
        <w:t>ssets. Liquid Assets of Initial Borrower and the Included Subsidiaries on a consolidated basis shall not be less than the amount set forth below at all times during the applicable Fiscal Quarter:</w:t>
      </w:r>
    </w:p>
    <w:p>
      <w:pPr>
        <w:spacing w:after="0" w:line="278" w:lineRule="exact"/>
        <w:rPr>
          <w:sz w:val="20"/>
          <w:szCs w:val="20"/>
          <w:color w:val="auto"/>
        </w:rPr>
      </w:pPr>
    </w:p>
    <w:tbl>
      <w:tblPr>
        <w:tblLayout w:type="fixed"/>
        <w:tblInd w:w="1540" w:type="dxa"/>
        <w:tblCellMar>
          <w:top w:w="0" w:type="dxa"/>
          <w:left w:w="0" w:type="dxa"/>
          <w:bottom w:w="0" w:type="dxa"/>
          <w:right w:w="0" w:type="dxa"/>
        </w:tblCellMar>
      </w:tblPr>
      <w:tr>
        <w:trPr>
          <w:trHeight w:val="253"/>
        </w:trPr>
        <w:tc>
          <w:tcPr>
            <w:tcW w:w="3160" w:type="dxa"/>
            <w:vAlign w:val="bottom"/>
            <w:gridSpan w:val="2"/>
          </w:tcPr>
          <w:p>
            <w:pPr>
              <w:spacing w:after="0"/>
              <w:rPr>
                <w:sz w:val="20"/>
                <w:szCs w:val="20"/>
                <w:color w:val="auto"/>
              </w:rPr>
            </w:pPr>
            <w:r>
              <w:rPr>
                <w:rFonts w:ascii="Arial" w:cs="Arial" w:eastAsia="Arial" w:hAnsi="Arial"/>
                <w:sz w:val="22"/>
                <w:szCs w:val="22"/>
                <w:color w:val="auto"/>
              </w:rPr>
              <w:t>Fiscal Quarter End</w:t>
            </w:r>
          </w:p>
        </w:tc>
        <w:tc>
          <w:tcPr>
            <w:tcW w:w="120" w:type="dxa"/>
            <w:vAlign w:val="bottom"/>
          </w:tcPr>
          <w:p>
            <w:pPr>
              <w:spacing w:after="0"/>
              <w:rPr>
                <w:sz w:val="21"/>
                <w:szCs w:val="21"/>
                <w:color w:val="auto"/>
              </w:rPr>
            </w:pPr>
          </w:p>
        </w:tc>
        <w:tc>
          <w:tcPr>
            <w:tcW w:w="1500" w:type="dxa"/>
            <w:vAlign w:val="bottom"/>
            <w:gridSpan w:val="3"/>
          </w:tcPr>
          <w:p>
            <w:pPr>
              <w:spacing w:after="0"/>
              <w:rPr>
                <w:sz w:val="20"/>
                <w:szCs w:val="20"/>
                <w:color w:val="auto"/>
              </w:rPr>
            </w:pPr>
            <w:r>
              <w:rPr>
                <w:rFonts w:ascii="Arial" w:cs="Arial" w:eastAsia="Arial" w:hAnsi="Arial"/>
                <w:sz w:val="22"/>
                <w:szCs w:val="22"/>
                <w:color w:val="auto"/>
                <w:w w:val="96"/>
              </w:rPr>
              <w:t>Minimum Liquid</w:t>
            </w:r>
          </w:p>
        </w:tc>
      </w:tr>
      <w:tr>
        <w:trPr>
          <w:trHeight w:val="196"/>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22"/>
                <w:szCs w:val="22"/>
                <w:color w:val="auto"/>
                <w:w w:val="80"/>
              </w:rPr>
              <w:t>September 30, 2020</w:t>
            </w:r>
          </w:p>
        </w:tc>
        <w:tc>
          <w:tcPr>
            <w:tcW w:w="1540" w:type="dxa"/>
            <w:vAlign w:val="bottom"/>
          </w:tcPr>
          <w:p>
            <w:pPr>
              <w:ind w:left="160"/>
              <w:spacing w:after="0" w:line="195" w:lineRule="exact"/>
              <w:rPr>
                <w:sz w:val="20"/>
                <w:szCs w:val="20"/>
                <w:color w:val="auto"/>
              </w:rPr>
            </w:pPr>
            <w:r>
              <w:rPr>
                <w:rFonts w:ascii="Arial" w:cs="Arial" w:eastAsia="Arial" w:hAnsi="Arial"/>
                <w:sz w:val="22"/>
                <w:szCs w:val="22"/>
                <w:color w:val="auto"/>
                <w:w w:val="94"/>
              </w:rPr>
              <w:t>and December</w:t>
            </w:r>
          </w:p>
        </w:tc>
        <w:tc>
          <w:tcPr>
            <w:tcW w:w="120" w:type="dxa"/>
            <w:vAlign w:val="bottom"/>
          </w:tcPr>
          <w:p>
            <w:pPr>
              <w:spacing w:after="0"/>
              <w:rPr>
                <w:sz w:val="17"/>
                <w:szCs w:val="17"/>
                <w:color w:val="auto"/>
              </w:rPr>
            </w:pPr>
          </w:p>
        </w:tc>
        <w:tc>
          <w:tcPr>
            <w:tcW w:w="14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22"/>
                <w:szCs w:val="22"/>
                <w:color w:val="auto"/>
              </w:rPr>
              <w:t>Assets</w:t>
            </w:r>
          </w:p>
        </w:tc>
        <w:tc>
          <w:tcPr>
            <w:tcW w:w="20" w:type="dxa"/>
            <w:vAlign w:val="bottom"/>
          </w:tcPr>
          <w:p>
            <w:pPr>
              <w:spacing w:after="0"/>
              <w:rPr>
                <w:sz w:val="17"/>
                <w:szCs w:val="17"/>
                <w:color w:val="auto"/>
              </w:rPr>
            </w:pPr>
          </w:p>
        </w:tc>
      </w:tr>
      <w:tr>
        <w:trPr>
          <w:trHeight w:val="188"/>
        </w:trPr>
        <w:tc>
          <w:tcPr>
            <w:tcW w:w="1620" w:type="dxa"/>
            <w:vAlign w:val="bottom"/>
          </w:tcPr>
          <w:p>
            <w:pPr>
              <w:spacing w:after="0" w:line="188" w:lineRule="exact"/>
              <w:rPr>
                <w:sz w:val="20"/>
                <w:szCs w:val="20"/>
                <w:color w:val="auto"/>
              </w:rPr>
            </w:pPr>
            <w:r>
              <w:rPr>
                <w:rFonts w:ascii="Arial" w:cs="Arial" w:eastAsia="Arial" w:hAnsi="Arial"/>
                <w:sz w:val="21"/>
                <w:szCs w:val="21"/>
                <w:color w:val="auto"/>
              </w:rPr>
              <w:t>31,</w:t>
            </w: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15"/>
        </w:trPr>
        <w:tc>
          <w:tcPr>
            <w:tcW w:w="1620" w:type="dxa"/>
            <w:vAlign w:val="bottom"/>
          </w:tcPr>
          <w:p>
            <w:pPr>
              <w:spacing w:after="0"/>
              <w:rPr>
                <w:sz w:val="20"/>
                <w:szCs w:val="20"/>
                <w:color w:val="auto"/>
              </w:rPr>
            </w:pPr>
            <w:r>
              <w:rPr>
                <w:rFonts w:ascii="Arial" w:cs="Arial" w:eastAsia="Arial" w:hAnsi="Arial"/>
                <w:sz w:val="22"/>
                <w:szCs w:val="22"/>
                <w:color w:val="auto"/>
              </w:rPr>
              <w:t>2020</w:t>
            </w:r>
          </w:p>
        </w:tc>
        <w:tc>
          <w:tcPr>
            <w:tcW w:w="1540" w:type="dxa"/>
            <w:vAlign w:val="bottom"/>
          </w:tcPr>
          <w:p>
            <w:pPr>
              <w:spacing w:after="0"/>
              <w:rPr>
                <w:sz w:val="24"/>
                <w:szCs w:val="24"/>
                <w:color w:val="auto"/>
              </w:rPr>
            </w:pPr>
          </w:p>
        </w:tc>
        <w:tc>
          <w:tcPr>
            <w:tcW w:w="1600" w:type="dxa"/>
            <w:vAlign w:val="bottom"/>
            <w:gridSpan w:val="3"/>
          </w:tcPr>
          <w:p>
            <w:pPr>
              <w:ind w:left="120"/>
              <w:spacing w:after="0"/>
              <w:rPr>
                <w:sz w:val="20"/>
                <w:szCs w:val="20"/>
                <w:color w:val="auto"/>
              </w:rPr>
            </w:pPr>
            <w:r>
              <w:rPr>
                <w:rFonts w:ascii="Arial" w:cs="Arial" w:eastAsia="Arial" w:hAnsi="Arial"/>
                <w:sz w:val="22"/>
                <w:szCs w:val="22"/>
                <w:color w:val="auto"/>
              </w:rPr>
              <w:t>$3,000,000</w:t>
            </w:r>
          </w:p>
        </w:tc>
        <w:tc>
          <w:tcPr>
            <w:tcW w:w="20" w:type="dxa"/>
            <w:vAlign w:val="bottom"/>
          </w:tcPr>
          <w:p>
            <w:pPr>
              <w:spacing w:after="0"/>
              <w:rPr>
                <w:sz w:val="24"/>
                <w:szCs w:val="24"/>
                <w:color w:val="auto"/>
              </w:rPr>
            </w:pPr>
          </w:p>
        </w:tc>
      </w:tr>
      <w:tr>
        <w:trPr>
          <w:trHeight w:val="252"/>
        </w:trPr>
        <w:tc>
          <w:tcPr>
            <w:tcW w:w="3160" w:type="dxa"/>
            <w:vAlign w:val="bottom"/>
            <w:gridSpan w:val="2"/>
          </w:tcPr>
          <w:p>
            <w:pPr>
              <w:spacing w:after="0"/>
              <w:rPr>
                <w:sz w:val="20"/>
                <w:szCs w:val="20"/>
                <w:color w:val="auto"/>
              </w:rPr>
            </w:pPr>
            <w:r>
              <w:rPr>
                <w:rFonts w:ascii="Arial" w:cs="Arial" w:eastAsia="Arial" w:hAnsi="Arial"/>
                <w:sz w:val="22"/>
                <w:szCs w:val="22"/>
                <w:color w:val="auto"/>
                <w:w w:val="90"/>
              </w:rPr>
              <w:t>March 31, 2021, June 30, 2021 and</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1"/>
        </w:trPr>
        <w:tc>
          <w:tcPr>
            <w:tcW w:w="3160" w:type="dxa"/>
            <w:vAlign w:val="bottom"/>
            <w:gridSpan w:val="2"/>
          </w:tcPr>
          <w:p>
            <w:pPr>
              <w:spacing w:after="0"/>
              <w:rPr>
                <w:sz w:val="20"/>
                <w:szCs w:val="20"/>
                <w:color w:val="auto"/>
              </w:rPr>
            </w:pPr>
            <w:r>
              <w:rPr>
                <w:rFonts w:ascii="Arial" w:cs="Arial" w:eastAsia="Arial" w:hAnsi="Arial"/>
                <w:sz w:val="22"/>
                <w:szCs w:val="22"/>
                <w:color w:val="auto"/>
              </w:rPr>
              <w:t>September 30, 2021</w:t>
            </w:r>
          </w:p>
        </w:tc>
        <w:tc>
          <w:tcPr>
            <w:tcW w:w="1600" w:type="dxa"/>
            <w:vAlign w:val="bottom"/>
            <w:gridSpan w:val="3"/>
          </w:tcPr>
          <w:p>
            <w:pPr>
              <w:ind w:left="120"/>
              <w:spacing w:after="0"/>
              <w:rPr>
                <w:sz w:val="20"/>
                <w:szCs w:val="20"/>
                <w:color w:val="auto"/>
              </w:rPr>
            </w:pPr>
            <w:r>
              <w:rPr>
                <w:rFonts w:ascii="Arial" w:cs="Arial" w:eastAsia="Arial" w:hAnsi="Arial"/>
                <w:sz w:val="22"/>
                <w:szCs w:val="22"/>
                <w:color w:val="auto"/>
              </w:rPr>
              <w:t>$2,500,000</w:t>
            </w:r>
          </w:p>
        </w:tc>
        <w:tc>
          <w:tcPr>
            <w:tcW w:w="20" w:type="dxa"/>
            <w:vAlign w:val="bottom"/>
          </w:tcPr>
          <w:p>
            <w:pPr>
              <w:spacing w:after="0"/>
              <w:rPr>
                <w:sz w:val="24"/>
                <w:szCs w:val="24"/>
                <w:color w:val="auto"/>
              </w:rPr>
            </w:pPr>
          </w:p>
        </w:tc>
      </w:tr>
      <w:tr>
        <w:trPr>
          <w:trHeight w:val="499"/>
        </w:trPr>
        <w:tc>
          <w:tcPr>
            <w:tcW w:w="3160" w:type="dxa"/>
            <w:vAlign w:val="bottom"/>
            <w:gridSpan w:val="2"/>
          </w:tcPr>
          <w:p>
            <w:pPr>
              <w:spacing w:after="0"/>
              <w:rPr>
                <w:sz w:val="20"/>
                <w:szCs w:val="20"/>
                <w:color w:val="auto"/>
              </w:rPr>
            </w:pPr>
            <w:r>
              <w:rPr>
                <w:rFonts w:ascii="Arial" w:cs="Arial" w:eastAsia="Arial" w:hAnsi="Arial"/>
                <w:sz w:val="22"/>
                <w:szCs w:val="22"/>
                <w:color w:val="auto"/>
              </w:rPr>
              <w:t>December 31, 2021</w:t>
            </w:r>
          </w:p>
        </w:tc>
        <w:tc>
          <w:tcPr>
            <w:tcW w:w="1600" w:type="dxa"/>
            <w:vAlign w:val="bottom"/>
            <w:gridSpan w:val="3"/>
          </w:tcPr>
          <w:p>
            <w:pPr>
              <w:ind w:left="120"/>
              <w:spacing w:after="0"/>
              <w:rPr>
                <w:sz w:val="20"/>
                <w:szCs w:val="20"/>
                <w:color w:val="auto"/>
              </w:rPr>
            </w:pPr>
            <w:r>
              <w:rPr>
                <w:rFonts w:ascii="Arial" w:cs="Arial" w:eastAsia="Arial" w:hAnsi="Arial"/>
                <w:sz w:val="22"/>
                <w:szCs w:val="22"/>
                <w:color w:val="auto"/>
              </w:rPr>
              <w:t>$3,000,000</w:t>
            </w:r>
          </w:p>
        </w:tc>
        <w:tc>
          <w:tcPr>
            <w:tcW w:w="20" w:type="dxa"/>
            <w:vAlign w:val="bottom"/>
          </w:tcPr>
          <w:p>
            <w:pPr>
              <w:spacing w:after="0"/>
              <w:rPr>
                <w:sz w:val="24"/>
                <w:szCs w:val="24"/>
                <w:color w:val="auto"/>
              </w:rPr>
            </w:pPr>
          </w:p>
        </w:tc>
      </w:tr>
      <w:tr>
        <w:trPr>
          <w:trHeight w:val="441"/>
        </w:trPr>
        <w:tc>
          <w:tcPr>
            <w:tcW w:w="3160" w:type="dxa"/>
            <w:vAlign w:val="bottom"/>
            <w:gridSpan w:val="2"/>
          </w:tcPr>
          <w:p>
            <w:pPr>
              <w:spacing w:after="0"/>
              <w:rPr>
                <w:sz w:val="20"/>
                <w:szCs w:val="20"/>
                <w:color w:val="auto"/>
              </w:rPr>
            </w:pPr>
            <w:r>
              <w:rPr>
                <w:rFonts w:ascii="Arial" w:cs="Arial" w:eastAsia="Arial" w:hAnsi="Arial"/>
                <w:sz w:val="22"/>
                <w:szCs w:val="22"/>
                <w:color w:val="auto"/>
              </w:rPr>
              <w:t>Each Fiscal Quarter after</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3160" w:type="dxa"/>
            <w:vAlign w:val="bottom"/>
            <w:gridSpan w:val="2"/>
          </w:tcPr>
          <w:p>
            <w:pPr>
              <w:spacing w:after="0"/>
              <w:rPr>
                <w:sz w:val="20"/>
                <w:szCs w:val="20"/>
                <w:color w:val="auto"/>
              </w:rPr>
            </w:pPr>
            <w:r>
              <w:rPr>
                <w:rFonts w:ascii="Arial" w:cs="Arial" w:eastAsia="Arial" w:hAnsi="Arial"/>
                <w:sz w:val="22"/>
                <w:szCs w:val="22"/>
                <w:color w:val="auto"/>
              </w:rPr>
              <w:t>December 31, 2021</w:t>
            </w:r>
          </w:p>
        </w:tc>
        <w:tc>
          <w:tcPr>
            <w:tcW w:w="1600" w:type="dxa"/>
            <w:vAlign w:val="bottom"/>
            <w:gridSpan w:val="3"/>
          </w:tcPr>
          <w:p>
            <w:pPr>
              <w:ind w:left="120"/>
              <w:spacing w:after="0"/>
              <w:rPr>
                <w:sz w:val="20"/>
                <w:szCs w:val="20"/>
                <w:color w:val="auto"/>
              </w:rPr>
            </w:pPr>
            <w:r>
              <w:rPr>
                <w:rFonts w:ascii="Arial" w:cs="Arial" w:eastAsia="Arial" w:hAnsi="Arial"/>
                <w:sz w:val="22"/>
                <w:szCs w:val="22"/>
                <w:color w:val="auto"/>
              </w:rPr>
              <w:t>$5,000,000</w:t>
            </w:r>
          </w:p>
        </w:tc>
        <w:tc>
          <w:tcPr>
            <w:tcW w:w="20" w:type="dxa"/>
            <w:vAlign w:val="bottom"/>
          </w:tcPr>
          <w:p>
            <w:pPr>
              <w:spacing w:after="0"/>
              <w:rPr>
                <w:sz w:val="24"/>
                <w:szCs w:val="24"/>
                <w:color w:val="auto"/>
              </w:rPr>
            </w:pPr>
          </w:p>
        </w:tc>
      </w:tr>
    </w:tbl>
    <w:p>
      <w:pPr>
        <w:spacing w:after="0" w:line="266" w:lineRule="exact"/>
        <w:rPr>
          <w:sz w:val="20"/>
          <w:szCs w:val="20"/>
          <w:color w:val="auto"/>
        </w:rPr>
      </w:pPr>
    </w:p>
    <w:p>
      <w:pPr>
        <w:jc w:val="both"/>
        <w:ind w:left="200" w:right="219" w:firstLine="656"/>
        <w:spacing w:after="0" w:line="250" w:lineRule="auto"/>
        <w:tabs>
          <w:tab w:leader="none" w:pos="1496" w:val="left"/>
        </w:tabs>
        <w:numPr>
          <w:ilvl w:val="0"/>
          <w:numId w:val="30"/>
        </w:numPr>
        <w:rPr>
          <w:rFonts w:ascii="Arial" w:cs="Arial" w:eastAsia="Arial" w:hAnsi="Arial"/>
          <w:sz w:val="22"/>
          <w:szCs w:val="22"/>
          <w:color w:val="010000"/>
        </w:rPr>
      </w:pPr>
      <w:r>
        <w:rPr>
          <w:rFonts w:ascii="Arial" w:cs="Arial" w:eastAsia="Arial" w:hAnsi="Arial"/>
          <w:sz w:val="22"/>
          <w:szCs w:val="22"/>
          <w:u w:val="single" w:color="auto"/>
          <w:color w:val="auto"/>
        </w:rPr>
        <w:t>Fixed Charge Coverage Ra</w:t>
      </w:r>
      <w:r>
        <w:rPr>
          <w:rFonts w:ascii="Arial" w:cs="Arial" w:eastAsia="Arial" w:hAnsi="Arial"/>
          <w:sz w:val="22"/>
          <w:szCs w:val="22"/>
          <w:color w:val="auto"/>
        </w:rPr>
        <w:t>tio. The Fixed Charge Ratio of Initial Borrower and the Included Subsidiaries on a consolidated basis for the twelve Fiscal Month period ending at the end of each Fiscal Quarter set forth below shall not be less than the ratio set forth below for such Fiscal Quarter below:</w:t>
      </w:r>
    </w:p>
    <w:p>
      <w:pPr>
        <w:spacing w:after="0" w:line="105" w:lineRule="exact"/>
        <w:rPr>
          <w:sz w:val="20"/>
          <w:szCs w:val="20"/>
          <w:color w:val="auto"/>
        </w:rPr>
      </w:pPr>
    </w:p>
    <w:tbl>
      <w:tblPr>
        <w:tblLayout w:type="fixed"/>
        <w:tblInd w:w="1540" w:type="dxa"/>
        <w:tblCellMar>
          <w:top w:w="0" w:type="dxa"/>
          <w:left w:w="0" w:type="dxa"/>
          <w:bottom w:w="0" w:type="dxa"/>
          <w:right w:w="0" w:type="dxa"/>
        </w:tblCellMar>
      </w:tblPr>
      <w:tr>
        <w:trPr>
          <w:trHeight w:val="253"/>
        </w:trPr>
        <w:tc>
          <w:tcPr>
            <w:tcW w:w="1220" w:type="dxa"/>
            <w:vAlign w:val="bottom"/>
          </w:tcPr>
          <w:p>
            <w:pPr>
              <w:spacing w:after="0"/>
              <w:rPr>
                <w:sz w:val="20"/>
                <w:szCs w:val="20"/>
                <w:color w:val="auto"/>
              </w:rPr>
            </w:pPr>
            <w:r>
              <w:rPr>
                <w:rFonts w:ascii="Arial" w:cs="Arial" w:eastAsia="Arial" w:hAnsi="Arial"/>
                <w:sz w:val="22"/>
                <w:szCs w:val="22"/>
                <w:color w:val="auto"/>
                <w:w w:val="86"/>
              </w:rPr>
              <w:t>Fiscal Quarter</w:t>
            </w:r>
          </w:p>
        </w:tc>
        <w:tc>
          <w:tcPr>
            <w:tcW w:w="242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22"/>
                <w:szCs w:val="22"/>
                <w:color w:val="auto"/>
              </w:rPr>
              <w:t>Fixed Charge</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40" w:type="dxa"/>
            <w:vAlign w:val="bottom"/>
            <w:gridSpan w:val="2"/>
            <w:vMerge w:val="restart"/>
          </w:tcPr>
          <w:p>
            <w:pPr>
              <w:spacing w:after="0"/>
              <w:rPr>
                <w:sz w:val="20"/>
                <w:szCs w:val="20"/>
                <w:color w:val="auto"/>
              </w:rPr>
            </w:pPr>
            <w:r>
              <w:rPr>
                <w:rFonts w:ascii="Arial" w:cs="Arial" w:eastAsia="Arial" w:hAnsi="Arial"/>
                <w:sz w:val="22"/>
                <w:szCs w:val="22"/>
                <w:color w:val="auto"/>
              </w:rPr>
              <w:t>December 31, 2020 and each Fiscal</w:t>
            </w:r>
          </w:p>
        </w:tc>
        <w:tc>
          <w:tcPr>
            <w:tcW w:w="136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w w:val="87"/>
              </w:rPr>
              <w:t>Coverage Ratio</w:t>
            </w:r>
          </w:p>
        </w:tc>
        <w:tc>
          <w:tcPr>
            <w:tcW w:w="0" w:type="dxa"/>
            <w:vAlign w:val="bottom"/>
          </w:tcPr>
          <w:p>
            <w:pPr>
              <w:spacing w:after="0"/>
              <w:rPr>
                <w:sz w:val="1"/>
                <w:szCs w:val="1"/>
                <w:color w:val="auto"/>
              </w:rPr>
            </w:pPr>
          </w:p>
        </w:tc>
      </w:tr>
      <w:tr>
        <w:trPr>
          <w:trHeight w:val="256"/>
        </w:trPr>
        <w:tc>
          <w:tcPr>
            <w:tcW w:w="3640" w:type="dxa"/>
            <w:vAlign w:val="bottom"/>
            <w:gridSpan w:val="2"/>
            <w:vMerge w:val="continue"/>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640" w:type="dxa"/>
            <w:vAlign w:val="bottom"/>
            <w:gridSpan w:val="2"/>
          </w:tcPr>
          <w:p>
            <w:pPr>
              <w:spacing w:after="0"/>
              <w:rPr>
                <w:sz w:val="20"/>
                <w:szCs w:val="20"/>
                <w:color w:val="auto"/>
              </w:rPr>
            </w:pPr>
            <w:r>
              <w:rPr>
                <w:rFonts w:ascii="Arial" w:cs="Arial" w:eastAsia="Arial" w:hAnsi="Arial"/>
                <w:sz w:val="22"/>
                <w:szCs w:val="22"/>
                <w:color w:val="auto"/>
              </w:rPr>
              <w:t>Quarter end thereafter</w:t>
            </w:r>
          </w:p>
        </w:tc>
        <w:tc>
          <w:tcPr>
            <w:tcW w:w="1360" w:type="dxa"/>
            <w:vAlign w:val="bottom"/>
            <w:gridSpan w:val="2"/>
          </w:tcPr>
          <w:p>
            <w:pPr>
              <w:spacing w:after="0"/>
              <w:rPr>
                <w:sz w:val="20"/>
                <w:szCs w:val="20"/>
                <w:color w:val="auto"/>
              </w:rPr>
            </w:pPr>
            <w:r>
              <w:rPr>
                <w:rFonts w:ascii="Arial" w:cs="Arial" w:eastAsia="Arial" w:hAnsi="Arial"/>
                <w:sz w:val="22"/>
                <w:szCs w:val="22"/>
                <w:color w:val="auto"/>
              </w:rPr>
              <w:t>1.25 to 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both"/>
        <w:ind w:left="200" w:right="219" w:firstLine="656"/>
        <w:spacing w:after="0" w:line="253" w:lineRule="auto"/>
        <w:tabs>
          <w:tab w:leader="none" w:pos="1496"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Capital Expenditur</w:t>
      </w:r>
      <w:r>
        <w:rPr>
          <w:rFonts w:ascii="Arial" w:cs="Arial" w:eastAsia="Arial" w:hAnsi="Arial"/>
          <w:sz w:val="22"/>
          <w:szCs w:val="22"/>
          <w:color w:val="auto"/>
        </w:rPr>
        <w:t>es. Capital Expenditures of Initial Borrower and the Included Subsidiaries on a consolidated basis in any Fiscal Year shall not exceed the amount set forth below for such Fiscal Year:</w:t>
      </w:r>
    </w:p>
    <w:p>
      <w:pPr>
        <w:spacing w:after="0" w:line="102" w:lineRule="exact"/>
        <w:rPr>
          <w:sz w:val="20"/>
          <w:szCs w:val="20"/>
          <w:color w:val="auto"/>
        </w:rPr>
      </w:pPr>
    </w:p>
    <w:tbl>
      <w:tblPr>
        <w:tblLayout w:type="fixed"/>
        <w:tblInd w:w="1540" w:type="dxa"/>
        <w:tblCellMar>
          <w:top w:w="0" w:type="dxa"/>
          <w:left w:w="0" w:type="dxa"/>
          <w:bottom w:w="0" w:type="dxa"/>
          <w:right w:w="0" w:type="dxa"/>
        </w:tblCellMar>
      </w:tblPr>
      <w:tr>
        <w:trPr>
          <w:trHeight w:val="253"/>
        </w:trPr>
        <w:tc>
          <w:tcPr>
            <w:tcW w:w="3780" w:type="dxa"/>
            <w:vAlign w:val="bottom"/>
            <w:gridSpan w:val="2"/>
          </w:tcPr>
          <w:p>
            <w:pPr>
              <w:spacing w:after="0"/>
              <w:rPr>
                <w:sz w:val="20"/>
                <w:szCs w:val="20"/>
                <w:color w:val="auto"/>
              </w:rPr>
            </w:pPr>
            <w:r>
              <w:rPr>
                <w:rFonts w:ascii="Arial" w:cs="Arial" w:eastAsia="Arial" w:hAnsi="Arial"/>
                <w:sz w:val="22"/>
                <w:szCs w:val="22"/>
                <w:color w:val="auto"/>
              </w:rPr>
              <w:t>Fiscal Year End</w:t>
            </w:r>
          </w:p>
        </w:tc>
        <w:tc>
          <w:tcPr>
            <w:tcW w:w="1800" w:type="dxa"/>
            <w:vAlign w:val="bottom"/>
          </w:tcPr>
          <w:p>
            <w:pPr>
              <w:spacing w:after="0"/>
              <w:rPr>
                <w:sz w:val="20"/>
                <w:szCs w:val="20"/>
                <w:color w:val="auto"/>
              </w:rPr>
            </w:pPr>
            <w:r>
              <w:rPr>
                <w:rFonts w:ascii="Arial" w:cs="Arial" w:eastAsia="Arial" w:hAnsi="Arial"/>
                <w:sz w:val="22"/>
                <w:szCs w:val="22"/>
                <w:color w:val="auto"/>
                <w:w w:val="87"/>
              </w:rPr>
              <w:t>Capital Expenditures</w:t>
            </w:r>
          </w:p>
        </w:tc>
      </w:tr>
      <w:tr>
        <w:trPr>
          <w:trHeight w:val="20"/>
        </w:trPr>
        <w:tc>
          <w:tcPr>
            <w:tcW w:w="13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269"/>
        </w:trPr>
        <w:tc>
          <w:tcPr>
            <w:tcW w:w="3780" w:type="dxa"/>
            <w:vAlign w:val="bottom"/>
            <w:gridSpan w:val="2"/>
          </w:tcPr>
          <w:p>
            <w:pPr>
              <w:spacing w:after="0"/>
              <w:rPr>
                <w:sz w:val="20"/>
                <w:szCs w:val="20"/>
                <w:color w:val="auto"/>
              </w:rPr>
            </w:pPr>
            <w:r>
              <w:rPr>
                <w:rFonts w:ascii="Arial" w:cs="Arial" w:eastAsia="Arial" w:hAnsi="Arial"/>
                <w:sz w:val="22"/>
                <w:szCs w:val="22"/>
                <w:color w:val="auto"/>
              </w:rPr>
              <w:t>December 31, 2020</w:t>
            </w:r>
          </w:p>
        </w:tc>
        <w:tc>
          <w:tcPr>
            <w:tcW w:w="1800" w:type="dxa"/>
            <w:vAlign w:val="bottom"/>
          </w:tcPr>
          <w:p>
            <w:pPr>
              <w:ind w:left="20"/>
              <w:spacing w:after="0"/>
              <w:rPr>
                <w:sz w:val="20"/>
                <w:szCs w:val="20"/>
                <w:color w:val="auto"/>
              </w:rPr>
            </w:pPr>
            <w:r>
              <w:rPr>
                <w:rFonts w:ascii="Arial" w:cs="Arial" w:eastAsia="Arial" w:hAnsi="Arial"/>
                <w:sz w:val="22"/>
                <w:szCs w:val="22"/>
                <w:color w:val="auto"/>
              </w:rPr>
              <w:t>$1,600,000</w:t>
            </w:r>
          </w:p>
        </w:tc>
      </w:tr>
      <w:tr>
        <w:trPr>
          <w:trHeight w:val="274"/>
        </w:trPr>
        <w:tc>
          <w:tcPr>
            <w:tcW w:w="3780" w:type="dxa"/>
            <w:vAlign w:val="bottom"/>
            <w:gridSpan w:val="2"/>
          </w:tcPr>
          <w:p>
            <w:pPr>
              <w:spacing w:after="0"/>
              <w:rPr>
                <w:sz w:val="20"/>
                <w:szCs w:val="20"/>
                <w:color w:val="auto"/>
              </w:rPr>
            </w:pPr>
            <w:r>
              <w:rPr>
                <w:rFonts w:ascii="Arial" w:cs="Arial" w:eastAsia="Arial" w:hAnsi="Arial"/>
                <w:sz w:val="22"/>
                <w:szCs w:val="22"/>
                <w:color w:val="auto"/>
              </w:rPr>
              <w:t>All other times</w:t>
            </w:r>
          </w:p>
        </w:tc>
        <w:tc>
          <w:tcPr>
            <w:tcW w:w="1800" w:type="dxa"/>
            <w:vAlign w:val="bottom"/>
          </w:tcPr>
          <w:p>
            <w:pPr>
              <w:ind w:left="20"/>
              <w:spacing w:after="0"/>
              <w:rPr>
                <w:sz w:val="20"/>
                <w:szCs w:val="20"/>
                <w:color w:val="auto"/>
              </w:rPr>
            </w:pPr>
            <w:r>
              <w:rPr>
                <w:rFonts w:ascii="Arial" w:cs="Arial" w:eastAsia="Arial" w:hAnsi="Arial"/>
                <w:sz w:val="22"/>
                <w:szCs w:val="22"/>
                <w:color w:val="auto"/>
              </w:rPr>
              <w:t>$700,000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200" w:right="219" w:firstLine="656"/>
        <w:spacing w:after="0" w:line="271" w:lineRule="auto"/>
        <w:tabs>
          <w:tab w:leader="none" w:pos="1496" w:val="left"/>
        </w:tabs>
        <w:numPr>
          <w:ilvl w:val="0"/>
          <w:numId w:val="32"/>
        </w:numPr>
        <w:rPr>
          <w:rFonts w:ascii="Arial" w:cs="Arial" w:eastAsia="Arial" w:hAnsi="Arial"/>
          <w:sz w:val="21"/>
          <w:szCs w:val="21"/>
          <w:color w:val="010000"/>
        </w:rPr>
      </w:pPr>
      <w:r>
        <w:rPr>
          <w:rFonts w:ascii="Arial" w:cs="Arial" w:eastAsia="Arial" w:hAnsi="Arial"/>
          <w:sz w:val="21"/>
          <w:szCs w:val="21"/>
          <w:u w:val="single" w:color="auto"/>
          <w:color w:val="auto"/>
        </w:rPr>
        <w:t>Maximum Leverage Ra</w:t>
      </w:r>
      <w:r>
        <w:rPr>
          <w:rFonts w:ascii="Arial" w:cs="Arial" w:eastAsia="Arial" w:hAnsi="Arial"/>
          <w:sz w:val="21"/>
          <w:szCs w:val="21"/>
          <w:color w:val="auto"/>
        </w:rPr>
        <w:t>tio. The Leverage Ratio of Initial Borrower and the Included Subsidiaries on a consolidated basis for the twelve Fiscal Month period ending at the end of each Fiscal Quarter shall not exceed the ratio below for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316865</wp:posOffset>
            </wp:positionV>
            <wp:extent cx="558038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5" w:name="page56"/>
    <w:bookmarkEnd w:id="55"/>
    <w:tbl>
      <w:tblPr>
        <w:tblLayout w:type="fixed"/>
        <w:tblInd w:w="1620" w:type="dxa"/>
        <w:tblCellMar>
          <w:top w:w="0" w:type="dxa"/>
          <w:left w:w="0" w:type="dxa"/>
          <w:bottom w:w="0" w:type="dxa"/>
          <w:right w:w="0" w:type="dxa"/>
        </w:tblCellMar>
      </w:tblPr>
      <w:tr>
        <w:trPr>
          <w:trHeight w:val="253"/>
        </w:trPr>
        <w:tc>
          <w:tcPr>
            <w:tcW w:w="2780" w:type="dxa"/>
            <w:vAlign w:val="bottom"/>
            <w:gridSpan w:val="2"/>
          </w:tcPr>
          <w:p>
            <w:pPr>
              <w:spacing w:after="0"/>
              <w:rPr>
                <w:sz w:val="20"/>
                <w:szCs w:val="20"/>
                <w:color w:val="auto"/>
              </w:rPr>
            </w:pPr>
            <w:r>
              <w:rPr>
                <w:rFonts w:ascii="Arial" w:cs="Arial" w:eastAsia="Arial" w:hAnsi="Arial"/>
                <w:sz w:val="22"/>
                <w:szCs w:val="22"/>
                <w:color w:val="auto"/>
              </w:rPr>
              <w:t>Fiscal Quarter</w:t>
            </w:r>
          </w:p>
        </w:tc>
        <w:tc>
          <w:tcPr>
            <w:tcW w:w="104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Arial" w:cs="Arial" w:eastAsia="Arial" w:hAnsi="Arial"/>
                <w:sz w:val="22"/>
                <w:szCs w:val="22"/>
                <w:color w:val="auto"/>
                <w:w w:val="89"/>
              </w:rPr>
              <w:t>Maximum Leverage Ratio</w:t>
            </w:r>
          </w:p>
        </w:tc>
      </w:tr>
      <w:tr>
        <w:trPr>
          <w:trHeight w:val="20"/>
        </w:trPr>
        <w:tc>
          <w:tcPr>
            <w:tcW w:w="1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269"/>
        </w:trPr>
        <w:tc>
          <w:tcPr>
            <w:tcW w:w="2780" w:type="dxa"/>
            <w:vAlign w:val="bottom"/>
            <w:gridSpan w:val="2"/>
          </w:tcPr>
          <w:p>
            <w:pPr>
              <w:spacing w:after="0"/>
              <w:rPr>
                <w:sz w:val="20"/>
                <w:szCs w:val="20"/>
                <w:color w:val="auto"/>
              </w:rPr>
            </w:pPr>
            <w:r>
              <w:rPr>
                <w:rFonts w:ascii="Arial" w:cs="Arial" w:eastAsia="Arial" w:hAnsi="Arial"/>
                <w:sz w:val="22"/>
                <w:szCs w:val="22"/>
                <w:color w:val="auto"/>
              </w:rPr>
              <w:t>September 30, 2020</w:t>
            </w:r>
          </w:p>
        </w:tc>
        <w:tc>
          <w:tcPr>
            <w:tcW w:w="3300" w:type="dxa"/>
            <w:vAlign w:val="bottom"/>
            <w:gridSpan w:val="2"/>
          </w:tcPr>
          <w:p>
            <w:pPr>
              <w:ind w:left="1040"/>
              <w:spacing w:after="0"/>
              <w:rPr>
                <w:sz w:val="20"/>
                <w:szCs w:val="20"/>
                <w:color w:val="auto"/>
              </w:rPr>
            </w:pPr>
            <w:r>
              <w:rPr>
                <w:rFonts w:ascii="Arial" w:cs="Arial" w:eastAsia="Arial" w:hAnsi="Arial"/>
                <w:sz w:val="22"/>
                <w:szCs w:val="22"/>
                <w:color w:val="auto"/>
              </w:rPr>
              <w:t>4.00 to 1.00</w:t>
            </w:r>
          </w:p>
        </w:tc>
      </w:tr>
      <w:tr>
        <w:trPr>
          <w:trHeight w:val="257"/>
        </w:trPr>
        <w:tc>
          <w:tcPr>
            <w:tcW w:w="2780" w:type="dxa"/>
            <w:vAlign w:val="bottom"/>
            <w:gridSpan w:val="2"/>
          </w:tcPr>
          <w:p>
            <w:pPr>
              <w:spacing w:after="0"/>
              <w:rPr>
                <w:sz w:val="20"/>
                <w:szCs w:val="20"/>
                <w:color w:val="auto"/>
              </w:rPr>
            </w:pPr>
            <w:r>
              <w:rPr>
                <w:rFonts w:ascii="Arial" w:cs="Arial" w:eastAsia="Arial" w:hAnsi="Arial"/>
                <w:sz w:val="22"/>
                <w:szCs w:val="22"/>
                <w:color w:val="auto"/>
              </w:rPr>
              <w:t>December 31, 2020</w:t>
            </w:r>
          </w:p>
        </w:tc>
        <w:tc>
          <w:tcPr>
            <w:tcW w:w="3300" w:type="dxa"/>
            <w:vAlign w:val="bottom"/>
            <w:gridSpan w:val="2"/>
          </w:tcPr>
          <w:p>
            <w:pPr>
              <w:ind w:left="1040"/>
              <w:spacing w:after="0"/>
              <w:rPr>
                <w:sz w:val="20"/>
                <w:szCs w:val="20"/>
                <w:color w:val="auto"/>
              </w:rPr>
            </w:pPr>
            <w:r>
              <w:rPr>
                <w:rFonts w:ascii="Arial" w:cs="Arial" w:eastAsia="Arial" w:hAnsi="Arial"/>
                <w:sz w:val="22"/>
                <w:szCs w:val="22"/>
                <w:color w:val="auto"/>
              </w:rPr>
              <w:t>3.50 to 1.00</w:t>
            </w:r>
          </w:p>
        </w:tc>
      </w:tr>
      <w:tr>
        <w:trPr>
          <w:trHeight w:val="256"/>
        </w:trPr>
        <w:tc>
          <w:tcPr>
            <w:tcW w:w="2780" w:type="dxa"/>
            <w:vAlign w:val="bottom"/>
            <w:gridSpan w:val="2"/>
          </w:tcPr>
          <w:p>
            <w:pPr>
              <w:spacing w:after="0"/>
              <w:rPr>
                <w:sz w:val="20"/>
                <w:szCs w:val="20"/>
                <w:color w:val="auto"/>
              </w:rPr>
            </w:pPr>
            <w:r>
              <w:rPr>
                <w:rFonts w:ascii="Arial" w:cs="Arial" w:eastAsia="Arial" w:hAnsi="Arial"/>
                <w:sz w:val="22"/>
                <w:szCs w:val="22"/>
                <w:color w:val="auto"/>
              </w:rPr>
              <w:t>March 31, 2021</w:t>
            </w:r>
          </w:p>
        </w:tc>
        <w:tc>
          <w:tcPr>
            <w:tcW w:w="1040" w:type="dxa"/>
            <w:vAlign w:val="bottom"/>
          </w:tcPr>
          <w:p>
            <w:pPr>
              <w:spacing w:after="0"/>
              <w:rPr>
                <w:sz w:val="22"/>
                <w:szCs w:val="22"/>
                <w:color w:val="auto"/>
              </w:rPr>
            </w:pPr>
          </w:p>
        </w:tc>
        <w:tc>
          <w:tcPr>
            <w:tcW w:w="2260" w:type="dxa"/>
            <w:vAlign w:val="bottom"/>
          </w:tcPr>
          <w:p>
            <w:pPr>
              <w:spacing w:after="0"/>
              <w:rPr>
                <w:sz w:val="20"/>
                <w:szCs w:val="20"/>
                <w:color w:val="auto"/>
              </w:rPr>
            </w:pPr>
            <w:r>
              <w:rPr>
                <w:rFonts w:ascii="Arial" w:cs="Arial" w:eastAsia="Arial" w:hAnsi="Arial"/>
                <w:sz w:val="22"/>
                <w:szCs w:val="22"/>
                <w:color w:val="auto"/>
              </w:rPr>
              <w:t>3.15 to 1.00</w:t>
            </w:r>
          </w:p>
        </w:tc>
      </w:tr>
      <w:tr>
        <w:trPr>
          <w:trHeight w:val="257"/>
        </w:trPr>
        <w:tc>
          <w:tcPr>
            <w:tcW w:w="2780" w:type="dxa"/>
            <w:vAlign w:val="bottom"/>
            <w:gridSpan w:val="2"/>
          </w:tcPr>
          <w:p>
            <w:pPr>
              <w:spacing w:after="0"/>
              <w:rPr>
                <w:sz w:val="20"/>
                <w:szCs w:val="20"/>
                <w:color w:val="auto"/>
              </w:rPr>
            </w:pPr>
            <w:r>
              <w:rPr>
                <w:rFonts w:ascii="Arial" w:cs="Arial" w:eastAsia="Arial" w:hAnsi="Arial"/>
                <w:sz w:val="22"/>
                <w:szCs w:val="22"/>
                <w:color w:val="auto"/>
              </w:rPr>
              <w:t>June 30, 2021</w:t>
            </w:r>
          </w:p>
        </w:tc>
        <w:tc>
          <w:tcPr>
            <w:tcW w:w="1040" w:type="dxa"/>
            <w:vAlign w:val="bottom"/>
          </w:tcPr>
          <w:p>
            <w:pPr>
              <w:spacing w:after="0"/>
              <w:rPr>
                <w:sz w:val="22"/>
                <w:szCs w:val="22"/>
                <w:color w:val="auto"/>
              </w:rPr>
            </w:pPr>
          </w:p>
        </w:tc>
        <w:tc>
          <w:tcPr>
            <w:tcW w:w="2260" w:type="dxa"/>
            <w:vAlign w:val="bottom"/>
          </w:tcPr>
          <w:p>
            <w:pPr>
              <w:spacing w:after="0"/>
              <w:rPr>
                <w:sz w:val="20"/>
                <w:szCs w:val="20"/>
                <w:color w:val="auto"/>
              </w:rPr>
            </w:pPr>
            <w:r>
              <w:rPr>
                <w:rFonts w:ascii="Arial" w:cs="Arial" w:eastAsia="Arial" w:hAnsi="Arial"/>
                <w:sz w:val="22"/>
                <w:szCs w:val="22"/>
                <w:color w:val="auto"/>
              </w:rPr>
              <w:t>3.00 to 1.00</w:t>
            </w:r>
          </w:p>
        </w:tc>
      </w:tr>
      <w:tr>
        <w:trPr>
          <w:trHeight w:val="257"/>
        </w:trPr>
        <w:tc>
          <w:tcPr>
            <w:tcW w:w="2780" w:type="dxa"/>
            <w:vAlign w:val="bottom"/>
            <w:gridSpan w:val="2"/>
          </w:tcPr>
          <w:p>
            <w:pPr>
              <w:spacing w:after="0"/>
              <w:rPr>
                <w:sz w:val="20"/>
                <w:szCs w:val="20"/>
                <w:color w:val="auto"/>
              </w:rPr>
            </w:pPr>
            <w:r>
              <w:rPr>
                <w:rFonts w:ascii="Arial" w:cs="Arial" w:eastAsia="Arial" w:hAnsi="Arial"/>
                <w:sz w:val="22"/>
                <w:szCs w:val="22"/>
                <w:color w:val="auto"/>
              </w:rPr>
              <w:t>September 30, 2021</w:t>
            </w:r>
          </w:p>
        </w:tc>
        <w:tc>
          <w:tcPr>
            <w:tcW w:w="3300" w:type="dxa"/>
            <w:vAlign w:val="bottom"/>
            <w:gridSpan w:val="2"/>
          </w:tcPr>
          <w:p>
            <w:pPr>
              <w:ind w:left="1040"/>
              <w:spacing w:after="0"/>
              <w:rPr>
                <w:sz w:val="20"/>
                <w:szCs w:val="20"/>
                <w:color w:val="auto"/>
              </w:rPr>
            </w:pPr>
            <w:r>
              <w:rPr>
                <w:rFonts w:ascii="Arial" w:cs="Arial" w:eastAsia="Arial" w:hAnsi="Arial"/>
                <w:sz w:val="22"/>
                <w:szCs w:val="22"/>
                <w:color w:val="auto"/>
              </w:rPr>
              <w:t>2.75 to 1.00</w:t>
            </w:r>
          </w:p>
        </w:tc>
      </w:tr>
      <w:tr>
        <w:trPr>
          <w:trHeight w:val="257"/>
        </w:trPr>
        <w:tc>
          <w:tcPr>
            <w:tcW w:w="2780" w:type="dxa"/>
            <w:vAlign w:val="bottom"/>
            <w:gridSpan w:val="2"/>
          </w:tcPr>
          <w:p>
            <w:pPr>
              <w:spacing w:after="0"/>
              <w:rPr>
                <w:sz w:val="20"/>
                <w:szCs w:val="20"/>
                <w:color w:val="auto"/>
              </w:rPr>
            </w:pPr>
            <w:r>
              <w:rPr>
                <w:rFonts w:ascii="Arial" w:cs="Arial" w:eastAsia="Arial" w:hAnsi="Arial"/>
                <w:sz w:val="22"/>
                <w:szCs w:val="22"/>
                <w:color w:val="auto"/>
              </w:rPr>
              <w:t>December 31, 2021</w:t>
            </w:r>
          </w:p>
        </w:tc>
        <w:tc>
          <w:tcPr>
            <w:tcW w:w="3300" w:type="dxa"/>
            <w:vAlign w:val="bottom"/>
            <w:gridSpan w:val="2"/>
          </w:tcPr>
          <w:p>
            <w:pPr>
              <w:ind w:left="1040"/>
              <w:spacing w:after="0"/>
              <w:rPr>
                <w:sz w:val="20"/>
                <w:szCs w:val="20"/>
                <w:color w:val="auto"/>
              </w:rPr>
            </w:pPr>
            <w:r>
              <w:rPr>
                <w:rFonts w:ascii="Arial" w:cs="Arial" w:eastAsia="Arial" w:hAnsi="Arial"/>
                <w:sz w:val="22"/>
                <w:szCs w:val="22"/>
                <w:color w:val="auto"/>
              </w:rPr>
              <w:t>2.50 to</w:t>
            </w:r>
          </w:p>
        </w:tc>
      </w:tr>
      <w:tr>
        <w:trPr>
          <w:trHeight w:val="257"/>
        </w:trPr>
        <w:tc>
          <w:tcPr>
            <w:tcW w:w="6080" w:type="dxa"/>
            <w:vAlign w:val="bottom"/>
            <w:gridSpan w:val="4"/>
          </w:tcPr>
          <w:p>
            <w:pPr>
              <w:spacing w:after="0"/>
              <w:rPr>
                <w:sz w:val="20"/>
                <w:szCs w:val="20"/>
                <w:color w:val="auto"/>
              </w:rPr>
            </w:pPr>
            <w:r>
              <w:rPr>
                <w:rFonts w:ascii="Arial" w:cs="Arial" w:eastAsia="Arial" w:hAnsi="Arial"/>
                <w:sz w:val="22"/>
                <w:szCs w:val="22"/>
                <w:color w:val="auto"/>
              </w:rPr>
              <w:t>1.00 March 31, 2022 and each Fiscal Quarter</w:t>
            </w:r>
          </w:p>
        </w:tc>
      </w:tr>
      <w:tr>
        <w:trPr>
          <w:trHeight w:val="274"/>
        </w:trPr>
        <w:tc>
          <w:tcPr>
            <w:tcW w:w="2780" w:type="dxa"/>
            <w:vAlign w:val="bottom"/>
            <w:gridSpan w:val="2"/>
          </w:tcPr>
          <w:p>
            <w:pPr>
              <w:spacing w:after="0"/>
              <w:rPr>
                <w:sz w:val="20"/>
                <w:szCs w:val="20"/>
                <w:color w:val="auto"/>
              </w:rPr>
            </w:pPr>
            <w:r>
              <w:rPr>
                <w:rFonts w:ascii="Arial" w:cs="Arial" w:eastAsia="Arial" w:hAnsi="Arial"/>
                <w:sz w:val="22"/>
                <w:szCs w:val="22"/>
                <w:color w:val="auto"/>
              </w:rPr>
              <w:t>end thereafter</w:t>
            </w:r>
          </w:p>
        </w:tc>
        <w:tc>
          <w:tcPr>
            <w:tcW w:w="1040" w:type="dxa"/>
            <w:vAlign w:val="bottom"/>
          </w:tcPr>
          <w:p>
            <w:pPr>
              <w:spacing w:after="0"/>
              <w:rPr>
                <w:sz w:val="23"/>
                <w:szCs w:val="23"/>
                <w:color w:val="auto"/>
              </w:rPr>
            </w:pPr>
          </w:p>
        </w:tc>
        <w:tc>
          <w:tcPr>
            <w:tcW w:w="2260" w:type="dxa"/>
            <w:vAlign w:val="bottom"/>
          </w:tcPr>
          <w:p>
            <w:pPr>
              <w:spacing w:after="0"/>
              <w:rPr>
                <w:sz w:val="20"/>
                <w:szCs w:val="20"/>
                <w:color w:val="auto"/>
              </w:rPr>
            </w:pPr>
            <w:r>
              <w:rPr>
                <w:rFonts w:ascii="Arial" w:cs="Arial" w:eastAsia="Arial" w:hAnsi="Arial"/>
                <w:sz w:val="22"/>
                <w:szCs w:val="22"/>
                <w:color w:val="auto"/>
              </w:rPr>
              <w:t>1.50 to 1.00</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00" w:right="319" w:firstLine="647"/>
        <w:spacing w:after="0" w:line="271" w:lineRule="auto"/>
        <w:tabs>
          <w:tab w:leader="none" w:pos="1596" w:val="left"/>
        </w:tabs>
        <w:numPr>
          <w:ilvl w:val="0"/>
          <w:numId w:val="33"/>
        </w:numPr>
        <w:rPr>
          <w:rFonts w:ascii="Arial" w:cs="Arial" w:eastAsia="Arial" w:hAnsi="Arial"/>
          <w:sz w:val="21"/>
          <w:szCs w:val="21"/>
          <w:color w:val="010000"/>
        </w:rPr>
      </w:pPr>
      <w:r>
        <w:rPr>
          <w:rFonts w:ascii="Arial" w:cs="Arial" w:eastAsia="Arial" w:hAnsi="Arial"/>
          <w:sz w:val="21"/>
          <w:szCs w:val="21"/>
          <w:u w:val="single" w:color="auto"/>
          <w:color w:val="auto"/>
        </w:rPr>
        <w:t>Minimum E</w:t>
      </w:r>
      <w:r>
        <w:rPr>
          <w:rFonts w:ascii="Arial" w:cs="Arial" w:eastAsia="Arial" w:hAnsi="Arial"/>
          <w:sz w:val="21"/>
          <w:szCs w:val="21"/>
          <w:color w:val="auto"/>
        </w:rPr>
        <w:t>BITDA. The EBITDA of Initial Borrower and the Included Subsidiaries on a consolidated basis for the twelve Fiscal Month period ending at the end of each Fiscal Quarter shall be at least the amount set forth below for such Fiscal Quarter:</w:t>
      </w:r>
    </w:p>
    <w:p>
      <w:pPr>
        <w:spacing w:after="0" w:line="300"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1640" w:type="dxa"/>
            <w:vAlign w:val="bottom"/>
          </w:tcPr>
          <w:p>
            <w:pPr>
              <w:spacing w:after="0"/>
              <w:rPr>
                <w:sz w:val="20"/>
                <w:szCs w:val="20"/>
                <w:color w:val="auto"/>
              </w:rPr>
            </w:pPr>
            <w:r>
              <w:rPr>
                <w:rFonts w:ascii="Arial" w:cs="Arial" w:eastAsia="Arial" w:hAnsi="Arial"/>
                <w:sz w:val="22"/>
                <w:szCs w:val="22"/>
                <w:color w:val="auto"/>
                <w:w w:val="88"/>
              </w:rPr>
              <w:t>Fiscal Quarter End</w:t>
            </w: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360" w:type="dxa"/>
            <w:vAlign w:val="bottom"/>
            <w:gridSpan w:val="2"/>
          </w:tcPr>
          <w:p>
            <w:pPr>
              <w:spacing w:after="0"/>
              <w:rPr>
                <w:sz w:val="20"/>
                <w:szCs w:val="20"/>
                <w:color w:val="auto"/>
              </w:rPr>
            </w:pPr>
            <w:r>
              <w:rPr>
                <w:rFonts w:ascii="Arial" w:cs="Arial" w:eastAsia="Arial" w:hAnsi="Arial"/>
                <w:sz w:val="22"/>
                <w:szCs w:val="22"/>
                <w:color w:val="auto"/>
              </w:rPr>
              <w:t>Minimum EBITDA</w:t>
            </w:r>
          </w:p>
        </w:tc>
      </w:tr>
      <w:tr>
        <w:trPr>
          <w:trHeight w:val="20"/>
        </w:trPr>
        <w:tc>
          <w:tcPr>
            <w:tcW w:w="1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87"/>
        </w:trPr>
        <w:tc>
          <w:tcPr>
            <w:tcW w:w="14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22"/>
                <w:szCs w:val="22"/>
                <w:color w:val="auto"/>
              </w:rPr>
              <w:t>September 30, 2020</w:t>
            </w:r>
          </w:p>
        </w:tc>
        <w:tc>
          <w:tcPr>
            <w:tcW w:w="2720" w:type="dxa"/>
            <w:vAlign w:val="bottom"/>
            <w:gridSpan w:val="2"/>
          </w:tcPr>
          <w:p>
            <w:pPr>
              <w:ind w:left="1040"/>
              <w:spacing w:after="0"/>
              <w:rPr>
                <w:sz w:val="20"/>
                <w:szCs w:val="20"/>
                <w:color w:val="auto"/>
              </w:rPr>
            </w:pPr>
            <w:r>
              <w:rPr>
                <w:rFonts w:ascii="Arial" w:cs="Arial" w:eastAsia="Arial" w:hAnsi="Arial"/>
                <w:sz w:val="22"/>
                <w:szCs w:val="22"/>
                <w:color w:val="auto"/>
              </w:rPr>
              <w:t>$5,000,000</w:t>
            </w:r>
          </w:p>
        </w:tc>
        <w:tc>
          <w:tcPr>
            <w:tcW w:w="1680" w:type="dxa"/>
            <w:vAlign w:val="bottom"/>
          </w:tcPr>
          <w:p>
            <w:pPr>
              <w:spacing w:after="0"/>
              <w:rPr>
                <w:sz w:val="24"/>
                <w:szCs w:val="24"/>
                <w:color w:val="auto"/>
              </w:rPr>
            </w:pPr>
          </w:p>
        </w:tc>
      </w:tr>
      <w:tr>
        <w:trPr>
          <w:trHeight w:val="551"/>
        </w:trPr>
        <w:tc>
          <w:tcPr>
            <w:tcW w:w="1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46"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2020 of Xcel Brands, Inc. (the “Company”).</w:t>
      </w:r>
    </w:p>
    <w:p>
      <w:pPr>
        <w:spacing w:after="0" w:line="207" w:lineRule="exact"/>
        <w:rPr>
          <w:rFonts w:ascii="Arial" w:cs="Arial" w:eastAsia="Arial" w:hAnsi="Arial"/>
          <w:sz w:val="16"/>
          <w:szCs w:val="16"/>
          <w:color w:val="auto"/>
        </w:rPr>
      </w:pPr>
    </w:p>
    <w:p>
      <w:pPr>
        <w:ind w:right="200" w:firstLine="8"/>
        <w:spacing w:after="0" w:line="263"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right="60" w:firstLine="8"/>
        <w:spacing w:after="0" w:line="263"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ind w:right="80" w:firstLine="8"/>
        <w:spacing w:after="0" w:line="291" w:lineRule="auto"/>
        <w:tabs>
          <w:tab w:leader="none" w:pos="17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ind w:right="100" w:firstLine="8"/>
        <w:spacing w:after="0" w:line="263" w:lineRule="auto"/>
        <w:tabs>
          <w:tab w:leader="none" w:pos="1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180" w:firstLine="8"/>
        <w:spacing w:after="0" w:line="263" w:lineRule="auto"/>
        <w:tabs>
          <w:tab w:leader="none" w:pos="1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340" w:firstLine="8"/>
        <w:spacing w:after="0" w:line="263" w:lineRule="auto"/>
        <w:tabs>
          <w:tab w:leader="none" w:pos="1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ind w:right="120" w:firstLine="8"/>
        <w:spacing w:after="0" w:line="263" w:lineRule="auto"/>
        <w:tabs>
          <w:tab w:leader="none" w:pos="1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right="180" w:firstLine="8"/>
        <w:spacing w:after="0" w:line="308" w:lineRule="auto"/>
        <w:tabs>
          <w:tab w:leader="none" w:pos="1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520" w:firstLine="8"/>
        <w:spacing w:after="0" w:line="277" w:lineRule="auto"/>
        <w:tabs>
          <w:tab w:leader="none" w:pos="1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November 13, 2020</w:t>
      </w:r>
      <w:r>
        <w:rPr>
          <w:sz w:val="20"/>
          <w:szCs w:val="20"/>
          <w:color w:val="auto"/>
        </w:rPr>
        <w:tab/>
      </w:r>
      <w:r>
        <w:rPr>
          <w:rFonts w:ascii="Arial" w:cs="Arial" w:eastAsia="Arial" w:hAnsi="Arial"/>
          <w:sz w:val="16"/>
          <w:szCs w:val="16"/>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5717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158"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2020 of Xcel Brands, Inc. (the “Company”).</w:t>
      </w:r>
    </w:p>
    <w:p>
      <w:pPr>
        <w:spacing w:after="0" w:line="207" w:lineRule="exact"/>
        <w:rPr>
          <w:rFonts w:ascii="Arial" w:cs="Arial" w:eastAsia="Arial" w:hAnsi="Arial"/>
          <w:sz w:val="16"/>
          <w:szCs w:val="16"/>
          <w:color w:val="auto"/>
        </w:rPr>
      </w:pPr>
    </w:p>
    <w:p>
      <w:pPr>
        <w:ind w:right="200" w:firstLine="8"/>
        <w:spacing w:after="0" w:line="263"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right="60" w:firstLine="8"/>
        <w:spacing w:after="0" w:line="263"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ind w:right="80" w:firstLine="8"/>
        <w:spacing w:after="0" w:line="291" w:lineRule="auto"/>
        <w:tabs>
          <w:tab w:leader="none" w:pos="177"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ind w:right="100" w:firstLine="8"/>
        <w:spacing w:after="0" w:line="263" w:lineRule="auto"/>
        <w:tabs>
          <w:tab w:leader="none" w:pos="1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180" w:firstLine="8"/>
        <w:spacing w:after="0" w:line="263" w:lineRule="auto"/>
        <w:tabs>
          <w:tab w:leader="none" w:pos="1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340" w:firstLine="8"/>
        <w:spacing w:after="0" w:line="263" w:lineRule="auto"/>
        <w:tabs>
          <w:tab w:leader="none" w:pos="1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ind w:right="100" w:firstLine="8"/>
        <w:spacing w:after="0" w:line="263" w:lineRule="auto"/>
        <w:tabs>
          <w:tab w:leader="none" w:pos="1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43" w:lineRule="exact"/>
        <w:rPr>
          <w:sz w:val="20"/>
          <w:szCs w:val="20"/>
          <w:color w:val="auto"/>
        </w:rPr>
      </w:pPr>
    </w:p>
    <w:p>
      <w:pPr>
        <w:ind w:right="180" w:firstLine="8"/>
        <w:spacing w:after="0" w:line="308" w:lineRule="auto"/>
        <w:tabs>
          <w:tab w:leader="none" w:pos="1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520" w:firstLine="8"/>
        <w:spacing w:after="0" w:line="277" w:lineRule="auto"/>
        <w:tabs>
          <w:tab w:leader="none" w:pos="1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November 13, 2020</w:t>
      </w:r>
      <w:r>
        <w:rPr>
          <w:sz w:val="20"/>
          <w:szCs w:val="20"/>
          <w:color w:val="auto"/>
        </w:rPr>
        <w:tab/>
      </w:r>
      <w:r>
        <w:rPr>
          <w:rFonts w:ascii="Arial" w:cs="Arial" w:eastAsia="Arial" w:hAnsi="Arial"/>
          <w:sz w:val="16"/>
          <w:szCs w:val="16"/>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23495</wp:posOffset>
            </wp:positionV>
            <wp:extent cx="25114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657860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connection with the Quarterly Report of Xcel Brands, Inc. (the “Company”) on Form 10-Q for the period ended September 30, 2020 as filed with the Securities and Exchange Commission on the date hereof (the “Report”), I, Robert W. D’Loren, certify, pursuant to 18 U.S.C. Section 1350, as adopted pursuant to Section 906 of the Sarbanes-Oxley Act of 2002, that, to my knowledge:</w:t>
      </w:r>
    </w:p>
    <w:p>
      <w:pPr>
        <w:spacing w:after="0" w:line="149"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340" w:val="left"/>
          <w:tab w:leader="none" w:pos="5860" w:val="left"/>
        </w:tabs>
        <w:rPr>
          <w:sz w:val="20"/>
          <w:szCs w:val="20"/>
          <w:color w:val="auto"/>
        </w:rPr>
      </w:pPr>
      <w:r>
        <w:rPr>
          <w:rFonts w:ascii="Arial" w:cs="Arial" w:eastAsia="Arial" w:hAnsi="Arial"/>
          <w:sz w:val="18"/>
          <w:szCs w:val="18"/>
          <w:color w:val="auto"/>
        </w:rPr>
        <w:t>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4345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September 30, 2020 as filed with the Securities and Exchange Commission on the date hereof (the “Report”), I, James Haran,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3520" w:val="left"/>
          <w:tab w:leader="none" w:pos="3960" w:val="left"/>
        </w:tabs>
        <w:rPr>
          <w:sz w:val="20"/>
          <w:szCs w:val="20"/>
          <w:color w:val="auto"/>
        </w:rPr>
      </w:pPr>
      <w:r>
        <w:rPr>
          <w:rFonts w:ascii="Arial" w:cs="Arial" w:eastAsia="Arial" w:hAnsi="Arial"/>
          <w:sz w:val="18"/>
          <w:szCs w:val="18"/>
          <w:color w:val="auto"/>
        </w:rPr>
        <w:t>November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23495</wp:posOffset>
            </wp:positionV>
            <wp:extent cx="25717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3"/>
    </w:lvl>
    <w:lvl w:ilvl="1">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9"/>
    </w:lvl>
  </w:abstractNum>
  <w:abstractNum w:abstractNumId="7">
    <w:nsid w:val="4353D0CD"/>
    <w:multiLevelType w:val="hybridMultilevel"/>
    <w:lvl w:ilvl="0">
      <w:lvlJc w:val="left"/>
      <w:lvlText w:val="%1."/>
      <w:numFmt w:val="decimal"/>
      <w:start w:val="10"/>
    </w:lvl>
  </w:abstractNum>
  <w:abstractNum w:abstractNumId="8">
    <w:nsid w:val="B03E0C6"/>
    <w:multiLevelType w:val="hybridMultilevel"/>
    <w:lvl w:ilvl="0">
      <w:lvlJc w:val="left"/>
      <w:lvlText w:val="%1."/>
      <w:numFmt w:val="decimal"/>
      <w:start w:val="11"/>
    </w:lvl>
  </w:abstractNum>
  <w:abstractNum w:abstractNumId="9">
    <w:nsid w:val="189A769B"/>
    <w:multiLevelType w:val="hybridMultilevel"/>
    <w:lvl w:ilvl="0">
      <w:lvlJc w:val="left"/>
      <w:lvlText w:val="%1."/>
      <w:numFmt w:val="decimal"/>
      <w:start w:val="12"/>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upperLetter"/>
      <w:start w:val="68"/>
    </w:lvl>
  </w:abstractNum>
  <w:abstractNum w:abstractNumId="14">
    <w:nsid w:val="2901D82"/>
    <w:multiLevelType w:val="hybridMultilevel"/>
    <w:lvl w:ilvl="0">
      <w:lvlJc w:val="left"/>
      <w:lvlText w:val="%1."/>
      <w:numFmt w:val="decimal"/>
      <w:start w:val="1"/>
    </w:lvl>
    <w:lvl w:ilvl="1">
      <w:lvlJc w:val="left"/>
      <w:lvlText w:val="(%2)"/>
      <w:numFmt w:val="lowerLetter"/>
      <w:start w:val="1"/>
    </w:lvl>
  </w:abstractNum>
  <w:abstractNum w:abstractNumId="15">
    <w:nsid w:val="3A95F874"/>
    <w:multiLevelType w:val="hybridMultilevel"/>
    <w:lvl w:ilvl="0">
      <w:lvlJc w:val="left"/>
      <w:lvlText w:val="(%1)"/>
      <w:numFmt w:val="upperLetter"/>
      <w:start w:val="2"/>
    </w:lvl>
  </w:abstractNum>
  <w:abstractNum w:abstractNumId="16">
    <w:nsid w:val="8138641"/>
    <w:multiLevelType w:val="hybridMultilevel"/>
    <w:lvl w:ilvl="0">
      <w:lvlJc w:val="left"/>
      <w:lvlText w:val="(%1)"/>
      <w:numFmt w:val="lowerLetter"/>
      <w:start w:val="2"/>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3"/>
    </w:lvl>
  </w:abstractNum>
  <w:abstractNum w:abstractNumId="19">
    <w:nsid w:val="737B8DDC"/>
    <w:multiLevelType w:val="hybridMultilevel"/>
    <w:lvl w:ilvl="0">
      <w:lvlJc w:val="left"/>
      <w:lvlText w:val="(%1)"/>
      <w:numFmt w:val="lowerLetter"/>
      <w:start w:val="4"/>
    </w:lvl>
  </w:abstractNum>
  <w:abstractNum w:abstractNumId="20">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1">
    <w:nsid w:val="22221A70"/>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2">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
    <w:nsid w:val="3006C83E"/>
    <w:multiLevelType w:val="hybridMultilevel"/>
    <w:lvl w:ilvl="0">
      <w:lvlJc w:val="left"/>
      <w:lvlText w:val="%1."/>
      <w:numFmt w:val="decimal"/>
      <w:start w:val="4"/>
    </w:lvl>
    <w:lvl w:ilvl="1">
      <w:lvlJc w:val="left"/>
      <w:lvlText w:val="(%2)"/>
      <w:numFmt w:val="lowerLetter"/>
      <w:start w:val="1"/>
    </w:lvl>
  </w:abstractNum>
  <w:abstractNum w:abstractNumId="24">
    <w:nsid w:val="614FD4A1"/>
    <w:multiLevelType w:val="hybridMultilevel"/>
    <w:lvl w:ilvl="0">
      <w:lvlJc w:val="left"/>
      <w:lvlText w:val="(%1)"/>
      <w:numFmt w:val="lowerRoman"/>
      <w:start w:val="1"/>
    </w:lvl>
  </w:abstractNum>
  <w:abstractNum w:abstractNumId="25">
    <w:nsid w:val="419AC241"/>
    <w:multiLevelType w:val="hybridMultilevel"/>
    <w:lvl w:ilvl="0">
      <w:lvlJc w:val="left"/>
      <w:lvlText w:val="(%1)"/>
      <w:numFmt w:val="lowerRoman"/>
      <w:start w:val="2"/>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lowerRoman"/>
      <w:start w:val="2"/>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3"/>
    </w:lvl>
  </w:abstractNum>
  <w:abstractNum w:abstractNumId="30">
    <w:nsid w:val="77465F01"/>
    <w:multiLevelType w:val="hybridMultilevel"/>
    <w:lvl w:ilvl="0">
      <w:lvlJc w:val="left"/>
      <w:lvlText w:val="%1."/>
      <w:numFmt w:val="decimal"/>
      <w:start w:val="4"/>
    </w:lvl>
  </w:abstractNum>
  <w:abstractNum w:abstractNumId="31">
    <w:nsid w:val="7724C67E"/>
    <w:multiLevelType w:val="hybridMultilevel"/>
    <w:lvl w:ilvl="0">
      <w:lvlJc w:val="left"/>
      <w:lvlText w:val="%1."/>
      <w:numFmt w:val="decimal"/>
      <w:start w:val="5"/>
    </w:lvl>
  </w:abstractNum>
  <w:abstractNum w:abstractNumId="32">
    <w:nsid w:val="5C482A97"/>
    <w:multiLevelType w:val="hybridMultilevel"/>
    <w:lvl w:ilvl="0">
      <w:lvlJc w:val="left"/>
      <w:lvlText w:val="%1."/>
      <w:numFmt w:val="decimal"/>
      <w:start w:val="6"/>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2020-11-13T16:37:39Z</dcterms:created>
  <dcterms:modified xsi:type="dcterms:W3CDTF">2020-11-13T16:37:39Z</dcterms:modified>
</cp:coreProperties>
</file>