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19"/>
        <w:spacing w:after="0"/>
        <w:rPr>
          <w:sz w:val="20"/>
          <w:szCs w:val="20"/>
          <w:color w:val="auto"/>
        </w:rPr>
      </w:pPr>
      <w:r>
        <w:rPr>
          <w:rFonts w:ascii="Arial" w:cs="Arial" w:eastAsia="Arial" w:hAnsi="Arial"/>
          <w:sz w:val="18"/>
          <w:szCs w:val="18"/>
          <w:b w:val="1"/>
          <w:bCs w:val="1"/>
          <w:color w:val="auto"/>
        </w:rPr>
        <w:t>UNITED STATES SECURITIES AND EXCHANGE COMMISSION</w:t>
      </w:r>
    </w:p>
    <w:p>
      <w:pPr>
        <w:spacing w:after="0" w:line="27" w:lineRule="exact"/>
        <w:rPr>
          <w:sz w:val="24"/>
          <w:szCs w:val="24"/>
          <w:color w:val="auto"/>
        </w:rPr>
      </w:pPr>
    </w:p>
    <w:p>
      <w:pPr>
        <w:jc w:val="center"/>
        <w:ind w:right="-299"/>
        <w:spacing w:after="0"/>
        <w:rPr>
          <w:sz w:val="20"/>
          <w:szCs w:val="20"/>
          <w:color w:val="auto"/>
        </w:rPr>
      </w:pPr>
      <w:r>
        <w:rPr>
          <w:rFonts w:ascii="Arial" w:cs="Arial" w:eastAsia="Arial" w:hAnsi="Arial"/>
          <w:sz w:val="18"/>
          <w:szCs w:val="18"/>
          <w:color w:val="auto"/>
        </w:rPr>
        <w:t>WASHINGTON, D.C 20549</w:t>
      </w:r>
    </w:p>
    <w:p>
      <w:pPr>
        <w:spacing w:after="0" w:line="234"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FORM 10-Q</w:t>
      </w:r>
    </w:p>
    <w:p>
      <w:pPr>
        <w:spacing w:after="0" w:line="252" w:lineRule="exact"/>
        <w:rPr>
          <w:sz w:val="24"/>
          <w:szCs w:val="24"/>
          <w:color w:val="auto"/>
        </w:rPr>
      </w:pPr>
    </w:p>
    <w:p>
      <w:pPr>
        <w:ind w:left="4640" w:right="2240" w:hanging="2189"/>
        <w:spacing w:after="0" w:line="282" w:lineRule="auto"/>
        <w:tabs>
          <w:tab w:leader="none" w:pos="2679"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QUARTERLY REPORT UNDER SECTION 13 OR 15 (D) OF THE SECURITES EXCHANGE ACT OF 1934</w:t>
      </w:r>
    </w:p>
    <w:p>
      <w:pPr>
        <w:spacing w:after="0" w:line="189"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FOR THE QUARTERLY PERIOD ENDED March 31, 2009</w:t>
      </w:r>
    </w:p>
    <w:p>
      <w:pPr>
        <w:spacing w:after="0" w:line="256" w:lineRule="exact"/>
        <w:rPr>
          <w:sz w:val="24"/>
          <w:szCs w:val="24"/>
          <w:color w:val="auto"/>
        </w:rPr>
      </w:pPr>
    </w:p>
    <w:p>
      <w:pPr>
        <w:jc w:val="center"/>
        <w:ind w:right="-219"/>
        <w:spacing w:after="0"/>
        <w:rPr>
          <w:sz w:val="20"/>
          <w:szCs w:val="20"/>
          <w:color w:val="auto"/>
        </w:rPr>
      </w:pPr>
      <w:r>
        <w:rPr>
          <w:rFonts w:ascii="Arial" w:cs="Arial" w:eastAsia="Arial" w:hAnsi="Arial"/>
          <w:sz w:val="18"/>
          <w:szCs w:val="18"/>
          <w:i w:val="1"/>
          <w:iCs w:val="1"/>
          <w:color w:val="auto"/>
        </w:rPr>
        <w:t>COMMISSION FILE NUMBER: 0-21419</w:t>
      </w:r>
    </w:p>
    <w:p>
      <w:pPr>
        <w:spacing w:after="0" w:line="248"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NETFABRIC HOLDINGS, INC.</w:t>
      </w:r>
    </w:p>
    <w:p>
      <w:pPr>
        <w:spacing w:after="0" w:line="27" w:lineRule="exact"/>
        <w:rPr>
          <w:sz w:val="24"/>
          <w:szCs w:val="24"/>
          <w:color w:val="auto"/>
        </w:rPr>
      </w:pPr>
    </w:p>
    <w:p>
      <w:pPr>
        <w:jc w:val="center"/>
        <w:ind w:right="-219"/>
        <w:spacing w:after="0"/>
        <w:rPr>
          <w:sz w:val="20"/>
          <w:szCs w:val="20"/>
          <w:color w:val="auto"/>
        </w:rPr>
      </w:pPr>
      <w:r>
        <w:rPr>
          <w:rFonts w:ascii="Arial" w:cs="Arial" w:eastAsia="Arial" w:hAnsi="Arial"/>
          <w:sz w:val="18"/>
          <w:szCs w:val="18"/>
          <w:color w:val="auto"/>
        </w:rPr>
        <w:t>(Exact Name of Small Business Issuer as Specified in Its Charter)</w:t>
      </w:r>
    </w:p>
    <w:p>
      <w:pPr>
        <w:sectPr>
          <w:pgSz w:w="11900" w:h="16838" w:orient="portrait"/>
          <w:cols w:equalWidth="0" w:num="1">
            <w:col w:w="11220"/>
          </w:cols>
          <w:pgMar w:left="240" w:top="229" w:right="439" w:bottom="1440" w:gutter="0" w:footer="0" w:header="0"/>
        </w:sectPr>
      </w:pPr>
    </w:p>
    <w:p>
      <w:pPr>
        <w:spacing w:after="0" w:line="238" w:lineRule="exact"/>
        <w:rPr>
          <w:sz w:val="24"/>
          <w:szCs w:val="24"/>
          <w:color w:val="auto"/>
        </w:rPr>
      </w:pPr>
    </w:p>
    <w:p>
      <w:pPr>
        <w:ind w:left="2240"/>
        <w:spacing w:after="0"/>
        <w:rPr>
          <w:sz w:val="20"/>
          <w:szCs w:val="20"/>
          <w:color w:val="auto"/>
        </w:rPr>
      </w:pPr>
      <w:r>
        <w:rPr>
          <w:rFonts w:ascii="Arial" w:cs="Arial" w:eastAsia="Arial" w:hAnsi="Arial"/>
          <w:sz w:val="18"/>
          <w:szCs w:val="18"/>
          <w:color w:val="auto"/>
        </w:rPr>
        <w:t>Delaware</w:t>
      </w:r>
    </w:p>
    <w:p>
      <w:pPr>
        <w:spacing w:after="0" w:line="23" w:lineRule="exact"/>
        <w:rPr>
          <w:sz w:val="24"/>
          <w:szCs w:val="24"/>
          <w:color w:val="auto"/>
        </w:rPr>
      </w:pPr>
    </w:p>
    <w:p>
      <w:pPr>
        <w:ind w:left="1500"/>
        <w:spacing w:after="0"/>
        <w:rPr>
          <w:sz w:val="20"/>
          <w:szCs w:val="20"/>
          <w:color w:val="auto"/>
        </w:rPr>
      </w:pPr>
      <w:r>
        <w:rPr>
          <w:rFonts w:ascii="Arial" w:cs="Arial" w:eastAsia="Arial" w:hAnsi="Arial"/>
          <w:sz w:val="16"/>
          <w:szCs w:val="16"/>
          <w:color w:val="auto"/>
        </w:rPr>
        <w:t>(State or Other Jurisdiction of</w:t>
      </w:r>
    </w:p>
    <w:p>
      <w:pPr>
        <w:spacing w:after="0" w:line="32" w:lineRule="exact"/>
        <w:rPr>
          <w:sz w:val="24"/>
          <w:szCs w:val="24"/>
          <w:color w:val="auto"/>
        </w:rPr>
      </w:pPr>
    </w:p>
    <w:p>
      <w:pPr>
        <w:ind w:left="1480"/>
        <w:spacing w:after="0"/>
        <w:rPr>
          <w:sz w:val="20"/>
          <w:szCs w:val="20"/>
          <w:color w:val="auto"/>
        </w:rPr>
      </w:pPr>
      <w:r>
        <w:rPr>
          <w:rFonts w:ascii="Arial" w:cs="Arial" w:eastAsia="Arial" w:hAnsi="Arial"/>
          <w:sz w:val="16"/>
          <w:szCs w:val="16"/>
          <w:color w:val="auto"/>
        </w:rPr>
        <w:t>Incorporation or Organization)</w:t>
      </w:r>
    </w:p>
    <w:p>
      <w:pPr>
        <w:spacing w:after="0" w:line="20" w:lineRule="exact"/>
        <w:rPr>
          <w:sz w:val="24"/>
          <w:szCs w:val="24"/>
          <w:color w:val="auto"/>
        </w:rPr>
      </w:pPr>
      <w:r>
        <w:rPr>
          <w:sz w:val="24"/>
          <w:szCs w:val="24"/>
          <w:color w:val="auto"/>
        </w:rPr>
        <w:br w:type="column"/>
      </w:r>
    </w:p>
    <w:p>
      <w:pPr>
        <w:spacing w:after="0" w:line="218" w:lineRule="exact"/>
        <w:rPr>
          <w:sz w:val="24"/>
          <w:szCs w:val="24"/>
          <w:color w:val="auto"/>
        </w:rPr>
      </w:pPr>
    </w:p>
    <w:p>
      <w:pPr>
        <w:jc w:val="center"/>
        <w:ind w:right="1080"/>
        <w:spacing w:after="0"/>
        <w:rPr>
          <w:sz w:val="20"/>
          <w:szCs w:val="20"/>
          <w:color w:val="auto"/>
        </w:rPr>
      </w:pPr>
      <w:r>
        <w:rPr>
          <w:rFonts w:ascii="Arial" w:cs="Arial" w:eastAsia="Arial" w:hAnsi="Arial"/>
          <w:sz w:val="18"/>
          <w:szCs w:val="18"/>
          <w:color w:val="auto"/>
        </w:rPr>
        <w:t>76-0307819</w:t>
      </w:r>
    </w:p>
    <w:p>
      <w:pPr>
        <w:spacing w:after="0" w:line="23" w:lineRule="exact"/>
        <w:rPr>
          <w:sz w:val="24"/>
          <w:szCs w:val="24"/>
          <w:color w:val="auto"/>
        </w:rPr>
      </w:pPr>
    </w:p>
    <w:p>
      <w:pPr>
        <w:jc w:val="center"/>
        <w:ind w:right="1080"/>
        <w:spacing w:after="0"/>
        <w:rPr>
          <w:sz w:val="20"/>
          <w:szCs w:val="20"/>
          <w:color w:val="auto"/>
        </w:rPr>
      </w:pPr>
      <w:r>
        <w:rPr>
          <w:rFonts w:ascii="Arial" w:cs="Arial" w:eastAsia="Arial" w:hAnsi="Arial"/>
          <w:sz w:val="17"/>
          <w:szCs w:val="17"/>
          <w:color w:val="auto"/>
        </w:rPr>
        <w:t>(I.R.S Employer Identification No.)</w:t>
      </w:r>
    </w:p>
    <w:p>
      <w:pPr>
        <w:spacing w:after="0" w:line="404" w:lineRule="exact"/>
        <w:rPr>
          <w:sz w:val="24"/>
          <w:szCs w:val="24"/>
          <w:color w:val="auto"/>
        </w:rPr>
      </w:pPr>
    </w:p>
    <w:p>
      <w:pPr>
        <w:sectPr>
          <w:pgSz w:w="11900" w:h="16838" w:orient="portrait"/>
          <w:cols w:equalWidth="0" w:num="2">
            <w:col w:w="6840" w:space="720"/>
            <w:col w:w="3660"/>
          </w:cols>
          <w:pgMar w:left="240" w:top="229" w:right="439" w:bottom="1440" w:gutter="0" w:footer="0" w:header="0"/>
          <w:type w:val="continuous"/>
        </w:sectPr>
      </w:pPr>
    </w:p>
    <w:p>
      <w:pPr>
        <w:spacing w:after="0" w:line="61" w:lineRule="exact"/>
        <w:rPr>
          <w:sz w:val="24"/>
          <w:szCs w:val="24"/>
          <w:color w:val="auto"/>
        </w:rPr>
      </w:pPr>
    </w:p>
    <w:p>
      <w:pPr>
        <w:jc w:val="center"/>
        <w:ind w:right="-199"/>
        <w:spacing w:after="0"/>
        <w:rPr>
          <w:sz w:val="20"/>
          <w:szCs w:val="20"/>
          <w:color w:val="auto"/>
        </w:rPr>
      </w:pPr>
      <w:r>
        <w:rPr>
          <w:rFonts w:ascii="Arial" w:cs="Arial" w:eastAsia="Arial" w:hAnsi="Arial"/>
          <w:sz w:val="18"/>
          <w:szCs w:val="18"/>
          <w:color w:val="auto"/>
        </w:rPr>
        <w:t>(Address of Principal Executive Offices)</w:t>
      </w:r>
    </w:p>
    <w:p>
      <w:pPr>
        <w:spacing w:after="0" w:line="23" w:lineRule="exact"/>
        <w:rPr>
          <w:sz w:val="24"/>
          <w:szCs w:val="24"/>
          <w:color w:val="auto"/>
        </w:rPr>
      </w:pPr>
    </w:p>
    <w:p>
      <w:pPr>
        <w:jc w:val="center"/>
        <w:ind w:right="-199"/>
        <w:spacing w:after="0"/>
        <w:rPr>
          <w:sz w:val="20"/>
          <w:szCs w:val="20"/>
          <w:color w:val="auto"/>
        </w:rPr>
      </w:pPr>
      <w:r>
        <w:rPr>
          <w:rFonts w:ascii="Arial" w:cs="Arial" w:eastAsia="Arial" w:hAnsi="Arial"/>
          <w:sz w:val="18"/>
          <w:szCs w:val="18"/>
          <w:color w:val="auto"/>
        </w:rPr>
        <w:t>299 Cherry Hill Road,</w:t>
      </w:r>
    </w:p>
    <w:p>
      <w:pPr>
        <w:spacing w:after="0" w:line="9" w:lineRule="exact"/>
        <w:rPr>
          <w:sz w:val="24"/>
          <w:szCs w:val="24"/>
          <w:color w:val="auto"/>
        </w:rPr>
      </w:pPr>
    </w:p>
    <w:p>
      <w:pPr>
        <w:jc w:val="center"/>
        <w:ind w:right="-199"/>
        <w:spacing w:after="0"/>
        <w:rPr>
          <w:sz w:val="20"/>
          <w:szCs w:val="20"/>
          <w:color w:val="auto"/>
        </w:rPr>
      </w:pPr>
      <w:r>
        <w:rPr>
          <w:rFonts w:ascii="Arial" w:cs="Arial" w:eastAsia="Arial" w:hAnsi="Arial"/>
          <w:sz w:val="18"/>
          <w:szCs w:val="18"/>
          <w:color w:val="auto"/>
        </w:rPr>
        <w:t>Parsippany, New Jersey 07054</w:t>
      </w:r>
    </w:p>
    <w:p>
      <w:pPr>
        <w:spacing w:after="0" w:line="238" w:lineRule="exact"/>
        <w:rPr>
          <w:sz w:val="24"/>
          <w:szCs w:val="24"/>
          <w:color w:val="auto"/>
        </w:rPr>
      </w:pPr>
    </w:p>
    <w:p>
      <w:pPr>
        <w:jc w:val="center"/>
        <w:ind w:right="-199"/>
        <w:spacing w:after="0"/>
        <w:rPr>
          <w:sz w:val="20"/>
          <w:szCs w:val="20"/>
          <w:color w:val="auto"/>
        </w:rPr>
      </w:pPr>
      <w:r>
        <w:rPr>
          <w:rFonts w:ascii="Arial" w:cs="Arial" w:eastAsia="Arial" w:hAnsi="Arial"/>
          <w:sz w:val="18"/>
          <w:szCs w:val="18"/>
          <w:color w:val="auto"/>
        </w:rPr>
        <w:t>(973)-537-0077</w:t>
      </w:r>
    </w:p>
    <w:p>
      <w:pPr>
        <w:spacing w:after="0" w:line="23" w:lineRule="exact"/>
        <w:rPr>
          <w:sz w:val="24"/>
          <w:szCs w:val="24"/>
          <w:color w:val="auto"/>
        </w:rPr>
      </w:pPr>
    </w:p>
    <w:p>
      <w:pPr>
        <w:jc w:val="center"/>
        <w:ind w:right="-199"/>
        <w:spacing w:after="0"/>
        <w:rPr>
          <w:sz w:val="20"/>
          <w:szCs w:val="20"/>
          <w:color w:val="auto"/>
        </w:rPr>
      </w:pPr>
      <w:r>
        <w:rPr>
          <w:rFonts w:ascii="Arial" w:cs="Arial" w:eastAsia="Arial" w:hAnsi="Arial"/>
          <w:sz w:val="16"/>
          <w:szCs w:val="16"/>
          <w:color w:val="auto"/>
        </w:rPr>
        <w:t>(Issuer's Telephone Number, Including Area Code)</w:t>
      </w:r>
    </w:p>
    <w:p>
      <w:pPr>
        <w:spacing w:after="0" w:line="32" w:lineRule="exact"/>
        <w:rPr>
          <w:sz w:val="24"/>
          <w:szCs w:val="24"/>
          <w:color w:val="auto"/>
        </w:rPr>
      </w:pPr>
    </w:p>
    <w:p>
      <w:pPr>
        <w:jc w:val="center"/>
        <w:ind w:right="-199"/>
        <w:spacing w:after="0"/>
        <w:rPr>
          <w:sz w:val="20"/>
          <w:szCs w:val="20"/>
          <w:color w:val="auto"/>
        </w:rPr>
      </w:pPr>
      <w:r>
        <w:rPr>
          <w:rFonts w:ascii="Arial" w:cs="Arial" w:eastAsia="Arial" w:hAnsi="Arial"/>
          <w:sz w:val="18"/>
          <w:szCs w:val="18"/>
          <w:color w:val="auto"/>
        </w:rPr>
        <w:t>(Former address, if changed since last report)</w:t>
      </w:r>
    </w:p>
    <w:p>
      <w:pPr>
        <w:sectPr>
          <w:pgSz w:w="11900" w:h="16838" w:orient="portrait"/>
          <w:cols w:equalWidth="0" w:num="1">
            <w:col w:w="11220"/>
          </w:cols>
          <w:pgMar w:left="240" w:top="229" w:right="439" w:bottom="1440" w:gutter="0" w:footer="0" w:header="0"/>
          <w:type w:val="continuous"/>
        </w:sectPr>
      </w:pPr>
    </w:p>
    <w:p>
      <w:pPr>
        <w:spacing w:after="0" w:line="238" w:lineRule="exact"/>
        <w:rPr>
          <w:sz w:val="24"/>
          <w:szCs w:val="24"/>
          <w:color w:val="auto"/>
        </w:rPr>
      </w:pPr>
    </w:p>
    <w:p>
      <w:pPr>
        <w:spacing w:after="0" w:line="234" w:lineRule="exact"/>
        <w:rPr>
          <w:sz w:val="20"/>
          <w:szCs w:val="20"/>
          <w:color w:val="auto"/>
        </w:rPr>
      </w:pPr>
      <w:r>
        <w:rPr>
          <w:rFonts w:ascii="Arial" w:cs="Arial" w:eastAsia="Arial" w:hAnsi="Arial"/>
          <w:sz w:val="16"/>
          <w:szCs w:val="16"/>
          <w:color w:val="auto"/>
        </w:rPr>
        <w:t xml:space="preserve">Check whether the issuer (1) filed all reports required to be filed by Section 13 or 15 (d) of the Exchange Act during the past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x</w:t>
      </w:r>
    </w:p>
    <w:p>
      <w:pPr>
        <w:spacing w:after="0" w:line="209" w:lineRule="exact"/>
        <w:rPr>
          <w:sz w:val="24"/>
          <w:szCs w:val="24"/>
          <w:color w:val="auto"/>
        </w:rPr>
      </w:pPr>
    </w:p>
    <w:p>
      <w:pPr>
        <w:ind w:right="2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Website, if any, every Interactive Data File required to be submitted and posted pursuant to Rule 405 of Regulation S-T ( 232.405 of this chapter) during the preceding 12 months (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x .</w:t>
      </w:r>
    </w:p>
    <w:p>
      <w:pPr>
        <w:spacing w:after="0" w:line="211"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 reporting company.</w:t>
      </w:r>
    </w:p>
    <w:p>
      <w:pPr>
        <w:sectPr>
          <w:pgSz w:w="11900" w:h="16838" w:orient="portrait"/>
          <w:cols w:equalWidth="0" w:num="1">
            <w:col w:w="11220"/>
          </w:cols>
          <w:pgMar w:left="240" w:top="229" w:right="439" w:bottom="1440" w:gutter="0" w:footer="0" w:header="0"/>
          <w:type w:val="continuous"/>
        </w:sectPr>
      </w:pPr>
    </w:p>
    <w:p>
      <w:pPr>
        <w:spacing w:after="0" w:line="264" w:lineRule="exact"/>
        <w:rPr>
          <w:sz w:val="24"/>
          <w:szCs w:val="24"/>
          <w:color w:val="auto"/>
        </w:rPr>
      </w:pPr>
    </w:p>
    <w:p>
      <w:pPr>
        <w:spacing w:after="0"/>
        <w:rPr>
          <w:sz w:val="20"/>
          <w:szCs w:val="20"/>
          <w:color w:val="auto"/>
        </w:rPr>
      </w:pPr>
      <w:r>
        <w:rPr>
          <w:rFonts w:ascii="Arial" w:cs="Arial" w:eastAsia="Arial" w:hAnsi="Arial"/>
          <w:sz w:val="16"/>
          <w:szCs w:val="16"/>
          <w:color w:val="auto"/>
        </w:rPr>
        <w:t>Large accelerated filer o</w:t>
      </w:r>
    </w:p>
    <w:p>
      <w:pPr>
        <w:spacing w:after="0" w:line="20" w:lineRule="exact"/>
        <w:rPr>
          <w:sz w:val="24"/>
          <w:szCs w:val="24"/>
          <w:color w:val="auto"/>
        </w:rPr>
      </w:pPr>
      <w:r>
        <w:rPr>
          <w:sz w:val="24"/>
          <w:szCs w:val="24"/>
          <w:color w:val="auto"/>
        </w:rPr>
        <w:br w:type="column"/>
      </w:r>
    </w:p>
    <w:p>
      <w:pPr>
        <w:spacing w:after="0" w:line="244"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 o</w:t>
      </w:r>
    </w:p>
    <w:p>
      <w:pPr>
        <w:spacing w:after="0" w:line="200" w:lineRule="exact"/>
        <w:rPr>
          <w:sz w:val="24"/>
          <w:szCs w:val="24"/>
          <w:color w:val="auto"/>
        </w:rPr>
      </w:pPr>
    </w:p>
    <w:p>
      <w:pPr>
        <w:sectPr>
          <w:pgSz w:w="11900" w:h="16838" w:orient="portrait"/>
          <w:cols w:equalWidth="0" w:num="2">
            <w:col w:w="5800" w:space="720"/>
            <w:col w:w="4700"/>
          </w:cols>
          <w:pgMar w:left="240" w:top="229" w:right="439" w:bottom="1440" w:gutter="0" w:footer="0" w:header="0"/>
          <w:type w:val="continuous"/>
        </w:sectPr>
      </w:pPr>
    </w:p>
    <w:p>
      <w:pPr>
        <w:spacing w:after="0" w:line="48" w:lineRule="exact"/>
        <w:rPr>
          <w:sz w:val="24"/>
          <w:szCs w:val="24"/>
          <w:color w:val="auto"/>
        </w:rPr>
      </w:pPr>
    </w:p>
    <w:p>
      <w:pPr>
        <w:spacing w:after="0"/>
        <w:rPr>
          <w:sz w:val="20"/>
          <w:szCs w:val="20"/>
          <w:color w:val="auto"/>
        </w:rPr>
      </w:pPr>
      <w:r>
        <w:rPr>
          <w:rFonts w:ascii="Arial" w:cs="Arial" w:eastAsia="Arial" w:hAnsi="Arial"/>
          <w:sz w:val="16"/>
          <w:szCs w:val="16"/>
          <w:color w:val="auto"/>
        </w:rPr>
        <w:t>Non- accelerated filer o</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rPr>
          <w:sz w:val="20"/>
          <w:szCs w:val="20"/>
          <w:color w:val="auto"/>
        </w:rPr>
      </w:pPr>
      <w:r>
        <w:rPr>
          <w:rFonts w:ascii="Arial" w:cs="Arial" w:eastAsia="Arial" w:hAnsi="Arial"/>
          <w:sz w:val="16"/>
          <w:szCs w:val="16"/>
          <w:color w:val="auto"/>
        </w:rPr>
        <w:t>Small reporting company x</w:t>
      </w:r>
    </w:p>
    <w:p>
      <w:pPr>
        <w:spacing w:after="0" w:line="200" w:lineRule="exact"/>
        <w:rPr>
          <w:sz w:val="24"/>
          <w:szCs w:val="24"/>
          <w:color w:val="auto"/>
        </w:rPr>
      </w:pPr>
    </w:p>
    <w:p>
      <w:pPr>
        <w:sectPr>
          <w:pgSz w:w="11900" w:h="16838" w:orient="portrait"/>
          <w:cols w:equalWidth="0" w:num="2">
            <w:col w:w="5800" w:space="720"/>
            <w:col w:w="4700"/>
          </w:cols>
          <w:pgMar w:left="240" w:top="229" w:right="439" w:bottom="1440" w:gutter="0" w:footer="0" w:header="0"/>
          <w:type w:val="continuous"/>
        </w:sectPr>
      </w:pPr>
    </w:p>
    <w:p>
      <w:pPr>
        <w:spacing w:after="0" w:line="75" w:lineRule="exact"/>
        <w:rPr>
          <w:sz w:val="24"/>
          <w:szCs w:val="24"/>
          <w:color w:val="auto"/>
        </w:rPr>
      </w:pPr>
    </w:p>
    <w:p>
      <w:pPr>
        <w:spacing w:after="0"/>
        <w:tabs>
          <w:tab w:leader="none" w:pos="8920" w:val="left"/>
        </w:tabs>
        <w:rPr>
          <w:sz w:val="20"/>
          <w:szCs w:val="20"/>
          <w:color w:val="auto"/>
        </w:rPr>
      </w:pPr>
      <w:r>
        <w:rPr>
          <w:rFonts w:ascii="Arial" w:cs="Arial" w:eastAsia="Arial" w:hAnsi="Arial"/>
          <w:sz w:val="17"/>
          <w:szCs w:val="17"/>
          <w:color w:val="auto"/>
        </w:rPr>
        <w:t>Indicate by a check mark whether the registrant is a shell company (as defined in Rule 12b-2 of the Exchange Act). Yes x</w:t>
      </w:r>
      <w:r>
        <w:rPr>
          <w:sz w:val="20"/>
          <w:szCs w:val="20"/>
          <w:color w:val="auto"/>
        </w:rPr>
        <w:tab/>
      </w:r>
      <w:r>
        <w:rPr>
          <w:rFonts w:ascii="Arial" w:cs="Arial" w:eastAsia="Arial" w:hAnsi="Arial"/>
          <w:sz w:val="16"/>
          <w:szCs w:val="16"/>
          <w:color w:val="auto"/>
        </w:rPr>
        <w:t>No o</w:t>
      </w:r>
    </w:p>
    <w:p>
      <w:pPr>
        <w:spacing w:after="0" w:line="264" w:lineRule="exact"/>
        <w:rPr>
          <w:sz w:val="24"/>
          <w:szCs w:val="24"/>
          <w:color w:val="auto"/>
        </w:rPr>
      </w:pPr>
    </w:p>
    <w:p>
      <w:pPr>
        <w:ind w:right="80"/>
        <w:spacing w:after="0" w:line="264" w:lineRule="auto"/>
        <w:rPr>
          <w:sz w:val="20"/>
          <w:szCs w:val="20"/>
          <w:color w:val="auto"/>
        </w:rPr>
      </w:pPr>
      <w:r>
        <w:rPr>
          <w:rFonts w:ascii="Arial" w:cs="Arial" w:eastAsia="Arial" w:hAnsi="Arial"/>
          <w:sz w:val="18"/>
          <w:szCs w:val="18"/>
          <w:color w:val="auto"/>
        </w:rPr>
        <w:t>State the number of shares outstanding of each of the issuer's classes of common equity, as of the latest practicable date: As of August 2, 2010, 97,053,044 shares of common stock, $.001 par value per share, of the issuer were outstanding. Transitional Small Business Disclosure Format (check one): Yes o No 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207645</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20"/>
          </w:cols>
          <w:pgMar w:left="240" w:top="229" w:right="4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740" w:type="dxa"/>
            <w:vAlign w:val="bottom"/>
          </w:tcPr>
          <w:p>
            <w:pPr>
              <w:ind w:left="3680"/>
              <w:spacing w:after="0"/>
              <w:rPr>
                <w:sz w:val="20"/>
                <w:szCs w:val="20"/>
                <w:color w:val="auto"/>
              </w:rPr>
            </w:pPr>
            <w:r>
              <w:rPr>
                <w:rFonts w:ascii="Arial" w:cs="Arial" w:eastAsia="Arial" w:hAnsi="Arial"/>
                <w:sz w:val="18"/>
                <w:szCs w:val="18"/>
                <w:b w:val="1"/>
                <w:bCs w:val="1"/>
                <w:color w:val="auto"/>
              </w:rPr>
              <w:t>NETFABRIC HOLDINGS, INC.</w:t>
            </w: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740" w:type="dxa"/>
            <w:vAlign w:val="bottom"/>
          </w:tcPr>
          <w:p>
            <w:pPr>
              <w:ind w:left="4660"/>
              <w:spacing w:after="0"/>
              <w:rPr>
                <w:sz w:val="20"/>
                <w:szCs w:val="20"/>
                <w:color w:val="auto"/>
              </w:rPr>
            </w:pPr>
            <w:r>
              <w:rPr>
                <w:rFonts w:ascii="Arial" w:cs="Arial" w:eastAsia="Arial" w:hAnsi="Arial"/>
                <w:sz w:val="18"/>
                <w:szCs w:val="18"/>
                <w:color w:val="auto"/>
              </w:rPr>
              <w:t>INDEX</w:t>
            </w:r>
          </w:p>
        </w:tc>
        <w:tc>
          <w:tcPr>
            <w:tcW w:w="920" w:type="dxa"/>
            <w:vAlign w:val="bottom"/>
            <w:gridSpan w:val="2"/>
            <w:vMerge w:val="restart"/>
          </w:tcPr>
          <w:p>
            <w:pPr>
              <w:ind w:left="560"/>
              <w:spacing w:after="0"/>
              <w:rPr>
                <w:sz w:val="20"/>
                <w:szCs w:val="20"/>
                <w:color w:val="auto"/>
              </w:rPr>
            </w:pPr>
            <w:r>
              <w:rPr>
                <w:rFonts w:ascii="Arial" w:cs="Arial" w:eastAsia="Arial" w:hAnsi="Arial"/>
                <w:sz w:val="18"/>
                <w:szCs w:val="18"/>
                <w:color w:val="auto"/>
                <w:w w:val="80"/>
              </w:rPr>
              <w:t>Page</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740" w:type="dxa"/>
            <w:vAlign w:val="bottom"/>
          </w:tcPr>
          <w:p>
            <w:pPr>
              <w:spacing w:after="0"/>
              <w:rPr>
                <w:sz w:val="19"/>
                <w:szCs w:val="19"/>
                <w:color w:val="auto"/>
              </w:rPr>
            </w:pPr>
          </w:p>
        </w:tc>
        <w:tc>
          <w:tcPr>
            <w:tcW w:w="92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0" w:type="dxa"/>
            <w:vAlign w:val="bottom"/>
          </w:tcPr>
          <w:p>
            <w:pPr>
              <w:spacing w:after="0"/>
              <w:rPr>
                <w:sz w:val="18"/>
                <w:szCs w:val="18"/>
                <w:color w:val="auto"/>
              </w:rPr>
            </w:pPr>
          </w:p>
        </w:tc>
        <w:tc>
          <w:tcPr>
            <w:tcW w:w="974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0" w:type="dxa"/>
            <w:vAlign w:val="bottom"/>
            <w:shd w:val="clear" w:color="auto" w:fill="CCFFCC"/>
          </w:tcPr>
          <w:p>
            <w:pPr>
              <w:spacing w:after="0"/>
              <w:rPr>
                <w:sz w:val="20"/>
                <w:szCs w:val="20"/>
                <w:color w:val="auto"/>
              </w:rPr>
            </w:pPr>
            <w:r>
              <w:rPr>
                <w:rFonts w:ascii="Arial" w:cs="Arial" w:eastAsia="Arial" w:hAnsi="Arial"/>
                <w:sz w:val="18"/>
                <w:szCs w:val="18"/>
                <w:color w:val="auto"/>
              </w:rPr>
              <w:t>PART I.</w:t>
            </w:r>
          </w:p>
        </w:tc>
        <w:tc>
          <w:tcPr>
            <w:tcW w:w="9740" w:type="dxa"/>
            <w:vAlign w:val="bottom"/>
            <w:shd w:val="clear" w:color="auto" w:fill="CCFFCC"/>
          </w:tcPr>
          <w:p>
            <w:pPr>
              <w:ind w:left="140"/>
              <w:spacing w:after="0"/>
              <w:rPr>
                <w:sz w:val="20"/>
                <w:szCs w:val="20"/>
                <w:color w:val="auto"/>
              </w:rPr>
            </w:pPr>
            <w:r>
              <w:rPr>
                <w:rFonts w:ascii="Arial" w:cs="Arial" w:eastAsia="Arial" w:hAnsi="Arial"/>
                <w:sz w:val="18"/>
                <w:szCs w:val="18"/>
                <w:color w:val="auto"/>
              </w:rPr>
              <w:t>FINANCIAL INFORMATION</w:t>
            </w:r>
          </w:p>
        </w:tc>
        <w:tc>
          <w:tcPr>
            <w:tcW w:w="900" w:type="dxa"/>
            <w:vAlign w:val="bottom"/>
            <w:shd w:val="clear" w:color="auto" w:fill="CCFFC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0" w:type="dxa"/>
            <w:vAlign w:val="bottom"/>
          </w:tcPr>
          <w:p>
            <w:pPr>
              <w:spacing w:after="0"/>
              <w:rPr>
                <w:sz w:val="18"/>
                <w:szCs w:val="18"/>
                <w:color w:val="auto"/>
              </w:rPr>
            </w:pPr>
          </w:p>
        </w:tc>
        <w:tc>
          <w:tcPr>
            <w:tcW w:w="97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0" w:type="dxa"/>
            <w:vAlign w:val="bottom"/>
            <w:shd w:val="clear" w:color="auto" w:fill="CCFFCC"/>
          </w:tcPr>
          <w:p>
            <w:pPr>
              <w:spacing w:after="0"/>
              <w:rPr>
                <w:sz w:val="20"/>
                <w:szCs w:val="20"/>
                <w:color w:val="auto"/>
              </w:rPr>
            </w:pPr>
            <w:r>
              <w:rPr>
                <w:rFonts w:ascii="Arial" w:cs="Arial" w:eastAsia="Arial" w:hAnsi="Arial"/>
                <w:sz w:val="18"/>
                <w:szCs w:val="18"/>
                <w:color w:val="auto"/>
              </w:rPr>
              <w:t>Item 1.</w:t>
            </w:r>
          </w:p>
        </w:tc>
        <w:tc>
          <w:tcPr>
            <w:tcW w:w="9740" w:type="dxa"/>
            <w:vAlign w:val="bottom"/>
            <w:shd w:val="clear" w:color="auto" w:fill="CCFFCC"/>
          </w:tcPr>
          <w:p>
            <w:pPr>
              <w:ind w:left="140"/>
              <w:spacing w:after="0"/>
              <w:rPr>
                <w:sz w:val="20"/>
                <w:szCs w:val="20"/>
                <w:color w:val="auto"/>
              </w:rPr>
            </w:pPr>
            <w:r>
              <w:rPr>
                <w:rFonts w:ascii="Arial" w:cs="Arial" w:eastAsia="Arial" w:hAnsi="Arial"/>
                <w:sz w:val="18"/>
                <w:szCs w:val="18"/>
                <w:color w:val="auto"/>
              </w:rPr>
              <w:t>Financial Statements (Unaudited)</w:t>
            </w:r>
          </w:p>
        </w:tc>
        <w:tc>
          <w:tcPr>
            <w:tcW w:w="900" w:type="dxa"/>
            <w:vAlign w:val="bottom"/>
            <w:shd w:val="clear" w:color="auto" w:fill="CCFFC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7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shd w:val="clear" w:color="auto" w:fill="CCFFCC"/>
          </w:tcPr>
          <w:p>
            <w:pPr>
              <w:spacing w:after="0"/>
              <w:rPr>
                <w:sz w:val="18"/>
                <w:szCs w:val="18"/>
                <w:color w:val="auto"/>
              </w:rPr>
            </w:pPr>
          </w:p>
        </w:tc>
        <w:tc>
          <w:tcPr>
            <w:tcW w:w="9740" w:type="dxa"/>
            <w:vAlign w:val="bottom"/>
            <w:shd w:val="clear" w:color="auto" w:fill="CCFFCC"/>
          </w:tcPr>
          <w:p>
            <w:pPr>
              <w:ind w:left="300"/>
              <w:spacing w:after="0"/>
              <w:rPr>
                <w:sz w:val="20"/>
                <w:szCs w:val="20"/>
                <w:color w:val="auto"/>
              </w:rPr>
            </w:pPr>
            <w:r>
              <w:rPr>
                <w:rFonts w:ascii="Arial" w:cs="Arial" w:eastAsia="Arial" w:hAnsi="Arial"/>
                <w:sz w:val="18"/>
                <w:szCs w:val="18"/>
                <w:color w:val="auto"/>
              </w:rPr>
              <w:t>Condensed Consolidated Balance Sheet</w:t>
            </w: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7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shd w:val="clear" w:color="auto" w:fill="CCFFCC"/>
          </w:tcPr>
          <w:p>
            <w:pPr>
              <w:spacing w:after="0"/>
              <w:rPr>
                <w:sz w:val="18"/>
                <w:szCs w:val="18"/>
                <w:color w:val="auto"/>
              </w:rPr>
            </w:pPr>
          </w:p>
        </w:tc>
        <w:tc>
          <w:tcPr>
            <w:tcW w:w="9740" w:type="dxa"/>
            <w:vAlign w:val="bottom"/>
            <w:shd w:val="clear" w:color="auto" w:fill="CCFFCC"/>
          </w:tcPr>
          <w:p>
            <w:pPr>
              <w:ind w:left="300"/>
              <w:spacing w:after="0"/>
              <w:rPr>
                <w:sz w:val="20"/>
                <w:szCs w:val="20"/>
                <w:color w:val="auto"/>
              </w:rPr>
            </w:pPr>
            <w:r>
              <w:rPr>
                <w:rFonts w:ascii="Arial" w:cs="Arial" w:eastAsia="Arial" w:hAnsi="Arial"/>
                <w:sz w:val="18"/>
                <w:szCs w:val="18"/>
                <w:color w:val="auto"/>
              </w:rPr>
              <w:t>Condensed Consolidated Statements of Operations</w:t>
            </w: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7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shd w:val="clear" w:color="auto" w:fill="CCFFCC"/>
          </w:tcPr>
          <w:p>
            <w:pPr>
              <w:spacing w:after="0"/>
              <w:rPr>
                <w:sz w:val="18"/>
                <w:szCs w:val="18"/>
                <w:color w:val="auto"/>
              </w:rPr>
            </w:pPr>
          </w:p>
        </w:tc>
        <w:tc>
          <w:tcPr>
            <w:tcW w:w="9740" w:type="dxa"/>
            <w:vAlign w:val="bottom"/>
            <w:shd w:val="clear" w:color="auto" w:fill="CCFFCC"/>
          </w:tcPr>
          <w:p>
            <w:pPr>
              <w:ind w:left="300"/>
              <w:spacing w:after="0"/>
              <w:rPr>
                <w:sz w:val="20"/>
                <w:szCs w:val="20"/>
                <w:color w:val="auto"/>
              </w:rPr>
            </w:pPr>
            <w:r>
              <w:rPr>
                <w:rFonts w:ascii="Arial" w:cs="Arial" w:eastAsia="Arial" w:hAnsi="Arial"/>
                <w:sz w:val="18"/>
                <w:szCs w:val="18"/>
                <w:color w:val="auto"/>
              </w:rPr>
              <w:t>Condensed Consolidated Statements of Cash Flows</w:t>
            </w: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7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shd w:val="clear" w:color="auto" w:fill="CCFFCC"/>
          </w:tcPr>
          <w:p>
            <w:pPr>
              <w:spacing w:after="0"/>
              <w:rPr>
                <w:sz w:val="18"/>
                <w:szCs w:val="18"/>
                <w:color w:val="auto"/>
              </w:rPr>
            </w:pPr>
          </w:p>
        </w:tc>
        <w:tc>
          <w:tcPr>
            <w:tcW w:w="9740" w:type="dxa"/>
            <w:vAlign w:val="bottom"/>
            <w:shd w:val="clear" w:color="auto" w:fill="CCFFCC"/>
          </w:tcPr>
          <w:p>
            <w:pPr>
              <w:ind w:left="300"/>
              <w:spacing w:after="0"/>
              <w:rPr>
                <w:sz w:val="20"/>
                <w:szCs w:val="20"/>
                <w:color w:val="auto"/>
              </w:rPr>
            </w:pPr>
            <w:r>
              <w:rPr>
                <w:rFonts w:ascii="Arial" w:cs="Arial" w:eastAsia="Arial" w:hAnsi="Arial"/>
                <w:sz w:val="18"/>
                <w:szCs w:val="18"/>
                <w:color w:val="auto"/>
              </w:rPr>
              <w:t>Notes to Interim Condensed Consolidated Financial Statements</w:t>
            </w: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0" w:type="dxa"/>
            <w:vAlign w:val="bottom"/>
          </w:tcPr>
          <w:p>
            <w:pPr>
              <w:spacing w:after="0"/>
              <w:rPr>
                <w:sz w:val="18"/>
                <w:szCs w:val="18"/>
                <w:color w:val="auto"/>
              </w:rPr>
            </w:pPr>
          </w:p>
        </w:tc>
        <w:tc>
          <w:tcPr>
            <w:tcW w:w="97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0" w:type="dxa"/>
            <w:vAlign w:val="bottom"/>
            <w:shd w:val="clear" w:color="auto" w:fill="CCFFCC"/>
          </w:tcPr>
          <w:p>
            <w:pPr>
              <w:spacing w:after="0"/>
              <w:rPr>
                <w:sz w:val="20"/>
                <w:szCs w:val="20"/>
                <w:color w:val="auto"/>
              </w:rPr>
            </w:pPr>
            <w:r>
              <w:rPr>
                <w:rFonts w:ascii="Arial" w:cs="Arial" w:eastAsia="Arial" w:hAnsi="Arial"/>
                <w:sz w:val="18"/>
                <w:szCs w:val="18"/>
                <w:color w:val="auto"/>
              </w:rPr>
              <w:t>Item 2.</w:t>
            </w:r>
          </w:p>
        </w:tc>
        <w:tc>
          <w:tcPr>
            <w:tcW w:w="9740" w:type="dxa"/>
            <w:vAlign w:val="bottom"/>
            <w:shd w:val="clear" w:color="auto" w:fill="CCFFCC"/>
          </w:tcPr>
          <w:p>
            <w:pPr>
              <w:ind w:left="140"/>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0" w:type="dxa"/>
            <w:vAlign w:val="bottom"/>
          </w:tcPr>
          <w:p>
            <w:pPr>
              <w:spacing w:after="0"/>
              <w:rPr>
                <w:sz w:val="18"/>
                <w:szCs w:val="18"/>
                <w:color w:val="auto"/>
              </w:rPr>
            </w:pPr>
          </w:p>
        </w:tc>
        <w:tc>
          <w:tcPr>
            <w:tcW w:w="97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0" w:type="dxa"/>
            <w:vAlign w:val="bottom"/>
            <w:shd w:val="clear" w:color="auto" w:fill="CCFFCC"/>
          </w:tcPr>
          <w:p>
            <w:pPr>
              <w:spacing w:after="0"/>
              <w:rPr>
                <w:sz w:val="20"/>
                <w:szCs w:val="20"/>
                <w:color w:val="auto"/>
              </w:rPr>
            </w:pPr>
            <w:r>
              <w:rPr>
                <w:rFonts w:ascii="Arial" w:cs="Arial" w:eastAsia="Arial" w:hAnsi="Arial"/>
                <w:sz w:val="18"/>
                <w:szCs w:val="18"/>
                <w:color w:val="auto"/>
              </w:rPr>
              <w:t>Item 4.</w:t>
            </w:r>
          </w:p>
        </w:tc>
        <w:tc>
          <w:tcPr>
            <w:tcW w:w="9740" w:type="dxa"/>
            <w:vAlign w:val="bottom"/>
            <w:shd w:val="clear" w:color="auto" w:fill="CCFFCC"/>
          </w:tcPr>
          <w:p>
            <w:pPr>
              <w:ind w:left="140"/>
              <w:spacing w:after="0"/>
              <w:rPr>
                <w:sz w:val="20"/>
                <w:szCs w:val="20"/>
                <w:color w:val="auto"/>
              </w:rPr>
            </w:pPr>
            <w:r>
              <w:rPr>
                <w:rFonts w:ascii="Arial" w:cs="Arial" w:eastAsia="Arial" w:hAnsi="Arial"/>
                <w:sz w:val="18"/>
                <w:szCs w:val="18"/>
                <w:color w:val="auto"/>
              </w:rPr>
              <w:t>Controls and Procedures</w:t>
            </w: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0" w:type="dxa"/>
            <w:vAlign w:val="bottom"/>
          </w:tcPr>
          <w:p>
            <w:pPr>
              <w:spacing w:after="0"/>
              <w:rPr>
                <w:sz w:val="18"/>
                <w:szCs w:val="18"/>
                <w:color w:val="auto"/>
              </w:rPr>
            </w:pPr>
          </w:p>
        </w:tc>
        <w:tc>
          <w:tcPr>
            <w:tcW w:w="97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0" w:type="dxa"/>
            <w:vAlign w:val="bottom"/>
            <w:shd w:val="clear" w:color="auto" w:fill="CCFFCC"/>
          </w:tcPr>
          <w:p>
            <w:pPr>
              <w:spacing w:after="0"/>
              <w:rPr>
                <w:sz w:val="20"/>
                <w:szCs w:val="20"/>
                <w:color w:val="auto"/>
              </w:rPr>
            </w:pPr>
            <w:r>
              <w:rPr>
                <w:rFonts w:ascii="Arial" w:cs="Arial" w:eastAsia="Arial" w:hAnsi="Arial"/>
                <w:sz w:val="18"/>
                <w:szCs w:val="18"/>
                <w:color w:val="auto"/>
              </w:rPr>
              <w:t>PART II.</w:t>
            </w:r>
          </w:p>
        </w:tc>
        <w:tc>
          <w:tcPr>
            <w:tcW w:w="9740" w:type="dxa"/>
            <w:vAlign w:val="bottom"/>
            <w:shd w:val="clear" w:color="auto" w:fill="CCFFCC"/>
          </w:tcPr>
          <w:p>
            <w:pPr>
              <w:ind w:left="140"/>
              <w:spacing w:after="0"/>
              <w:rPr>
                <w:sz w:val="20"/>
                <w:szCs w:val="20"/>
                <w:color w:val="auto"/>
              </w:rPr>
            </w:pPr>
            <w:r>
              <w:rPr>
                <w:rFonts w:ascii="Arial" w:cs="Arial" w:eastAsia="Arial" w:hAnsi="Arial"/>
                <w:sz w:val="18"/>
                <w:szCs w:val="18"/>
                <w:color w:val="auto"/>
              </w:rPr>
              <w:t>OTHER INFORMATION</w:t>
            </w: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0" w:type="dxa"/>
            <w:vAlign w:val="bottom"/>
          </w:tcPr>
          <w:p>
            <w:pPr>
              <w:spacing w:after="0"/>
              <w:rPr>
                <w:sz w:val="18"/>
                <w:szCs w:val="18"/>
                <w:color w:val="auto"/>
              </w:rPr>
            </w:pPr>
          </w:p>
        </w:tc>
        <w:tc>
          <w:tcPr>
            <w:tcW w:w="97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0" w:type="dxa"/>
            <w:vAlign w:val="bottom"/>
            <w:shd w:val="clear" w:color="auto" w:fill="CCFFCC"/>
          </w:tcPr>
          <w:p>
            <w:pPr>
              <w:spacing w:after="0"/>
              <w:rPr>
                <w:sz w:val="20"/>
                <w:szCs w:val="20"/>
                <w:color w:val="auto"/>
              </w:rPr>
            </w:pPr>
            <w:r>
              <w:rPr>
                <w:rFonts w:ascii="Arial" w:cs="Arial" w:eastAsia="Arial" w:hAnsi="Arial"/>
                <w:sz w:val="18"/>
                <w:szCs w:val="18"/>
                <w:color w:val="auto"/>
              </w:rPr>
              <w:t>Item 1.</w:t>
            </w:r>
          </w:p>
        </w:tc>
        <w:tc>
          <w:tcPr>
            <w:tcW w:w="9740" w:type="dxa"/>
            <w:vAlign w:val="bottom"/>
            <w:shd w:val="clear" w:color="auto" w:fill="CCFFCC"/>
          </w:tcPr>
          <w:p>
            <w:pPr>
              <w:ind w:left="140"/>
              <w:spacing w:after="0"/>
              <w:rPr>
                <w:sz w:val="20"/>
                <w:szCs w:val="20"/>
                <w:color w:val="auto"/>
              </w:rPr>
            </w:pPr>
            <w:r>
              <w:rPr>
                <w:rFonts w:ascii="Arial" w:cs="Arial" w:eastAsia="Arial" w:hAnsi="Arial"/>
                <w:sz w:val="18"/>
                <w:szCs w:val="18"/>
                <w:color w:val="auto"/>
              </w:rPr>
              <w:t>Legal Proceedings</w:t>
            </w: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0" w:type="dxa"/>
            <w:vAlign w:val="bottom"/>
          </w:tcPr>
          <w:p>
            <w:pPr>
              <w:spacing w:after="0"/>
              <w:rPr>
                <w:sz w:val="18"/>
                <w:szCs w:val="18"/>
                <w:color w:val="auto"/>
              </w:rPr>
            </w:pPr>
          </w:p>
        </w:tc>
        <w:tc>
          <w:tcPr>
            <w:tcW w:w="97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0" w:type="dxa"/>
            <w:vAlign w:val="bottom"/>
            <w:shd w:val="clear" w:color="auto" w:fill="CCFFCC"/>
          </w:tcPr>
          <w:p>
            <w:pPr>
              <w:spacing w:after="0"/>
              <w:rPr>
                <w:sz w:val="20"/>
                <w:szCs w:val="20"/>
                <w:color w:val="auto"/>
              </w:rPr>
            </w:pPr>
            <w:r>
              <w:rPr>
                <w:rFonts w:ascii="Arial" w:cs="Arial" w:eastAsia="Arial" w:hAnsi="Arial"/>
                <w:sz w:val="18"/>
                <w:szCs w:val="18"/>
                <w:color w:val="auto"/>
              </w:rPr>
              <w:t>Item 2.</w:t>
            </w:r>
          </w:p>
        </w:tc>
        <w:tc>
          <w:tcPr>
            <w:tcW w:w="9740" w:type="dxa"/>
            <w:vAlign w:val="bottom"/>
            <w:shd w:val="clear" w:color="auto" w:fill="CCFFCC"/>
          </w:tcPr>
          <w:p>
            <w:pPr>
              <w:ind w:left="140"/>
              <w:spacing w:after="0"/>
              <w:rPr>
                <w:sz w:val="20"/>
                <w:szCs w:val="20"/>
                <w:color w:val="auto"/>
              </w:rPr>
            </w:pPr>
            <w:r>
              <w:rPr>
                <w:rFonts w:ascii="Arial" w:cs="Arial" w:eastAsia="Arial" w:hAnsi="Arial"/>
                <w:sz w:val="18"/>
                <w:szCs w:val="18"/>
                <w:color w:val="auto"/>
              </w:rPr>
              <w:t>Unregistered Sales of Equity Securities and Use of Proceeds</w:t>
            </w: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0" w:type="dxa"/>
            <w:vAlign w:val="bottom"/>
          </w:tcPr>
          <w:p>
            <w:pPr>
              <w:spacing w:after="0"/>
              <w:rPr>
                <w:sz w:val="18"/>
                <w:szCs w:val="18"/>
                <w:color w:val="auto"/>
              </w:rPr>
            </w:pPr>
          </w:p>
        </w:tc>
        <w:tc>
          <w:tcPr>
            <w:tcW w:w="97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0" w:type="dxa"/>
            <w:vAlign w:val="bottom"/>
            <w:shd w:val="clear" w:color="auto" w:fill="CCFFCC"/>
          </w:tcPr>
          <w:p>
            <w:pPr>
              <w:spacing w:after="0"/>
              <w:rPr>
                <w:sz w:val="20"/>
                <w:szCs w:val="20"/>
                <w:color w:val="auto"/>
              </w:rPr>
            </w:pPr>
            <w:r>
              <w:rPr>
                <w:rFonts w:ascii="Arial" w:cs="Arial" w:eastAsia="Arial" w:hAnsi="Arial"/>
                <w:sz w:val="18"/>
                <w:szCs w:val="18"/>
                <w:color w:val="auto"/>
              </w:rPr>
              <w:t>Item 3.</w:t>
            </w:r>
          </w:p>
        </w:tc>
        <w:tc>
          <w:tcPr>
            <w:tcW w:w="9740" w:type="dxa"/>
            <w:vAlign w:val="bottom"/>
            <w:shd w:val="clear" w:color="auto" w:fill="CCFFCC"/>
          </w:tcPr>
          <w:p>
            <w:pPr>
              <w:ind w:left="140"/>
              <w:spacing w:after="0"/>
              <w:rPr>
                <w:sz w:val="20"/>
                <w:szCs w:val="20"/>
                <w:color w:val="auto"/>
              </w:rPr>
            </w:pPr>
            <w:r>
              <w:rPr>
                <w:rFonts w:ascii="Arial" w:cs="Arial" w:eastAsia="Arial" w:hAnsi="Arial"/>
                <w:sz w:val="18"/>
                <w:szCs w:val="18"/>
                <w:color w:val="auto"/>
              </w:rPr>
              <w:t>Defaults Upon Senior Securities</w:t>
            </w: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0" w:type="dxa"/>
            <w:vAlign w:val="bottom"/>
          </w:tcPr>
          <w:p>
            <w:pPr>
              <w:spacing w:after="0"/>
              <w:rPr>
                <w:sz w:val="18"/>
                <w:szCs w:val="18"/>
                <w:color w:val="auto"/>
              </w:rPr>
            </w:pPr>
          </w:p>
        </w:tc>
        <w:tc>
          <w:tcPr>
            <w:tcW w:w="97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0" w:type="dxa"/>
            <w:vAlign w:val="bottom"/>
            <w:shd w:val="clear" w:color="auto" w:fill="CCFFCC"/>
          </w:tcPr>
          <w:p>
            <w:pPr>
              <w:spacing w:after="0"/>
              <w:rPr>
                <w:sz w:val="20"/>
                <w:szCs w:val="20"/>
                <w:color w:val="auto"/>
              </w:rPr>
            </w:pPr>
            <w:r>
              <w:rPr>
                <w:rFonts w:ascii="Arial" w:cs="Arial" w:eastAsia="Arial" w:hAnsi="Arial"/>
                <w:sz w:val="18"/>
                <w:szCs w:val="18"/>
                <w:color w:val="auto"/>
              </w:rPr>
              <w:t>Item 4.</w:t>
            </w:r>
          </w:p>
        </w:tc>
        <w:tc>
          <w:tcPr>
            <w:tcW w:w="9740" w:type="dxa"/>
            <w:vAlign w:val="bottom"/>
            <w:shd w:val="clear" w:color="auto" w:fill="CCFFCC"/>
          </w:tcPr>
          <w:p>
            <w:pPr>
              <w:ind w:left="140"/>
              <w:spacing w:after="0"/>
              <w:rPr>
                <w:sz w:val="20"/>
                <w:szCs w:val="20"/>
                <w:color w:val="auto"/>
              </w:rPr>
            </w:pPr>
            <w:r>
              <w:rPr>
                <w:rFonts w:ascii="Arial" w:cs="Arial" w:eastAsia="Arial" w:hAnsi="Arial"/>
                <w:sz w:val="18"/>
                <w:szCs w:val="18"/>
                <w:color w:val="auto"/>
              </w:rPr>
              <w:t>Submission of Matters to a Vote of Security Holders</w:t>
            </w: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0" w:type="dxa"/>
            <w:vAlign w:val="bottom"/>
          </w:tcPr>
          <w:p>
            <w:pPr>
              <w:spacing w:after="0"/>
              <w:rPr>
                <w:sz w:val="18"/>
                <w:szCs w:val="18"/>
                <w:color w:val="auto"/>
              </w:rPr>
            </w:pPr>
          </w:p>
        </w:tc>
        <w:tc>
          <w:tcPr>
            <w:tcW w:w="97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0" w:type="dxa"/>
            <w:vAlign w:val="bottom"/>
            <w:shd w:val="clear" w:color="auto" w:fill="CCFFCC"/>
          </w:tcPr>
          <w:p>
            <w:pPr>
              <w:spacing w:after="0"/>
              <w:rPr>
                <w:sz w:val="20"/>
                <w:szCs w:val="20"/>
                <w:color w:val="auto"/>
              </w:rPr>
            </w:pPr>
            <w:r>
              <w:rPr>
                <w:rFonts w:ascii="Arial" w:cs="Arial" w:eastAsia="Arial" w:hAnsi="Arial"/>
                <w:sz w:val="18"/>
                <w:szCs w:val="18"/>
                <w:color w:val="auto"/>
              </w:rPr>
              <w:t>Item 5.</w:t>
            </w:r>
          </w:p>
        </w:tc>
        <w:tc>
          <w:tcPr>
            <w:tcW w:w="9740" w:type="dxa"/>
            <w:vAlign w:val="bottom"/>
            <w:shd w:val="clear" w:color="auto" w:fill="CCFFCC"/>
          </w:tcPr>
          <w:p>
            <w:pPr>
              <w:ind w:left="140"/>
              <w:spacing w:after="0"/>
              <w:rPr>
                <w:sz w:val="20"/>
                <w:szCs w:val="20"/>
                <w:color w:val="auto"/>
              </w:rPr>
            </w:pPr>
            <w:r>
              <w:rPr>
                <w:rFonts w:ascii="Arial" w:cs="Arial" w:eastAsia="Arial" w:hAnsi="Arial"/>
                <w:sz w:val="18"/>
                <w:szCs w:val="18"/>
                <w:color w:val="auto"/>
              </w:rPr>
              <w:t>Other Information</w:t>
            </w: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0" w:type="dxa"/>
            <w:vAlign w:val="bottom"/>
          </w:tcPr>
          <w:p>
            <w:pPr>
              <w:spacing w:after="0"/>
              <w:rPr>
                <w:sz w:val="18"/>
                <w:szCs w:val="18"/>
                <w:color w:val="auto"/>
              </w:rPr>
            </w:pPr>
          </w:p>
        </w:tc>
        <w:tc>
          <w:tcPr>
            <w:tcW w:w="97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0" w:type="dxa"/>
            <w:vAlign w:val="bottom"/>
            <w:shd w:val="clear" w:color="auto" w:fill="CCFFCC"/>
          </w:tcPr>
          <w:p>
            <w:pPr>
              <w:spacing w:after="0"/>
              <w:rPr>
                <w:sz w:val="20"/>
                <w:szCs w:val="20"/>
                <w:color w:val="auto"/>
              </w:rPr>
            </w:pPr>
            <w:r>
              <w:rPr>
                <w:rFonts w:ascii="Arial" w:cs="Arial" w:eastAsia="Arial" w:hAnsi="Arial"/>
                <w:sz w:val="18"/>
                <w:szCs w:val="18"/>
                <w:color w:val="auto"/>
              </w:rPr>
              <w:t>Item 6.</w:t>
            </w:r>
          </w:p>
        </w:tc>
        <w:tc>
          <w:tcPr>
            <w:tcW w:w="9740" w:type="dxa"/>
            <w:vAlign w:val="bottom"/>
            <w:shd w:val="clear" w:color="auto" w:fill="CCFFCC"/>
          </w:tcPr>
          <w:p>
            <w:pPr>
              <w:ind w:left="140"/>
              <w:spacing w:after="0"/>
              <w:rPr>
                <w:sz w:val="20"/>
                <w:szCs w:val="20"/>
                <w:color w:val="auto"/>
              </w:rPr>
            </w:pPr>
            <w:r>
              <w:rPr>
                <w:rFonts w:ascii="Arial" w:cs="Arial" w:eastAsia="Arial" w:hAnsi="Arial"/>
                <w:sz w:val="18"/>
                <w:szCs w:val="18"/>
                <w:color w:val="auto"/>
              </w:rPr>
              <w:t>Exhibits</w:t>
            </w: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7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shd w:val="clear" w:color="auto" w:fill="CCFFCC"/>
          </w:tcPr>
          <w:p>
            <w:pPr>
              <w:spacing w:after="0"/>
              <w:rPr>
                <w:sz w:val="18"/>
                <w:szCs w:val="18"/>
                <w:color w:val="auto"/>
              </w:rPr>
            </w:pPr>
          </w:p>
        </w:tc>
        <w:tc>
          <w:tcPr>
            <w:tcW w:w="9740" w:type="dxa"/>
            <w:vAlign w:val="bottom"/>
            <w:shd w:val="clear" w:color="auto" w:fill="CCFFCC"/>
          </w:tcPr>
          <w:p>
            <w:pPr>
              <w:ind w:left="140"/>
              <w:spacing w:after="0"/>
              <w:rPr>
                <w:sz w:val="20"/>
                <w:szCs w:val="20"/>
                <w:color w:val="auto"/>
              </w:rPr>
            </w:pPr>
            <w:r>
              <w:rPr>
                <w:rFonts w:ascii="Arial" w:cs="Arial" w:eastAsia="Arial" w:hAnsi="Arial"/>
                <w:sz w:val="18"/>
                <w:szCs w:val="18"/>
                <w:color w:val="auto"/>
              </w:rPr>
              <w:t>Signatures</w:t>
            </w: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659"/>
        </w:trPr>
        <w:tc>
          <w:tcPr>
            <w:tcW w:w="20" w:type="dxa"/>
            <w:vAlign w:val="bottom"/>
          </w:tcPr>
          <w:p>
            <w:pPr>
              <w:spacing w:after="0"/>
              <w:rPr>
                <w:sz w:val="24"/>
                <w:szCs w:val="24"/>
                <w:color w:val="auto"/>
              </w:rPr>
            </w:pPr>
          </w:p>
        </w:tc>
        <w:tc>
          <w:tcPr>
            <w:tcW w:w="760" w:type="dxa"/>
            <w:vAlign w:val="bottom"/>
            <w:tcBorders>
              <w:bottom w:val="single" w:sz="8" w:color="808080"/>
            </w:tcBorders>
          </w:tcPr>
          <w:p>
            <w:pPr>
              <w:spacing w:after="0"/>
              <w:rPr>
                <w:sz w:val="24"/>
                <w:szCs w:val="24"/>
                <w:color w:val="auto"/>
              </w:rPr>
            </w:pPr>
          </w:p>
        </w:tc>
        <w:tc>
          <w:tcPr>
            <w:tcW w:w="9740" w:type="dxa"/>
            <w:vAlign w:val="bottom"/>
            <w:tcBorders>
              <w:bottom w:val="single" w:sz="8" w:color="808080"/>
            </w:tcBorders>
          </w:tcPr>
          <w:p>
            <w:pPr>
              <w:spacing w:after="0"/>
              <w:rPr>
                <w:sz w:val="24"/>
                <w:szCs w:val="24"/>
                <w:color w:val="auto"/>
              </w:rPr>
            </w:pPr>
          </w:p>
        </w:tc>
        <w:tc>
          <w:tcPr>
            <w:tcW w:w="900" w:type="dxa"/>
            <w:vAlign w:val="bottom"/>
            <w:tcBorders>
              <w:bottom w:val="single" w:sz="8" w:color="808080"/>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2" w:name="page3"/>
    <w:bookmarkEnd w:id="2"/>
    <w:p>
      <w:pPr>
        <w:ind w:left="3580"/>
        <w:spacing w:after="0"/>
        <w:rPr>
          <w:sz w:val="20"/>
          <w:szCs w:val="20"/>
          <w:color w:val="auto"/>
        </w:rPr>
      </w:pPr>
      <w:r>
        <w:rPr>
          <w:rFonts w:ascii="Arial" w:cs="Arial" w:eastAsia="Arial" w:hAnsi="Arial"/>
          <w:sz w:val="18"/>
          <w:szCs w:val="18"/>
          <w:b w:val="1"/>
          <w:bCs w:val="1"/>
          <w:color w:val="auto"/>
        </w:rPr>
        <w:t>NETFABRIC HOLDINGS, INC. AND SUBSIDIARIES</w:t>
      </w:r>
    </w:p>
    <w:p>
      <w:pPr>
        <w:spacing w:after="0" w:line="27" w:lineRule="exact"/>
        <w:rPr>
          <w:sz w:val="20"/>
          <w:szCs w:val="20"/>
          <w:color w:val="auto"/>
        </w:rPr>
      </w:pPr>
    </w:p>
    <w:p>
      <w:pPr>
        <w:ind w:left="3620"/>
        <w:spacing w:after="0"/>
        <w:rPr>
          <w:sz w:val="20"/>
          <w:szCs w:val="20"/>
          <w:color w:val="auto"/>
        </w:rPr>
      </w:pPr>
      <w:r>
        <w:rPr>
          <w:rFonts w:ascii="Arial" w:cs="Arial" w:eastAsia="Arial" w:hAnsi="Arial"/>
          <w:sz w:val="18"/>
          <w:szCs w:val="18"/>
          <w:b w:val="1"/>
          <w:bCs w:val="1"/>
          <w:color w:val="auto"/>
        </w:rPr>
        <w:t>CONDENSED CONSOLIDATED BALANCE SHEET</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3"/>
              </w:rPr>
              <w:t>March 31,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8"/>
              </w:rPr>
              <w:t>December 31,</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center"/>
              <w:ind w:right="110"/>
              <w:spacing w:after="0"/>
              <w:rPr>
                <w:sz w:val="20"/>
                <w:szCs w:val="20"/>
                <w:color w:val="auto"/>
              </w:rPr>
            </w:pPr>
            <w:r>
              <w:rPr>
                <w:rFonts w:ascii="Arial" w:cs="Arial" w:eastAsia="Arial" w:hAnsi="Arial"/>
                <w:sz w:val="18"/>
                <w:szCs w:val="18"/>
                <w:b w:val="1"/>
                <w:bCs w:val="1"/>
                <w:color w:val="auto"/>
                <w:w w:val="89"/>
              </w:rPr>
              <w:t>2009</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2008</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gridSpan w:val="2"/>
          </w:tcPr>
          <w:p>
            <w:pPr>
              <w:jc w:val="center"/>
              <w:ind w:right="340"/>
              <w:spacing w:after="0"/>
              <w:rPr>
                <w:sz w:val="20"/>
                <w:szCs w:val="20"/>
                <w:color w:val="auto"/>
              </w:rPr>
            </w:pPr>
            <w:r>
              <w:rPr>
                <w:rFonts w:ascii="Arial" w:cs="Arial" w:eastAsia="Arial" w:hAnsi="Arial"/>
                <w:sz w:val="18"/>
                <w:szCs w:val="18"/>
                <w:color w:val="auto"/>
                <w:w w:val="91"/>
              </w:rPr>
              <w:t>(Unaudited)</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gridSpan w:val="2"/>
          </w:tcPr>
          <w:p>
            <w:pPr>
              <w:jc w:val="center"/>
              <w:ind w:right="260"/>
              <w:spacing w:after="0"/>
              <w:rPr>
                <w:sz w:val="20"/>
                <w:szCs w:val="20"/>
                <w:color w:val="auto"/>
              </w:rPr>
            </w:pPr>
            <w:r>
              <w:rPr>
                <w:rFonts w:ascii="Arial" w:cs="Arial" w:eastAsia="Arial" w:hAnsi="Arial"/>
                <w:sz w:val="18"/>
                <w:szCs w:val="18"/>
                <w:color w:val="auto"/>
                <w:w w:val="95"/>
              </w:rPr>
              <w:t>(Audited)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FFCC"/>
          </w:tcPr>
          <w:p>
            <w:pPr>
              <w:ind w:left="3640"/>
              <w:spacing w:after="0"/>
              <w:rPr>
                <w:sz w:val="20"/>
                <w:szCs w:val="20"/>
                <w:color w:val="auto"/>
              </w:rPr>
            </w:pPr>
            <w:r>
              <w:rPr>
                <w:rFonts w:ascii="Arial" w:cs="Arial" w:eastAsia="Arial" w:hAnsi="Arial"/>
                <w:sz w:val="18"/>
                <w:szCs w:val="18"/>
                <w:b w:val="1"/>
                <w:bCs w:val="1"/>
                <w:color w:val="auto"/>
              </w:rPr>
              <w:t>ASSETS</w:t>
            </w:r>
          </w:p>
        </w:tc>
        <w:tc>
          <w:tcPr>
            <w:tcW w:w="180" w:type="dxa"/>
            <w:vAlign w:val="bottom"/>
            <w:shd w:val="clear" w:color="auto" w:fill="CCFFCC"/>
          </w:tcPr>
          <w:p>
            <w:pPr>
              <w:spacing w:after="0"/>
              <w:rPr>
                <w:sz w:val="18"/>
                <w:szCs w:val="18"/>
                <w:color w:val="auto"/>
              </w:rPr>
            </w:pPr>
          </w:p>
        </w:tc>
        <w:tc>
          <w:tcPr>
            <w:tcW w:w="12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34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CURRENT ASSETS:</w:t>
            </w:r>
          </w:p>
        </w:tc>
        <w:tc>
          <w:tcPr>
            <w:tcW w:w="180" w:type="dxa"/>
            <w:vAlign w:val="bottom"/>
            <w:shd w:val="clear" w:color="auto" w:fill="CCFFCC"/>
          </w:tcPr>
          <w:p>
            <w:pPr>
              <w:spacing w:after="0"/>
              <w:rPr>
                <w:sz w:val="18"/>
                <w:szCs w:val="18"/>
                <w:color w:val="auto"/>
              </w:rPr>
            </w:pPr>
          </w:p>
        </w:tc>
        <w:tc>
          <w:tcPr>
            <w:tcW w:w="12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34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320"/>
              <w:spacing w:after="0"/>
              <w:rPr>
                <w:sz w:val="20"/>
                <w:szCs w:val="20"/>
                <w:color w:val="auto"/>
              </w:rPr>
            </w:pPr>
            <w:r>
              <w:rPr>
                <w:rFonts w:ascii="Arial" w:cs="Arial" w:eastAsia="Arial" w:hAnsi="Arial"/>
                <w:sz w:val="18"/>
                <w:szCs w:val="18"/>
                <w:color w:val="auto"/>
              </w:rPr>
              <w:t>Cash</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419,036</w:t>
            </w:r>
          </w:p>
        </w:tc>
        <w:tc>
          <w:tcPr>
            <w:tcW w:w="160" w:type="dxa"/>
            <w:vAlign w:val="bottom"/>
          </w:tcPr>
          <w:p>
            <w:pPr>
              <w:spacing w:after="0"/>
              <w:rPr>
                <w:sz w:val="18"/>
                <w:szCs w:val="18"/>
                <w:color w:val="auto"/>
              </w:rPr>
            </w:pP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FFCC"/>
          </w:tcPr>
          <w:p>
            <w:pPr>
              <w:ind w:left="320"/>
              <w:spacing w:after="0"/>
              <w:rPr>
                <w:sz w:val="20"/>
                <w:szCs w:val="20"/>
                <w:color w:val="auto"/>
              </w:rPr>
            </w:pPr>
            <w:r>
              <w:rPr>
                <w:rFonts w:ascii="Arial" w:cs="Arial" w:eastAsia="Arial" w:hAnsi="Arial"/>
                <w:sz w:val="18"/>
                <w:szCs w:val="18"/>
                <w:color w:val="auto"/>
              </w:rPr>
              <w:t>Trade accounts receivable, net</w:t>
            </w:r>
          </w:p>
        </w:tc>
        <w:tc>
          <w:tcPr>
            <w:tcW w:w="180" w:type="dxa"/>
            <w:vAlign w:val="bottom"/>
            <w:shd w:val="clear" w:color="auto" w:fill="CCFFCC"/>
          </w:tcPr>
          <w:p>
            <w:pPr>
              <w:spacing w:after="0"/>
              <w:rPr>
                <w:sz w:val="18"/>
                <w:szCs w:val="18"/>
                <w:color w:val="auto"/>
              </w:rPr>
            </w:pPr>
          </w:p>
        </w:tc>
        <w:tc>
          <w:tcPr>
            <w:tcW w:w="12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4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18,584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100" w:type="dxa"/>
            <w:vAlign w:val="bottom"/>
          </w:tcPr>
          <w:p>
            <w:pPr>
              <w:ind w:left="320"/>
              <w:spacing w:after="0"/>
              <w:rPr>
                <w:sz w:val="20"/>
                <w:szCs w:val="20"/>
                <w:color w:val="auto"/>
              </w:rPr>
            </w:pPr>
            <w:r>
              <w:rPr>
                <w:rFonts w:ascii="Arial" w:cs="Arial" w:eastAsia="Arial" w:hAnsi="Arial"/>
                <w:sz w:val="18"/>
                <w:szCs w:val="18"/>
                <w:color w:val="auto"/>
              </w:rPr>
              <w:t>Current assets of discontinued operations</w:t>
            </w: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2,927,199</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4,478,242</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FFCC"/>
          </w:tcPr>
          <w:p>
            <w:pPr>
              <w:ind w:left="480"/>
              <w:spacing w:after="0"/>
              <w:rPr>
                <w:sz w:val="20"/>
                <w:szCs w:val="20"/>
                <w:color w:val="auto"/>
              </w:rPr>
            </w:pPr>
            <w:r>
              <w:rPr>
                <w:rFonts w:ascii="Arial" w:cs="Arial" w:eastAsia="Arial" w:hAnsi="Arial"/>
                <w:sz w:val="18"/>
                <w:szCs w:val="18"/>
                <w:color w:val="auto"/>
              </w:rPr>
              <w:t>Total current assets</w:t>
            </w:r>
          </w:p>
        </w:tc>
        <w:tc>
          <w:tcPr>
            <w:tcW w:w="180" w:type="dxa"/>
            <w:vAlign w:val="bottom"/>
            <w:shd w:val="clear" w:color="auto" w:fill="CCFFCC"/>
          </w:tcPr>
          <w:p>
            <w:pPr>
              <w:spacing w:after="0"/>
              <w:rPr>
                <w:sz w:val="18"/>
                <w:szCs w:val="18"/>
                <w:color w:val="auto"/>
              </w:rPr>
            </w:pPr>
          </w:p>
        </w:tc>
        <w:tc>
          <w:tcPr>
            <w:tcW w:w="12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3,346,235</w:t>
            </w:r>
          </w:p>
        </w:tc>
        <w:tc>
          <w:tcPr>
            <w:tcW w:w="1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4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4,496,900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shd w:val="clear" w:color="auto" w:fill="CCFFCC"/>
          </w:tcPr>
          <w:p>
            <w:pPr>
              <w:spacing w:after="0"/>
              <w:rPr>
                <w:sz w:val="20"/>
                <w:szCs w:val="20"/>
                <w:color w:val="auto"/>
              </w:rPr>
            </w:pPr>
            <w:r>
              <w:rPr>
                <w:rFonts w:ascii="Arial" w:cs="Arial" w:eastAsia="Arial" w:hAnsi="Arial"/>
                <w:sz w:val="18"/>
                <w:szCs w:val="18"/>
                <w:color w:val="auto"/>
              </w:rPr>
              <w:t>Property and equipment, net</w:t>
            </w:r>
          </w:p>
        </w:tc>
        <w:tc>
          <w:tcPr>
            <w:tcW w:w="180" w:type="dxa"/>
            <w:vAlign w:val="bottom"/>
            <w:shd w:val="clear" w:color="auto" w:fill="CCFFCC"/>
          </w:tcPr>
          <w:p>
            <w:pPr>
              <w:spacing w:after="0"/>
              <w:rPr>
                <w:sz w:val="18"/>
                <w:szCs w:val="18"/>
                <w:color w:val="auto"/>
              </w:rPr>
            </w:pPr>
          </w:p>
        </w:tc>
        <w:tc>
          <w:tcPr>
            <w:tcW w:w="14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17,346</w:t>
            </w:r>
          </w:p>
        </w:tc>
        <w:tc>
          <w:tcPr>
            <w:tcW w:w="1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4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17,346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8100" w:type="dxa"/>
            <w:vAlign w:val="bottom"/>
            <w:shd w:val="clear" w:color="auto" w:fill="CCFFCC"/>
          </w:tcPr>
          <w:p>
            <w:pPr>
              <w:spacing w:after="0"/>
              <w:rPr>
                <w:sz w:val="20"/>
                <w:szCs w:val="20"/>
                <w:color w:val="auto"/>
              </w:rPr>
            </w:pPr>
            <w:r>
              <w:rPr>
                <w:rFonts w:ascii="Arial" w:cs="Arial" w:eastAsia="Arial" w:hAnsi="Arial"/>
                <w:sz w:val="18"/>
                <w:szCs w:val="18"/>
                <w:color w:val="auto"/>
              </w:rPr>
              <w:t>Non current assets of discontinued operations</w:t>
            </w:r>
          </w:p>
        </w:tc>
        <w:tc>
          <w:tcPr>
            <w:tcW w:w="180" w:type="dxa"/>
            <w:vAlign w:val="bottom"/>
            <w:shd w:val="clear" w:color="auto" w:fill="CCFFCC"/>
          </w:tcPr>
          <w:p>
            <w:pPr>
              <w:spacing w:after="0"/>
              <w:rPr>
                <w:sz w:val="19"/>
                <w:szCs w:val="19"/>
                <w:color w:val="auto"/>
              </w:rPr>
            </w:pPr>
          </w:p>
        </w:tc>
        <w:tc>
          <w:tcPr>
            <w:tcW w:w="12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6,243,809</w:t>
            </w:r>
          </w:p>
        </w:tc>
        <w:tc>
          <w:tcPr>
            <w:tcW w:w="160" w:type="dxa"/>
            <w:vAlign w:val="bottom"/>
            <w:shd w:val="clear" w:color="auto" w:fill="CCFFCC"/>
          </w:tcPr>
          <w:p>
            <w:pPr>
              <w:spacing w:after="0"/>
              <w:rPr>
                <w:sz w:val="19"/>
                <w:szCs w:val="19"/>
                <w:color w:val="auto"/>
              </w:rPr>
            </w:pPr>
          </w:p>
        </w:tc>
        <w:tc>
          <w:tcPr>
            <w:tcW w:w="120" w:type="dxa"/>
            <w:vAlign w:val="bottom"/>
            <w:shd w:val="clear" w:color="auto" w:fill="CCFFCC"/>
          </w:tcPr>
          <w:p>
            <w:pPr>
              <w:spacing w:after="0"/>
              <w:rPr>
                <w:sz w:val="19"/>
                <w:szCs w:val="19"/>
                <w:color w:val="auto"/>
              </w:rPr>
            </w:pPr>
          </w:p>
        </w:tc>
        <w:tc>
          <w:tcPr>
            <w:tcW w:w="120" w:type="dxa"/>
            <w:vAlign w:val="bottom"/>
            <w:shd w:val="clear" w:color="auto" w:fill="CCFFCC"/>
          </w:tcPr>
          <w:p>
            <w:pPr>
              <w:spacing w:after="0"/>
              <w:rPr>
                <w:sz w:val="19"/>
                <w:szCs w:val="19"/>
                <w:color w:val="auto"/>
              </w:rPr>
            </w:pPr>
          </w:p>
        </w:tc>
        <w:tc>
          <w:tcPr>
            <w:tcW w:w="14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6,298,476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Borders>
              <w:top w:val="single" w:sz="8" w:color="CCFFCC"/>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60" w:type="dxa"/>
            <w:vAlign w:val="bottom"/>
            <w:tcBorders>
              <w:top w:val="single" w:sz="8" w:color="CCFFCC"/>
            </w:tcBorders>
          </w:tcPr>
          <w:p>
            <w:pPr>
              <w:spacing w:after="0"/>
              <w:rPr>
                <w:sz w:val="18"/>
                <w:szCs w:val="18"/>
                <w:color w:val="auto"/>
              </w:rPr>
            </w:pPr>
          </w:p>
        </w:tc>
        <w:tc>
          <w:tcPr>
            <w:tcW w:w="120" w:type="dxa"/>
            <w:vAlign w:val="bottom"/>
            <w:tcBorders>
              <w:top w:val="single" w:sz="8" w:color="CCFFCC"/>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40" w:type="dxa"/>
            <w:vAlign w:val="bottom"/>
            <w:tcBorders>
              <w:top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100" w:type="dxa"/>
            <w:vAlign w:val="bottom"/>
            <w:shd w:val="clear" w:color="auto" w:fill="CCFFCC"/>
          </w:tcPr>
          <w:p>
            <w:pPr>
              <w:ind w:left="480"/>
              <w:spacing w:after="0"/>
              <w:rPr>
                <w:sz w:val="20"/>
                <w:szCs w:val="20"/>
                <w:color w:val="auto"/>
              </w:rPr>
            </w:pPr>
            <w:r>
              <w:rPr>
                <w:rFonts w:ascii="Arial" w:cs="Arial" w:eastAsia="Arial" w:hAnsi="Arial"/>
                <w:sz w:val="18"/>
                <w:szCs w:val="18"/>
                <w:b w:val="1"/>
                <w:bCs w:val="1"/>
                <w:color w:val="auto"/>
              </w:rPr>
              <w:t>TOTAL ASSETS</w:t>
            </w:r>
          </w:p>
        </w:tc>
        <w:tc>
          <w:tcPr>
            <w:tcW w:w="180" w:type="dxa"/>
            <w:vAlign w:val="bottom"/>
            <w:shd w:val="clear" w:color="auto" w:fill="CCFFCC"/>
          </w:tcPr>
          <w:p>
            <w:pPr>
              <w:jc w:val="right"/>
              <w:ind w:right="25"/>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9,607,390</w:t>
            </w:r>
          </w:p>
        </w:tc>
        <w:tc>
          <w:tcPr>
            <w:tcW w:w="160" w:type="dxa"/>
            <w:vAlign w:val="bottom"/>
            <w:shd w:val="clear" w:color="auto" w:fill="CCFFCC"/>
          </w:tcPr>
          <w:p>
            <w:pPr>
              <w:spacing w:after="0"/>
              <w:rPr>
                <w:sz w:val="22"/>
                <w:szCs w:val="22"/>
                <w:color w:val="auto"/>
              </w:rPr>
            </w:pPr>
          </w:p>
        </w:tc>
        <w:tc>
          <w:tcPr>
            <w:tcW w:w="2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10,812,722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tcBorders>
              <w:top w:val="single" w:sz="8" w:color="CCFFCC"/>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60" w:type="dxa"/>
            <w:vAlign w:val="bottom"/>
            <w:tcBorders>
              <w:top w:val="single" w:sz="8" w:color="CCFFCC"/>
            </w:tcBorders>
          </w:tcPr>
          <w:p>
            <w:pPr>
              <w:spacing w:after="0"/>
              <w:rPr>
                <w:sz w:val="18"/>
                <w:szCs w:val="18"/>
                <w:color w:val="auto"/>
              </w:rPr>
            </w:pPr>
          </w:p>
        </w:tc>
        <w:tc>
          <w:tcPr>
            <w:tcW w:w="120" w:type="dxa"/>
            <w:vAlign w:val="bottom"/>
            <w:tcBorders>
              <w:top w:val="single" w:sz="8" w:color="CCFFCC"/>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40" w:type="dxa"/>
            <w:vAlign w:val="bottom"/>
            <w:tcBorders>
              <w:top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FFCC"/>
          </w:tcPr>
          <w:p>
            <w:pPr>
              <w:ind w:left="1360"/>
              <w:spacing w:after="0"/>
              <w:rPr>
                <w:sz w:val="20"/>
                <w:szCs w:val="20"/>
                <w:color w:val="auto"/>
              </w:rPr>
            </w:pPr>
            <w:r>
              <w:rPr>
                <w:rFonts w:ascii="Arial" w:cs="Arial" w:eastAsia="Arial" w:hAnsi="Arial"/>
                <w:sz w:val="18"/>
                <w:szCs w:val="18"/>
                <w:b w:val="1"/>
                <w:bCs w:val="1"/>
                <w:color w:val="auto"/>
              </w:rPr>
              <w:t>LIABILITIES AND STOCKHOLDERS' EQUITY (DEFICIENCY)</w:t>
            </w:r>
          </w:p>
        </w:tc>
        <w:tc>
          <w:tcPr>
            <w:tcW w:w="180" w:type="dxa"/>
            <w:vAlign w:val="bottom"/>
            <w:shd w:val="clear" w:color="auto" w:fill="CCFFCC"/>
          </w:tcPr>
          <w:p>
            <w:pPr>
              <w:spacing w:after="0"/>
              <w:rPr>
                <w:sz w:val="18"/>
                <w:szCs w:val="18"/>
                <w:color w:val="auto"/>
              </w:rPr>
            </w:pPr>
          </w:p>
        </w:tc>
        <w:tc>
          <w:tcPr>
            <w:tcW w:w="12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34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CURRENT LIABILITIES:</w:t>
            </w:r>
          </w:p>
        </w:tc>
        <w:tc>
          <w:tcPr>
            <w:tcW w:w="180" w:type="dxa"/>
            <w:vAlign w:val="bottom"/>
            <w:shd w:val="clear" w:color="auto" w:fill="CCFFCC"/>
          </w:tcPr>
          <w:p>
            <w:pPr>
              <w:spacing w:after="0"/>
              <w:rPr>
                <w:sz w:val="18"/>
                <w:szCs w:val="18"/>
                <w:color w:val="auto"/>
              </w:rPr>
            </w:pPr>
          </w:p>
        </w:tc>
        <w:tc>
          <w:tcPr>
            <w:tcW w:w="12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34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320"/>
              <w:spacing w:after="0"/>
              <w:rPr>
                <w:sz w:val="20"/>
                <w:szCs w:val="20"/>
                <w:color w:val="auto"/>
              </w:rPr>
            </w:pPr>
            <w:r>
              <w:rPr>
                <w:rFonts w:ascii="Arial" w:cs="Arial" w:eastAsia="Arial" w:hAnsi="Arial"/>
                <w:sz w:val="18"/>
                <w:szCs w:val="18"/>
                <w:color w:val="auto"/>
              </w:rPr>
              <w:t>Secured Convertible Promissory Note</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5,000,000</w:t>
            </w:r>
          </w:p>
        </w:tc>
        <w:tc>
          <w:tcPr>
            <w:tcW w:w="160" w:type="dxa"/>
            <w:vAlign w:val="bottom"/>
          </w:tcPr>
          <w:p>
            <w:pPr>
              <w:spacing w:after="0"/>
              <w:rPr>
                <w:sz w:val="18"/>
                <w:szCs w:val="18"/>
                <w:color w:val="auto"/>
              </w:rPr>
            </w:pP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FFCC"/>
          </w:tcPr>
          <w:p>
            <w:pPr>
              <w:ind w:left="320"/>
              <w:spacing w:after="0"/>
              <w:rPr>
                <w:sz w:val="20"/>
                <w:szCs w:val="20"/>
                <w:color w:val="auto"/>
              </w:rPr>
            </w:pPr>
            <w:r>
              <w:rPr>
                <w:rFonts w:ascii="Arial" w:cs="Arial" w:eastAsia="Arial" w:hAnsi="Arial"/>
                <w:sz w:val="18"/>
                <w:szCs w:val="18"/>
                <w:color w:val="auto"/>
              </w:rPr>
              <w:t>Short term borrowings</w:t>
            </w:r>
          </w:p>
        </w:tc>
        <w:tc>
          <w:tcPr>
            <w:tcW w:w="180" w:type="dxa"/>
            <w:vAlign w:val="bottom"/>
            <w:shd w:val="clear" w:color="auto" w:fill="CCFFCC"/>
          </w:tcPr>
          <w:p>
            <w:pPr>
              <w:spacing w:after="0"/>
              <w:rPr>
                <w:sz w:val="18"/>
                <w:szCs w:val="18"/>
                <w:color w:val="auto"/>
              </w:rPr>
            </w:pPr>
          </w:p>
        </w:tc>
        <w:tc>
          <w:tcPr>
            <w:tcW w:w="12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4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950,000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320"/>
              <w:spacing w:after="0"/>
              <w:rPr>
                <w:sz w:val="20"/>
                <w:szCs w:val="20"/>
                <w:color w:val="auto"/>
              </w:rPr>
            </w:pPr>
            <w:r>
              <w:rPr>
                <w:rFonts w:ascii="Arial" w:cs="Arial" w:eastAsia="Arial" w:hAnsi="Arial"/>
                <w:sz w:val="18"/>
                <w:szCs w:val="18"/>
                <w:color w:val="auto"/>
              </w:rPr>
              <w:t>Accounts payable and accrued liabilities</w:t>
            </w: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617,344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982,502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FFCC"/>
          </w:tcPr>
          <w:p>
            <w:pPr>
              <w:ind w:left="320"/>
              <w:spacing w:after="0"/>
              <w:rPr>
                <w:sz w:val="20"/>
                <w:szCs w:val="20"/>
                <w:color w:val="auto"/>
              </w:rPr>
            </w:pPr>
            <w:r>
              <w:rPr>
                <w:rFonts w:ascii="Arial" w:cs="Arial" w:eastAsia="Arial" w:hAnsi="Arial"/>
                <w:sz w:val="18"/>
                <w:szCs w:val="18"/>
                <w:color w:val="auto"/>
              </w:rPr>
              <w:t>Accrued compensation</w:t>
            </w:r>
          </w:p>
        </w:tc>
        <w:tc>
          <w:tcPr>
            <w:tcW w:w="180" w:type="dxa"/>
            <w:vAlign w:val="bottom"/>
            <w:shd w:val="clear" w:color="auto" w:fill="CCFFCC"/>
          </w:tcPr>
          <w:p>
            <w:pPr>
              <w:spacing w:after="0"/>
              <w:rPr>
                <w:sz w:val="18"/>
                <w:szCs w:val="18"/>
                <w:color w:val="auto"/>
              </w:rPr>
            </w:pPr>
          </w:p>
        </w:tc>
        <w:tc>
          <w:tcPr>
            <w:tcW w:w="12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4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198,000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320"/>
              <w:spacing w:after="0"/>
              <w:rPr>
                <w:sz w:val="20"/>
                <w:szCs w:val="20"/>
                <w:color w:val="auto"/>
              </w:rPr>
            </w:pPr>
            <w:r>
              <w:rPr>
                <w:rFonts w:ascii="Arial" w:cs="Arial" w:eastAsia="Arial" w:hAnsi="Arial"/>
                <w:sz w:val="18"/>
                <w:szCs w:val="18"/>
                <w:color w:val="auto"/>
              </w:rPr>
              <w:t>Current liabilities of discontinued operations</w:t>
            </w: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4,239,214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5,751,325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FFCC"/>
          </w:tcPr>
          <w:p>
            <w:pPr>
              <w:ind w:left="320"/>
              <w:spacing w:after="0"/>
              <w:rPr>
                <w:sz w:val="20"/>
                <w:szCs w:val="20"/>
                <w:color w:val="auto"/>
              </w:rPr>
            </w:pPr>
            <w:r>
              <w:rPr>
                <w:rFonts w:ascii="Arial" w:cs="Arial" w:eastAsia="Arial" w:hAnsi="Arial"/>
                <w:sz w:val="18"/>
                <w:szCs w:val="18"/>
                <w:color w:val="auto"/>
              </w:rPr>
              <w:t>Convertible note, net of unamortized discount</w:t>
            </w:r>
          </w:p>
        </w:tc>
        <w:tc>
          <w:tcPr>
            <w:tcW w:w="180" w:type="dxa"/>
            <w:vAlign w:val="bottom"/>
            <w:shd w:val="clear" w:color="auto" w:fill="CCFFCC"/>
          </w:tcPr>
          <w:p>
            <w:pPr>
              <w:spacing w:after="0"/>
              <w:rPr>
                <w:sz w:val="18"/>
                <w:szCs w:val="18"/>
                <w:color w:val="auto"/>
              </w:rPr>
            </w:pPr>
          </w:p>
        </w:tc>
        <w:tc>
          <w:tcPr>
            <w:tcW w:w="12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4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1,443,144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100" w:type="dxa"/>
            <w:vAlign w:val="bottom"/>
          </w:tcPr>
          <w:p>
            <w:pPr>
              <w:ind w:left="320"/>
              <w:spacing w:after="0"/>
              <w:rPr>
                <w:sz w:val="20"/>
                <w:szCs w:val="20"/>
                <w:color w:val="auto"/>
              </w:rPr>
            </w:pPr>
            <w:r>
              <w:rPr>
                <w:rFonts w:ascii="Arial" w:cs="Arial" w:eastAsia="Arial" w:hAnsi="Arial"/>
                <w:sz w:val="18"/>
                <w:szCs w:val="18"/>
                <w:color w:val="auto"/>
              </w:rPr>
              <w:t>Revolving note, net of unamortized discount</w:t>
            </w: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1,384,257</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100" w:type="dxa"/>
            <w:vAlign w:val="bottom"/>
            <w:shd w:val="clear" w:color="auto" w:fill="CCFFCC"/>
          </w:tcPr>
          <w:p>
            <w:pPr>
              <w:ind w:left="480"/>
              <w:spacing w:after="0"/>
              <w:rPr>
                <w:sz w:val="20"/>
                <w:szCs w:val="20"/>
                <w:color w:val="auto"/>
              </w:rPr>
            </w:pPr>
            <w:r>
              <w:rPr>
                <w:rFonts w:ascii="Arial" w:cs="Arial" w:eastAsia="Arial" w:hAnsi="Arial"/>
                <w:sz w:val="18"/>
                <w:szCs w:val="18"/>
                <w:color w:val="auto"/>
              </w:rPr>
              <w:t>Total current liabilities</w:t>
            </w:r>
          </w:p>
        </w:tc>
        <w:tc>
          <w:tcPr>
            <w:tcW w:w="180" w:type="dxa"/>
            <w:vAlign w:val="bottom"/>
            <w:shd w:val="clear" w:color="auto" w:fill="CCFFCC"/>
          </w:tcPr>
          <w:p>
            <w:pPr>
              <w:spacing w:after="0"/>
              <w:rPr>
                <w:sz w:val="19"/>
                <w:szCs w:val="19"/>
                <w:color w:val="auto"/>
              </w:rPr>
            </w:pPr>
          </w:p>
        </w:tc>
        <w:tc>
          <w:tcPr>
            <w:tcW w:w="12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9,856,558</w:t>
            </w:r>
          </w:p>
        </w:tc>
        <w:tc>
          <w:tcPr>
            <w:tcW w:w="160" w:type="dxa"/>
            <w:vAlign w:val="bottom"/>
            <w:shd w:val="clear" w:color="auto" w:fill="CCFFCC"/>
          </w:tcPr>
          <w:p>
            <w:pPr>
              <w:spacing w:after="0"/>
              <w:rPr>
                <w:sz w:val="19"/>
                <w:szCs w:val="19"/>
                <w:color w:val="auto"/>
              </w:rPr>
            </w:pPr>
          </w:p>
        </w:tc>
        <w:tc>
          <w:tcPr>
            <w:tcW w:w="120" w:type="dxa"/>
            <w:vAlign w:val="bottom"/>
            <w:shd w:val="clear" w:color="auto" w:fill="CCFFCC"/>
          </w:tcPr>
          <w:p>
            <w:pPr>
              <w:spacing w:after="0"/>
              <w:rPr>
                <w:sz w:val="19"/>
                <w:szCs w:val="19"/>
                <w:color w:val="auto"/>
              </w:rPr>
            </w:pPr>
          </w:p>
        </w:tc>
        <w:tc>
          <w:tcPr>
            <w:tcW w:w="120" w:type="dxa"/>
            <w:vAlign w:val="bottom"/>
            <w:shd w:val="clear" w:color="auto" w:fill="CCFFCC"/>
          </w:tcPr>
          <w:p>
            <w:pPr>
              <w:spacing w:after="0"/>
              <w:rPr>
                <w:sz w:val="19"/>
                <w:szCs w:val="19"/>
                <w:color w:val="auto"/>
              </w:rPr>
            </w:pPr>
          </w:p>
        </w:tc>
        <w:tc>
          <w:tcPr>
            <w:tcW w:w="14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10,709,228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Borders>
              <w:top w:val="single" w:sz="8" w:color="CCFFCC"/>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60" w:type="dxa"/>
            <w:vAlign w:val="bottom"/>
            <w:tcBorders>
              <w:top w:val="single" w:sz="8" w:color="CCFFCC"/>
            </w:tcBorders>
          </w:tcPr>
          <w:p>
            <w:pPr>
              <w:spacing w:after="0"/>
              <w:rPr>
                <w:sz w:val="18"/>
                <w:szCs w:val="18"/>
                <w:color w:val="auto"/>
              </w:rPr>
            </w:pPr>
          </w:p>
        </w:tc>
        <w:tc>
          <w:tcPr>
            <w:tcW w:w="120" w:type="dxa"/>
            <w:vAlign w:val="bottom"/>
            <w:tcBorders>
              <w:top w:val="single" w:sz="8" w:color="CCFFCC"/>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40" w:type="dxa"/>
            <w:vAlign w:val="bottom"/>
            <w:tcBorders>
              <w:top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100" w:type="dxa"/>
            <w:vAlign w:val="bottom"/>
            <w:shd w:val="clear" w:color="auto" w:fill="CCFFCC"/>
          </w:tcPr>
          <w:p>
            <w:pPr>
              <w:ind w:left="480"/>
              <w:spacing w:after="0"/>
              <w:rPr>
                <w:sz w:val="20"/>
                <w:szCs w:val="20"/>
                <w:color w:val="auto"/>
              </w:rPr>
            </w:pPr>
            <w:r>
              <w:rPr>
                <w:rFonts w:ascii="Arial" w:cs="Arial" w:eastAsia="Arial" w:hAnsi="Arial"/>
                <w:sz w:val="18"/>
                <w:szCs w:val="18"/>
                <w:color w:val="auto"/>
              </w:rPr>
              <w:t>Total liabilities</w:t>
            </w:r>
          </w:p>
        </w:tc>
        <w:tc>
          <w:tcPr>
            <w:tcW w:w="180" w:type="dxa"/>
            <w:vAlign w:val="bottom"/>
            <w:shd w:val="clear" w:color="auto" w:fill="CCFFCC"/>
          </w:tcPr>
          <w:p>
            <w:pPr>
              <w:spacing w:after="0"/>
              <w:rPr>
                <w:sz w:val="19"/>
                <w:szCs w:val="19"/>
                <w:color w:val="auto"/>
              </w:rPr>
            </w:pPr>
          </w:p>
        </w:tc>
        <w:tc>
          <w:tcPr>
            <w:tcW w:w="12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9,856,558</w:t>
            </w:r>
          </w:p>
        </w:tc>
        <w:tc>
          <w:tcPr>
            <w:tcW w:w="160" w:type="dxa"/>
            <w:vAlign w:val="bottom"/>
            <w:shd w:val="clear" w:color="auto" w:fill="CCFFCC"/>
          </w:tcPr>
          <w:p>
            <w:pPr>
              <w:spacing w:after="0"/>
              <w:rPr>
                <w:sz w:val="19"/>
                <w:szCs w:val="19"/>
                <w:color w:val="auto"/>
              </w:rPr>
            </w:pPr>
          </w:p>
        </w:tc>
        <w:tc>
          <w:tcPr>
            <w:tcW w:w="120" w:type="dxa"/>
            <w:vAlign w:val="bottom"/>
            <w:shd w:val="clear" w:color="auto" w:fill="CCFFCC"/>
          </w:tcPr>
          <w:p>
            <w:pPr>
              <w:spacing w:after="0"/>
              <w:rPr>
                <w:sz w:val="19"/>
                <w:szCs w:val="19"/>
                <w:color w:val="auto"/>
              </w:rPr>
            </w:pPr>
          </w:p>
        </w:tc>
        <w:tc>
          <w:tcPr>
            <w:tcW w:w="120" w:type="dxa"/>
            <w:vAlign w:val="bottom"/>
            <w:shd w:val="clear" w:color="auto" w:fill="CCFFCC"/>
          </w:tcPr>
          <w:p>
            <w:pPr>
              <w:spacing w:after="0"/>
              <w:rPr>
                <w:sz w:val="19"/>
                <w:szCs w:val="19"/>
                <w:color w:val="auto"/>
              </w:rPr>
            </w:pPr>
          </w:p>
        </w:tc>
        <w:tc>
          <w:tcPr>
            <w:tcW w:w="14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10,709,228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100" w:type="dxa"/>
            <w:vAlign w:val="bottom"/>
            <w:tcBorders>
              <w:top w:val="single" w:sz="8" w:color="CCFFCC"/>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60" w:type="dxa"/>
            <w:vAlign w:val="bottom"/>
            <w:tcBorders>
              <w:top w:val="single" w:sz="8" w:color="CCFFCC"/>
            </w:tcBorders>
          </w:tcPr>
          <w:p>
            <w:pPr>
              <w:spacing w:after="0"/>
              <w:rPr>
                <w:sz w:val="18"/>
                <w:szCs w:val="18"/>
                <w:color w:val="auto"/>
              </w:rPr>
            </w:pPr>
          </w:p>
        </w:tc>
        <w:tc>
          <w:tcPr>
            <w:tcW w:w="120" w:type="dxa"/>
            <w:vAlign w:val="bottom"/>
            <w:tcBorders>
              <w:top w:val="single" w:sz="8" w:color="CCFFCC"/>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40" w:type="dxa"/>
            <w:vAlign w:val="bottom"/>
            <w:tcBorders>
              <w:top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COMMITMENTS AND CONTINGENCIES</w:t>
            </w:r>
          </w:p>
        </w:tc>
        <w:tc>
          <w:tcPr>
            <w:tcW w:w="180" w:type="dxa"/>
            <w:vAlign w:val="bottom"/>
            <w:shd w:val="clear" w:color="auto" w:fill="CCFFCC"/>
          </w:tcPr>
          <w:p>
            <w:pPr>
              <w:spacing w:after="0"/>
              <w:rPr>
                <w:sz w:val="18"/>
                <w:szCs w:val="18"/>
                <w:color w:val="auto"/>
              </w:rPr>
            </w:pPr>
          </w:p>
        </w:tc>
        <w:tc>
          <w:tcPr>
            <w:tcW w:w="12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34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STOCKHOLDERS' EQUITY (DEFICIENCY):</w:t>
            </w:r>
          </w:p>
        </w:tc>
        <w:tc>
          <w:tcPr>
            <w:tcW w:w="180" w:type="dxa"/>
            <w:vAlign w:val="bottom"/>
            <w:shd w:val="clear" w:color="auto" w:fill="CCFFCC"/>
          </w:tcPr>
          <w:p>
            <w:pPr>
              <w:spacing w:after="0"/>
              <w:rPr>
                <w:sz w:val="18"/>
                <w:szCs w:val="18"/>
                <w:color w:val="auto"/>
              </w:rPr>
            </w:pPr>
          </w:p>
        </w:tc>
        <w:tc>
          <w:tcPr>
            <w:tcW w:w="12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34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100" w:type="dxa"/>
            <w:vAlign w:val="bottom"/>
          </w:tcPr>
          <w:p>
            <w:pPr>
              <w:ind w:left="320"/>
              <w:spacing w:after="0" w:line="201" w:lineRule="exact"/>
              <w:rPr>
                <w:sz w:val="20"/>
                <w:szCs w:val="20"/>
                <w:color w:val="auto"/>
              </w:rPr>
            </w:pPr>
            <w:r>
              <w:rPr>
                <w:rFonts w:ascii="Arial" w:cs="Arial" w:eastAsia="Arial" w:hAnsi="Arial"/>
                <w:sz w:val="18"/>
                <w:szCs w:val="18"/>
                <w:color w:val="auto"/>
              </w:rPr>
              <w:t>Common Stock, $.001 par value, authorized shares 200,000,000, 97,053,044 shares issued and</w:t>
            </w:r>
          </w:p>
        </w:tc>
        <w:tc>
          <w:tcPr>
            <w:tcW w:w="1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100" w:type="dxa"/>
            <w:vAlign w:val="bottom"/>
          </w:tcPr>
          <w:p>
            <w:pPr>
              <w:ind w:left="320"/>
              <w:spacing w:after="0"/>
              <w:rPr>
                <w:sz w:val="20"/>
                <w:szCs w:val="20"/>
                <w:color w:val="auto"/>
              </w:rPr>
            </w:pPr>
            <w:r>
              <w:rPr>
                <w:rFonts w:ascii="Arial" w:cs="Arial" w:eastAsia="Arial" w:hAnsi="Arial"/>
                <w:sz w:val="18"/>
                <w:szCs w:val="18"/>
                <w:color w:val="auto"/>
              </w:rPr>
              <w:t>outstanding</w:t>
            </w:r>
          </w:p>
        </w:tc>
        <w:tc>
          <w:tcPr>
            <w:tcW w:w="180" w:type="dxa"/>
            <w:vAlign w:val="bottom"/>
          </w:tcPr>
          <w:p>
            <w:pPr>
              <w:spacing w:after="0"/>
              <w:rPr>
                <w:sz w:val="20"/>
                <w:szCs w:val="20"/>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97,053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97,053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FFCC"/>
          </w:tcPr>
          <w:p>
            <w:pPr>
              <w:ind w:left="320"/>
              <w:spacing w:after="0"/>
              <w:rPr>
                <w:sz w:val="20"/>
                <w:szCs w:val="20"/>
                <w:color w:val="auto"/>
              </w:rPr>
            </w:pPr>
            <w:r>
              <w:rPr>
                <w:rFonts w:ascii="Arial" w:cs="Arial" w:eastAsia="Arial" w:hAnsi="Arial"/>
                <w:sz w:val="18"/>
                <w:szCs w:val="18"/>
                <w:color w:val="auto"/>
              </w:rPr>
              <w:t>Additional paid-in capital</w:t>
            </w:r>
          </w:p>
        </w:tc>
        <w:tc>
          <w:tcPr>
            <w:tcW w:w="180" w:type="dxa"/>
            <w:vAlign w:val="bottom"/>
            <w:shd w:val="clear" w:color="auto" w:fill="CCFFCC"/>
          </w:tcPr>
          <w:p>
            <w:pPr>
              <w:spacing w:after="0"/>
              <w:rPr>
                <w:sz w:val="18"/>
                <w:szCs w:val="18"/>
                <w:color w:val="auto"/>
              </w:rPr>
            </w:pPr>
          </w:p>
        </w:tc>
        <w:tc>
          <w:tcPr>
            <w:tcW w:w="12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38,176,201</w:t>
            </w:r>
          </w:p>
        </w:tc>
        <w:tc>
          <w:tcPr>
            <w:tcW w:w="1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4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38,110,162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320"/>
              <w:spacing w:after="0"/>
              <w:rPr>
                <w:sz w:val="20"/>
                <w:szCs w:val="20"/>
                <w:color w:val="auto"/>
              </w:rPr>
            </w:pPr>
            <w:r>
              <w:rPr>
                <w:rFonts w:ascii="Arial" w:cs="Arial" w:eastAsia="Arial" w:hAnsi="Arial"/>
                <w:sz w:val="18"/>
                <w:szCs w:val="18"/>
                <w:color w:val="auto"/>
              </w:rPr>
              <w:t>Accumulated deficit</w:t>
            </w:r>
          </w:p>
        </w:tc>
        <w:tc>
          <w:tcPr>
            <w:tcW w:w="18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(38,522,422)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right"/>
              <w:ind w:right="80"/>
              <w:spacing w:after="0"/>
              <w:rPr>
                <w:sz w:val="20"/>
                <w:szCs w:val="20"/>
                <w:color w:val="auto"/>
              </w:rPr>
            </w:pPr>
            <w:r>
              <w:rPr>
                <w:rFonts w:ascii="Arial" w:cs="Arial" w:eastAsia="Arial" w:hAnsi="Arial"/>
                <w:sz w:val="18"/>
                <w:szCs w:val="18"/>
                <w:color w:val="auto"/>
              </w:rPr>
              <w:t>(38,103,721)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1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FFCC"/>
          </w:tcPr>
          <w:p>
            <w:pPr>
              <w:ind w:left="480"/>
              <w:spacing w:after="0"/>
              <w:rPr>
                <w:sz w:val="20"/>
                <w:szCs w:val="20"/>
                <w:color w:val="auto"/>
              </w:rPr>
            </w:pPr>
            <w:r>
              <w:rPr>
                <w:rFonts w:ascii="Arial" w:cs="Arial" w:eastAsia="Arial" w:hAnsi="Arial"/>
                <w:sz w:val="18"/>
                <w:szCs w:val="18"/>
                <w:color w:val="auto"/>
              </w:rPr>
              <w:t>Total stockholders' equity (deficiency)</w:t>
            </w:r>
          </w:p>
        </w:tc>
        <w:tc>
          <w:tcPr>
            <w:tcW w:w="180" w:type="dxa"/>
            <w:vAlign w:val="bottom"/>
            <w:shd w:val="clear" w:color="auto" w:fill="CCFFCC"/>
          </w:tcPr>
          <w:p>
            <w:pPr>
              <w:spacing w:after="0"/>
              <w:rPr>
                <w:sz w:val="18"/>
                <w:szCs w:val="18"/>
                <w:color w:val="auto"/>
              </w:rPr>
            </w:pPr>
          </w:p>
        </w:tc>
        <w:tc>
          <w:tcPr>
            <w:tcW w:w="14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(249,168)</w:t>
            </w:r>
          </w:p>
        </w:tc>
        <w:tc>
          <w:tcPr>
            <w:tcW w:w="1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4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103,494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100" w:type="dxa"/>
            <w:vAlign w:val="bottom"/>
            <w:shd w:val="clear" w:color="auto" w:fill="CCFFCC"/>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160" w:type="dxa"/>
            <w:vAlign w:val="bottom"/>
            <w:shd w:val="clear" w:color="auto" w:fill="CCFFCC"/>
          </w:tcPr>
          <w:p>
            <w:pPr>
              <w:spacing w:after="0"/>
              <w:rPr>
                <w:sz w:val="2"/>
                <w:szCs w:val="2"/>
                <w:color w:val="auto"/>
              </w:rPr>
            </w:pPr>
          </w:p>
        </w:tc>
        <w:tc>
          <w:tcPr>
            <w:tcW w:w="120" w:type="dxa"/>
            <w:vAlign w:val="bottom"/>
            <w:shd w:val="clear" w:color="auto" w:fill="CCFFCC"/>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14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480"/>
              <w:spacing w:after="0"/>
              <w:rPr>
                <w:sz w:val="20"/>
                <w:szCs w:val="20"/>
                <w:color w:val="auto"/>
              </w:rPr>
            </w:pPr>
            <w:r>
              <w:rPr>
                <w:rFonts w:ascii="Arial" w:cs="Arial" w:eastAsia="Arial" w:hAnsi="Arial"/>
                <w:sz w:val="18"/>
                <w:szCs w:val="18"/>
                <w:b w:val="1"/>
                <w:bCs w:val="1"/>
                <w:color w:val="auto"/>
              </w:rPr>
              <w:t>TOTAL LIABILITIES AND STOCKHOLDERS' EQUITY (DEFICIENCY)</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9,607,390</w:t>
            </w:r>
          </w:p>
        </w:tc>
        <w:tc>
          <w:tcPr>
            <w:tcW w:w="160" w:type="dxa"/>
            <w:vAlign w:val="bottom"/>
          </w:tcPr>
          <w:p>
            <w:pPr>
              <w:spacing w:after="0"/>
              <w:rPr>
                <w:sz w:val="18"/>
                <w:szCs w:val="18"/>
                <w:color w:val="auto"/>
              </w:rPr>
            </w:pP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10,812,722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interim condensed consolidated financial statements.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NETFABRIC HOLDINGS,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OPERATIONS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(UNAUDITED)</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3"/>
              </w:rPr>
              <w:t>Three Months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Three Months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Ended</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March 31, 2009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March 31, 2008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80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REVENUE</w:t>
            </w:r>
          </w:p>
        </w:tc>
        <w:tc>
          <w:tcPr>
            <w:tcW w:w="100" w:type="dxa"/>
            <w:vAlign w:val="bottom"/>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15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020" w:type="dxa"/>
            <w:vAlign w:val="bottom"/>
            <w:tcBorders>
              <w:top w:val="single" w:sz="8" w:color="CCFFCC"/>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160" w:type="dxa"/>
            <w:vAlign w:val="bottom"/>
            <w:tcBorders>
              <w:top w:val="single" w:sz="8" w:color="CCFFCC"/>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140" w:type="dxa"/>
            <w:vAlign w:val="bottom"/>
            <w:tcBorders>
              <w:top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OPERATING EXPENSES:</w:t>
            </w:r>
          </w:p>
        </w:tc>
        <w:tc>
          <w:tcPr>
            <w:tcW w:w="100" w:type="dxa"/>
            <w:vAlign w:val="bottom"/>
            <w:shd w:val="clear" w:color="auto" w:fill="CCFFCC"/>
          </w:tcPr>
          <w:p>
            <w:pPr>
              <w:spacing w:after="0"/>
              <w:rPr>
                <w:sz w:val="18"/>
                <w:szCs w:val="18"/>
                <w:color w:val="auto"/>
              </w:rPr>
            </w:pPr>
          </w:p>
        </w:tc>
        <w:tc>
          <w:tcPr>
            <w:tcW w:w="138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38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320"/>
              <w:spacing w:after="0"/>
              <w:rPr>
                <w:sz w:val="20"/>
                <w:szCs w:val="20"/>
                <w:color w:val="auto"/>
              </w:rPr>
            </w:pPr>
            <w:r>
              <w:rPr>
                <w:rFonts w:ascii="Arial" w:cs="Arial" w:eastAsia="Arial" w:hAnsi="Arial"/>
                <w:sz w:val="18"/>
                <w:szCs w:val="18"/>
                <w:color w:val="auto"/>
              </w:rPr>
              <w:t>Selling, general and administrative expenses</w:t>
            </w:r>
          </w:p>
        </w:tc>
        <w:tc>
          <w:tcPr>
            <w:tcW w:w="100" w:type="dxa"/>
            <w:vAlign w:val="bottom"/>
          </w:tcPr>
          <w:p>
            <w:pPr>
              <w:spacing w:after="0"/>
              <w:rPr>
                <w:sz w:val="18"/>
                <w:szCs w:val="18"/>
                <w:color w:val="auto"/>
              </w:rPr>
            </w:pPr>
          </w:p>
        </w:tc>
        <w:tc>
          <w:tcPr>
            <w:tcW w:w="1540" w:type="dxa"/>
            <w:vAlign w:val="bottom"/>
            <w:gridSpan w:val="2"/>
          </w:tcPr>
          <w:p>
            <w:pPr>
              <w:jc w:val="right"/>
              <w:ind w:right="160"/>
              <w:spacing w:after="0"/>
              <w:rPr>
                <w:sz w:val="20"/>
                <w:szCs w:val="20"/>
                <w:color w:val="auto"/>
              </w:rPr>
            </w:pPr>
            <w:r>
              <w:rPr>
                <w:rFonts w:ascii="Arial" w:cs="Arial" w:eastAsia="Arial" w:hAnsi="Arial"/>
                <w:sz w:val="18"/>
                <w:szCs w:val="18"/>
                <w:color w:val="auto"/>
              </w:rPr>
              <w:t>441,184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131,367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20" w:type="dxa"/>
            <w:vAlign w:val="bottom"/>
            <w:tcBorders>
              <w:bottom w:val="single" w:sz="8" w:color="CCFFCC"/>
            </w:tcBorders>
            <w:shd w:val="clear" w:color="auto" w:fill="CCFFCC"/>
          </w:tcPr>
          <w:p>
            <w:pPr>
              <w:ind w:left="320"/>
              <w:spacing w:after="0"/>
              <w:rPr>
                <w:sz w:val="20"/>
                <w:szCs w:val="20"/>
                <w:color w:val="auto"/>
              </w:rPr>
            </w:pPr>
            <w:r>
              <w:rPr>
                <w:rFonts w:ascii="Arial" w:cs="Arial" w:eastAsia="Arial" w:hAnsi="Arial"/>
                <w:sz w:val="18"/>
                <w:szCs w:val="18"/>
                <w:color w:val="auto"/>
              </w:rPr>
              <w:t>Depreciation and amortization</w:t>
            </w:r>
          </w:p>
        </w:tc>
        <w:tc>
          <w:tcPr>
            <w:tcW w:w="100" w:type="dxa"/>
            <w:vAlign w:val="bottom"/>
            <w:tcBorders>
              <w:bottom w:val="single" w:sz="8" w:color="auto"/>
            </w:tcBorders>
            <w:shd w:val="clear" w:color="auto" w:fill="CCFFCC"/>
          </w:tcPr>
          <w:p>
            <w:pPr>
              <w:spacing w:after="0"/>
              <w:rPr>
                <w:sz w:val="19"/>
                <w:szCs w:val="19"/>
                <w:color w:val="auto"/>
              </w:rPr>
            </w:pPr>
          </w:p>
        </w:tc>
        <w:tc>
          <w:tcPr>
            <w:tcW w:w="13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FFCC"/>
            </w:tcBorders>
            <w:shd w:val="clear" w:color="auto" w:fill="CCFFCC"/>
          </w:tcPr>
          <w:p>
            <w:pPr>
              <w:spacing w:after="0"/>
              <w:rPr>
                <w:sz w:val="19"/>
                <w:szCs w:val="19"/>
                <w:color w:val="auto"/>
              </w:rPr>
            </w:pPr>
          </w:p>
        </w:tc>
        <w:tc>
          <w:tcPr>
            <w:tcW w:w="100" w:type="dxa"/>
            <w:vAlign w:val="bottom"/>
            <w:tcBorders>
              <w:bottom w:val="single" w:sz="8" w:color="CCFFCC"/>
            </w:tcBorders>
            <w:shd w:val="clear" w:color="auto" w:fill="CCFFCC"/>
          </w:tcPr>
          <w:p>
            <w:pPr>
              <w:spacing w:after="0"/>
              <w:rPr>
                <w:sz w:val="19"/>
                <w:szCs w:val="19"/>
                <w:color w:val="auto"/>
              </w:rPr>
            </w:pPr>
          </w:p>
        </w:tc>
        <w:tc>
          <w:tcPr>
            <w:tcW w:w="120" w:type="dxa"/>
            <w:vAlign w:val="bottom"/>
            <w:tcBorders>
              <w:bottom w:val="single" w:sz="8" w:color="auto"/>
            </w:tcBorders>
            <w:shd w:val="clear" w:color="auto" w:fill="CCFFCC"/>
          </w:tcPr>
          <w:p>
            <w:pPr>
              <w:spacing w:after="0"/>
              <w:rPr>
                <w:sz w:val="19"/>
                <w:szCs w:val="19"/>
                <w:color w:val="auto"/>
              </w:rPr>
            </w:pPr>
          </w:p>
        </w:tc>
        <w:tc>
          <w:tcPr>
            <w:tcW w:w="13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8,977</w:t>
            </w:r>
          </w:p>
        </w:tc>
        <w:tc>
          <w:tcPr>
            <w:tcW w:w="140" w:type="dxa"/>
            <w:vAlign w:val="bottom"/>
            <w:tcBorders>
              <w:bottom w:val="single" w:sz="8" w:color="CCFFCC"/>
            </w:tcBorders>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20" w:type="dxa"/>
            <w:vAlign w:val="bottom"/>
          </w:tcPr>
          <w:p>
            <w:pPr>
              <w:ind w:left="480"/>
              <w:spacing w:after="0"/>
              <w:rPr>
                <w:sz w:val="20"/>
                <w:szCs w:val="20"/>
                <w:color w:val="auto"/>
              </w:rPr>
            </w:pPr>
            <w:r>
              <w:rPr>
                <w:rFonts w:ascii="Arial" w:cs="Arial" w:eastAsia="Arial" w:hAnsi="Arial"/>
                <w:sz w:val="18"/>
                <w:szCs w:val="18"/>
                <w:color w:val="auto"/>
              </w:rPr>
              <w:t>Total operating expenses</w:t>
            </w:r>
          </w:p>
        </w:tc>
        <w:tc>
          <w:tcPr>
            <w:tcW w:w="1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441,184</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140,344</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20" w:type="dxa"/>
            <w:vAlign w:val="bottom"/>
            <w:shd w:val="clear" w:color="auto" w:fill="CCFFCC"/>
          </w:tcPr>
          <w:p>
            <w:pPr>
              <w:spacing w:after="0"/>
              <w:rPr>
                <w:sz w:val="20"/>
                <w:szCs w:val="20"/>
                <w:color w:val="auto"/>
              </w:rPr>
            </w:pPr>
            <w:r>
              <w:rPr>
                <w:rFonts w:ascii="Arial" w:cs="Arial" w:eastAsia="Arial" w:hAnsi="Arial"/>
                <w:sz w:val="18"/>
                <w:szCs w:val="18"/>
                <w:color w:val="auto"/>
              </w:rPr>
              <w:t>Loss from operations</w:t>
            </w:r>
          </w:p>
        </w:tc>
        <w:tc>
          <w:tcPr>
            <w:tcW w:w="100" w:type="dxa"/>
            <w:vAlign w:val="bottom"/>
            <w:shd w:val="clear" w:color="auto" w:fill="CCFFCC"/>
          </w:tcPr>
          <w:p>
            <w:pPr>
              <w:spacing w:after="0"/>
              <w:rPr>
                <w:sz w:val="19"/>
                <w:szCs w:val="19"/>
                <w:color w:val="auto"/>
              </w:rPr>
            </w:pPr>
          </w:p>
        </w:tc>
        <w:tc>
          <w:tcPr>
            <w:tcW w:w="15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(441,184)</w:t>
            </w:r>
          </w:p>
        </w:tc>
        <w:tc>
          <w:tcPr>
            <w:tcW w:w="100" w:type="dxa"/>
            <w:vAlign w:val="bottom"/>
            <w:shd w:val="clear" w:color="auto" w:fill="CCFFCC"/>
          </w:tcPr>
          <w:p>
            <w:pPr>
              <w:spacing w:after="0"/>
              <w:rPr>
                <w:sz w:val="19"/>
                <w:szCs w:val="19"/>
                <w:color w:val="auto"/>
              </w:rPr>
            </w:pPr>
          </w:p>
        </w:tc>
        <w:tc>
          <w:tcPr>
            <w:tcW w:w="120" w:type="dxa"/>
            <w:vAlign w:val="bottom"/>
            <w:shd w:val="clear" w:color="auto" w:fill="CCFFCC"/>
          </w:tcPr>
          <w:p>
            <w:pPr>
              <w:spacing w:after="0"/>
              <w:rPr>
                <w:sz w:val="19"/>
                <w:szCs w:val="19"/>
                <w:color w:val="auto"/>
              </w:rPr>
            </w:pPr>
          </w:p>
        </w:tc>
        <w:tc>
          <w:tcPr>
            <w:tcW w:w="152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(140,344)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020" w:type="dxa"/>
            <w:vAlign w:val="bottom"/>
            <w:tcBorders>
              <w:top w:val="single" w:sz="8" w:color="CCFFCC"/>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160" w:type="dxa"/>
            <w:vAlign w:val="bottom"/>
            <w:tcBorders>
              <w:top w:val="single" w:sz="8" w:color="CCFFCC"/>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140" w:type="dxa"/>
            <w:vAlign w:val="bottom"/>
            <w:tcBorders>
              <w:top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OTHER INCOME / (EXPENSE):</w:t>
            </w:r>
          </w:p>
        </w:tc>
        <w:tc>
          <w:tcPr>
            <w:tcW w:w="100" w:type="dxa"/>
            <w:vAlign w:val="bottom"/>
            <w:shd w:val="clear" w:color="auto" w:fill="CCFFCC"/>
          </w:tcPr>
          <w:p>
            <w:pPr>
              <w:spacing w:after="0"/>
              <w:rPr>
                <w:sz w:val="18"/>
                <w:szCs w:val="18"/>
                <w:color w:val="auto"/>
              </w:rPr>
            </w:pPr>
          </w:p>
        </w:tc>
        <w:tc>
          <w:tcPr>
            <w:tcW w:w="138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38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FFCC"/>
          </w:tcPr>
          <w:p>
            <w:pPr>
              <w:ind w:left="320"/>
              <w:spacing w:after="0"/>
              <w:rPr>
                <w:sz w:val="20"/>
                <w:szCs w:val="20"/>
                <w:color w:val="auto"/>
              </w:rPr>
            </w:pPr>
            <w:r>
              <w:rPr>
                <w:rFonts w:ascii="Arial" w:cs="Arial" w:eastAsia="Arial" w:hAnsi="Arial"/>
                <w:sz w:val="18"/>
                <w:szCs w:val="18"/>
                <w:color w:val="auto"/>
              </w:rPr>
              <w:t>Amortization of debt discounts</w:t>
            </w:r>
          </w:p>
        </w:tc>
        <w:tc>
          <w:tcPr>
            <w:tcW w:w="100" w:type="dxa"/>
            <w:vAlign w:val="bottom"/>
            <w:shd w:val="clear" w:color="auto" w:fill="CCFFCC"/>
          </w:tcPr>
          <w:p>
            <w:pPr>
              <w:spacing w:after="0"/>
              <w:rPr>
                <w:sz w:val="18"/>
                <w:szCs w:val="18"/>
                <w:color w:val="auto"/>
              </w:rPr>
            </w:pPr>
          </w:p>
        </w:tc>
        <w:tc>
          <w:tcPr>
            <w:tcW w:w="15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(91,862)</w:t>
            </w:r>
          </w:p>
        </w:tc>
        <w:tc>
          <w:tcPr>
            <w:tcW w:w="1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52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(181,366)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320"/>
              <w:spacing w:after="0"/>
              <w:rPr>
                <w:sz w:val="20"/>
                <w:szCs w:val="20"/>
                <w:color w:val="auto"/>
              </w:rPr>
            </w:pPr>
            <w:r>
              <w:rPr>
                <w:rFonts w:ascii="Arial" w:cs="Arial" w:eastAsia="Arial" w:hAnsi="Arial"/>
                <w:sz w:val="18"/>
                <w:szCs w:val="18"/>
                <w:color w:val="auto"/>
              </w:rPr>
              <w:t>Amortization of debt issuance costs</w:t>
            </w:r>
          </w:p>
        </w:tc>
        <w:tc>
          <w:tcPr>
            <w:tcW w:w="100" w:type="dxa"/>
            <w:vAlign w:val="bottom"/>
          </w:tcPr>
          <w:p>
            <w:pPr>
              <w:spacing w:after="0"/>
              <w:rPr>
                <w:sz w:val="18"/>
                <w:szCs w:val="18"/>
                <w:color w:val="auto"/>
              </w:rPr>
            </w:pP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(47,630)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right"/>
              <w:ind w:right="80"/>
              <w:spacing w:after="0"/>
              <w:rPr>
                <w:sz w:val="20"/>
                <w:szCs w:val="20"/>
                <w:color w:val="auto"/>
              </w:rPr>
            </w:pPr>
            <w:r>
              <w:rPr>
                <w:rFonts w:ascii="Arial" w:cs="Arial" w:eastAsia="Arial" w:hAnsi="Arial"/>
                <w:sz w:val="18"/>
                <w:szCs w:val="18"/>
                <w:color w:val="auto"/>
              </w:rPr>
              <w:t>(132,373)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FFCC"/>
          </w:tcPr>
          <w:p>
            <w:pPr>
              <w:ind w:left="320"/>
              <w:spacing w:after="0"/>
              <w:rPr>
                <w:sz w:val="20"/>
                <w:szCs w:val="20"/>
                <w:color w:val="auto"/>
              </w:rPr>
            </w:pPr>
            <w:r>
              <w:rPr>
                <w:rFonts w:ascii="Arial" w:cs="Arial" w:eastAsia="Arial" w:hAnsi="Arial"/>
                <w:sz w:val="18"/>
                <w:szCs w:val="18"/>
                <w:color w:val="auto"/>
              </w:rPr>
              <w:t>Interest and bank charges</w:t>
            </w:r>
          </w:p>
        </w:tc>
        <w:tc>
          <w:tcPr>
            <w:tcW w:w="100" w:type="dxa"/>
            <w:vAlign w:val="bottom"/>
            <w:shd w:val="clear" w:color="auto" w:fill="CCFFCC"/>
          </w:tcPr>
          <w:p>
            <w:pPr>
              <w:spacing w:after="0"/>
              <w:rPr>
                <w:sz w:val="18"/>
                <w:szCs w:val="18"/>
                <w:color w:val="auto"/>
              </w:rPr>
            </w:pPr>
          </w:p>
        </w:tc>
        <w:tc>
          <w:tcPr>
            <w:tcW w:w="15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(36,271)</w:t>
            </w:r>
          </w:p>
        </w:tc>
        <w:tc>
          <w:tcPr>
            <w:tcW w:w="1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52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(103,063)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020" w:type="dxa"/>
            <w:vAlign w:val="bottom"/>
            <w:shd w:val="clear" w:color="auto" w:fill="CCFFCC"/>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380" w:type="dxa"/>
            <w:vAlign w:val="bottom"/>
            <w:shd w:val="clear" w:color="auto" w:fill="000000"/>
          </w:tcPr>
          <w:p>
            <w:pPr>
              <w:spacing w:after="0"/>
              <w:rPr>
                <w:sz w:val="2"/>
                <w:szCs w:val="2"/>
                <w:color w:val="auto"/>
              </w:rPr>
            </w:pPr>
          </w:p>
        </w:tc>
        <w:tc>
          <w:tcPr>
            <w:tcW w:w="160" w:type="dxa"/>
            <w:vAlign w:val="bottom"/>
            <w:shd w:val="clear" w:color="auto" w:fill="CCFFCC"/>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380" w:type="dxa"/>
            <w:vAlign w:val="bottom"/>
            <w:shd w:val="clear" w:color="auto" w:fill="000000"/>
          </w:tcPr>
          <w:p>
            <w:pPr>
              <w:spacing w:after="0"/>
              <w:rPr>
                <w:sz w:val="2"/>
                <w:szCs w:val="2"/>
                <w:color w:val="auto"/>
              </w:rPr>
            </w:pPr>
          </w:p>
        </w:tc>
        <w:tc>
          <w:tcPr>
            <w:tcW w:w="14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480"/>
              <w:spacing w:after="0"/>
              <w:rPr>
                <w:sz w:val="20"/>
                <w:szCs w:val="20"/>
                <w:color w:val="auto"/>
              </w:rPr>
            </w:pPr>
            <w:r>
              <w:rPr>
                <w:rFonts w:ascii="Arial" w:cs="Arial" w:eastAsia="Arial" w:hAnsi="Arial"/>
                <w:sz w:val="18"/>
                <w:szCs w:val="18"/>
                <w:color w:val="auto"/>
              </w:rPr>
              <w:t>Total other expense</w:t>
            </w:r>
          </w:p>
        </w:tc>
        <w:tc>
          <w:tcPr>
            <w:tcW w:w="100" w:type="dxa"/>
            <w:vAlign w:val="bottom"/>
          </w:tcPr>
          <w:p>
            <w:pPr>
              <w:spacing w:after="0"/>
              <w:rPr>
                <w:sz w:val="18"/>
                <w:szCs w:val="18"/>
                <w:color w:val="auto"/>
              </w:rPr>
            </w:pP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(175,763)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right"/>
              <w:ind w:right="80"/>
              <w:spacing w:after="0"/>
              <w:rPr>
                <w:sz w:val="20"/>
                <w:szCs w:val="20"/>
                <w:color w:val="auto"/>
              </w:rPr>
            </w:pPr>
            <w:r>
              <w:rPr>
                <w:rFonts w:ascii="Arial" w:cs="Arial" w:eastAsia="Arial" w:hAnsi="Arial"/>
                <w:sz w:val="18"/>
                <w:szCs w:val="18"/>
                <w:color w:val="auto"/>
              </w:rPr>
              <w:t>(416,802)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0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3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3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20" w:type="dxa"/>
            <w:vAlign w:val="bottom"/>
            <w:shd w:val="clear" w:color="auto" w:fill="CCFFCC"/>
          </w:tcPr>
          <w:p>
            <w:pPr>
              <w:spacing w:after="0"/>
              <w:rPr>
                <w:sz w:val="20"/>
                <w:szCs w:val="20"/>
                <w:color w:val="auto"/>
              </w:rPr>
            </w:pPr>
            <w:r>
              <w:rPr>
                <w:rFonts w:ascii="Arial" w:cs="Arial" w:eastAsia="Arial" w:hAnsi="Arial"/>
                <w:sz w:val="18"/>
                <w:szCs w:val="18"/>
                <w:color w:val="auto"/>
              </w:rPr>
              <w:t>Loss before provision for income taxes</w:t>
            </w:r>
          </w:p>
        </w:tc>
        <w:tc>
          <w:tcPr>
            <w:tcW w:w="100" w:type="dxa"/>
            <w:vAlign w:val="bottom"/>
            <w:shd w:val="clear" w:color="auto" w:fill="CCFFCC"/>
          </w:tcPr>
          <w:p>
            <w:pPr>
              <w:spacing w:after="0"/>
              <w:rPr>
                <w:sz w:val="18"/>
                <w:szCs w:val="18"/>
                <w:color w:val="auto"/>
              </w:rPr>
            </w:pPr>
          </w:p>
        </w:tc>
        <w:tc>
          <w:tcPr>
            <w:tcW w:w="15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(616,947)</w:t>
            </w:r>
          </w:p>
        </w:tc>
        <w:tc>
          <w:tcPr>
            <w:tcW w:w="1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52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(557,146)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802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Provision for income taxes</w:t>
            </w:r>
          </w:p>
        </w:tc>
        <w:tc>
          <w:tcPr>
            <w:tcW w:w="100" w:type="dxa"/>
            <w:vAlign w:val="bottom"/>
            <w:tcBorders>
              <w:bottom w:val="single" w:sz="8" w:color="auto"/>
            </w:tcBorders>
            <w:shd w:val="clear" w:color="auto" w:fill="CCFFCC"/>
          </w:tcPr>
          <w:p>
            <w:pPr>
              <w:spacing w:after="0"/>
              <w:rPr>
                <w:sz w:val="19"/>
                <w:szCs w:val="19"/>
                <w:color w:val="auto"/>
              </w:rPr>
            </w:pPr>
          </w:p>
        </w:tc>
        <w:tc>
          <w:tcPr>
            <w:tcW w:w="1380" w:type="dxa"/>
            <w:vAlign w:val="bottom"/>
            <w:tcBorders>
              <w:bottom w:val="single" w:sz="8" w:color="auto"/>
            </w:tcBorders>
            <w:shd w:val="clear" w:color="auto" w:fill="CCFFCC"/>
          </w:tcPr>
          <w:p>
            <w:pPr>
              <w:spacing w:after="0"/>
              <w:rPr>
                <w:sz w:val="19"/>
                <w:szCs w:val="19"/>
                <w:color w:val="auto"/>
              </w:rPr>
            </w:pPr>
          </w:p>
        </w:tc>
        <w:tc>
          <w:tcPr>
            <w:tcW w:w="160" w:type="dxa"/>
            <w:vAlign w:val="bottom"/>
            <w:tcBorders>
              <w:bottom w:val="single" w:sz="8" w:color="CCFFCC"/>
            </w:tcBorders>
            <w:shd w:val="clear" w:color="auto" w:fill="CCFFCC"/>
          </w:tcPr>
          <w:p>
            <w:pPr>
              <w:spacing w:after="0"/>
              <w:rPr>
                <w:sz w:val="19"/>
                <w:szCs w:val="19"/>
                <w:color w:val="auto"/>
              </w:rPr>
            </w:pPr>
          </w:p>
        </w:tc>
        <w:tc>
          <w:tcPr>
            <w:tcW w:w="100" w:type="dxa"/>
            <w:vAlign w:val="bottom"/>
            <w:tcBorders>
              <w:bottom w:val="single" w:sz="8" w:color="CCFFCC"/>
            </w:tcBorders>
            <w:shd w:val="clear" w:color="auto" w:fill="CCFFCC"/>
          </w:tcPr>
          <w:p>
            <w:pPr>
              <w:spacing w:after="0"/>
              <w:rPr>
                <w:sz w:val="19"/>
                <w:szCs w:val="19"/>
                <w:color w:val="auto"/>
              </w:rPr>
            </w:pPr>
          </w:p>
        </w:tc>
        <w:tc>
          <w:tcPr>
            <w:tcW w:w="120" w:type="dxa"/>
            <w:vAlign w:val="bottom"/>
            <w:tcBorders>
              <w:bottom w:val="single" w:sz="8" w:color="auto"/>
            </w:tcBorders>
            <w:shd w:val="clear" w:color="auto" w:fill="CCFFCC"/>
          </w:tcPr>
          <w:p>
            <w:pPr>
              <w:spacing w:after="0"/>
              <w:rPr>
                <w:sz w:val="19"/>
                <w:szCs w:val="19"/>
                <w:color w:val="auto"/>
              </w:rPr>
            </w:pPr>
          </w:p>
        </w:tc>
        <w:tc>
          <w:tcPr>
            <w:tcW w:w="13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FFCC"/>
            </w:tcBorders>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spacing w:after="0"/>
              <w:rPr>
                <w:sz w:val="20"/>
                <w:szCs w:val="20"/>
                <w:color w:val="auto"/>
              </w:rPr>
            </w:pPr>
            <w:r>
              <w:rPr>
                <w:rFonts w:ascii="Arial" w:cs="Arial" w:eastAsia="Arial" w:hAnsi="Arial"/>
                <w:sz w:val="18"/>
                <w:szCs w:val="18"/>
                <w:b w:val="1"/>
                <w:bCs w:val="1"/>
                <w:color w:val="auto"/>
              </w:rPr>
              <w:t>LOSS FROM CONTINUING OPERATIONS</w:t>
            </w:r>
          </w:p>
        </w:tc>
        <w:tc>
          <w:tcPr>
            <w:tcW w:w="100" w:type="dxa"/>
            <w:vAlign w:val="bottom"/>
          </w:tcPr>
          <w:p>
            <w:pPr>
              <w:spacing w:after="0"/>
              <w:rPr>
                <w:sz w:val="18"/>
                <w:szCs w:val="18"/>
                <w:color w:val="auto"/>
              </w:rPr>
            </w:pP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(616,947)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right"/>
              <w:ind w:right="80"/>
              <w:spacing w:after="0"/>
              <w:rPr>
                <w:sz w:val="20"/>
                <w:szCs w:val="20"/>
                <w:color w:val="auto"/>
              </w:rPr>
            </w:pPr>
            <w:r>
              <w:rPr>
                <w:rFonts w:ascii="Arial" w:cs="Arial" w:eastAsia="Arial" w:hAnsi="Arial"/>
                <w:sz w:val="18"/>
                <w:szCs w:val="18"/>
                <w:color w:val="auto"/>
              </w:rPr>
              <w:t>(557,146)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0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38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38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20" w:type="dxa"/>
            <w:vAlign w:val="bottom"/>
          </w:tcPr>
          <w:p>
            <w:pPr>
              <w:spacing w:after="0"/>
              <w:rPr>
                <w:sz w:val="20"/>
                <w:szCs w:val="20"/>
                <w:color w:val="auto"/>
              </w:rPr>
            </w:pPr>
            <w:r>
              <w:rPr>
                <w:rFonts w:ascii="Arial" w:cs="Arial" w:eastAsia="Arial" w:hAnsi="Arial"/>
                <w:sz w:val="18"/>
                <w:szCs w:val="18"/>
                <w:b w:val="1"/>
                <w:bCs w:val="1"/>
                <w:color w:val="auto"/>
              </w:rPr>
              <w:t>DISCONTINUED OPERATIONS:</w:t>
            </w: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38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38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20" w:type="dxa"/>
            <w:vAlign w:val="bottom"/>
          </w:tcPr>
          <w:p>
            <w:pPr>
              <w:ind w:left="320"/>
              <w:spacing w:after="0"/>
              <w:rPr>
                <w:sz w:val="20"/>
                <w:szCs w:val="20"/>
                <w:color w:val="auto"/>
              </w:rPr>
            </w:pPr>
            <w:r>
              <w:rPr>
                <w:rFonts w:ascii="Arial" w:cs="Arial" w:eastAsia="Arial" w:hAnsi="Arial"/>
                <w:sz w:val="18"/>
                <w:szCs w:val="18"/>
                <w:color w:val="auto"/>
              </w:rPr>
              <w:t>Income from discontinued operations</w:t>
            </w:r>
          </w:p>
        </w:tc>
        <w:tc>
          <w:tcPr>
            <w:tcW w:w="100" w:type="dxa"/>
            <w:vAlign w:val="bottom"/>
          </w:tcPr>
          <w:p>
            <w:pPr>
              <w:spacing w:after="0"/>
              <w:rPr>
                <w:sz w:val="19"/>
                <w:szCs w:val="19"/>
                <w:color w:val="auto"/>
              </w:rPr>
            </w:pPr>
          </w:p>
        </w:tc>
        <w:tc>
          <w:tcPr>
            <w:tcW w:w="1540" w:type="dxa"/>
            <w:vAlign w:val="bottom"/>
            <w:gridSpan w:val="2"/>
          </w:tcPr>
          <w:p>
            <w:pPr>
              <w:jc w:val="right"/>
              <w:ind w:right="160"/>
              <w:spacing w:after="0"/>
              <w:rPr>
                <w:sz w:val="20"/>
                <w:szCs w:val="20"/>
                <w:color w:val="auto"/>
              </w:rPr>
            </w:pPr>
            <w:r>
              <w:rPr>
                <w:rFonts w:ascii="Arial" w:cs="Arial" w:eastAsia="Arial" w:hAnsi="Arial"/>
                <w:sz w:val="18"/>
                <w:szCs w:val="18"/>
                <w:color w:val="auto"/>
              </w:rPr>
              <w:t>198,246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223,535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020" w:type="dxa"/>
            <w:vAlign w:val="bottom"/>
            <w:shd w:val="clear" w:color="auto" w:fill="CCFFCC"/>
          </w:tcPr>
          <w:p>
            <w:pPr>
              <w:spacing w:after="0"/>
              <w:rPr>
                <w:sz w:val="18"/>
                <w:szCs w:val="18"/>
                <w:color w:val="auto"/>
              </w:rPr>
            </w:pPr>
          </w:p>
        </w:tc>
        <w:tc>
          <w:tcPr>
            <w:tcW w:w="100" w:type="dxa"/>
            <w:vAlign w:val="bottom"/>
            <w:tcBorders>
              <w:top w:val="single" w:sz="8" w:color="auto"/>
            </w:tcBorders>
            <w:shd w:val="clear" w:color="auto" w:fill="CCFFCC"/>
          </w:tcPr>
          <w:p>
            <w:pPr>
              <w:spacing w:after="0"/>
              <w:rPr>
                <w:sz w:val="18"/>
                <w:szCs w:val="18"/>
                <w:color w:val="auto"/>
              </w:rPr>
            </w:pPr>
          </w:p>
        </w:tc>
        <w:tc>
          <w:tcPr>
            <w:tcW w:w="1380" w:type="dxa"/>
            <w:vAlign w:val="bottom"/>
            <w:tcBorders>
              <w:top w:val="single" w:sz="8" w:color="auto"/>
            </w:tcBorders>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0" w:type="dxa"/>
            <w:vAlign w:val="bottom"/>
            <w:tcBorders>
              <w:top w:val="single" w:sz="8" w:color="auto"/>
            </w:tcBorders>
            <w:shd w:val="clear" w:color="auto" w:fill="CCFFCC"/>
          </w:tcPr>
          <w:p>
            <w:pPr>
              <w:spacing w:after="0"/>
              <w:rPr>
                <w:sz w:val="18"/>
                <w:szCs w:val="18"/>
                <w:color w:val="auto"/>
              </w:rPr>
            </w:pPr>
          </w:p>
        </w:tc>
        <w:tc>
          <w:tcPr>
            <w:tcW w:w="1380" w:type="dxa"/>
            <w:vAlign w:val="bottom"/>
            <w:tcBorders>
              <w:top w:val="single" w:sz="8" w:color="auto"/>
            </w:tcBorders>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20" w:type="dxa"/>
            <w:vAlign w:val="bottom"/>
          </w:tcPr>
          <w:p>
            <w:pPr>
              <w:spacing w:after="0"/>
              <w:rPr>
                <w:sz w:val="20"/>
                <w:szCs w:val="20"/>
                <w:color w:val="auto"/>
              </w:rPr>
            </w:pPr>
            <w:r>
              <w:rPr>
                <w:rFonts w:ascii="Arial" w:cs="Arial" w:eastAsia="Arial" w:hAnsi="Arial"/>
                <w:sz w:val="18"/>
                <w:szCs w:val="18"/>
                <w:b w:val="1"/>
                <w:bCs w:val="1"/>
                <w:color w:val="auto"/>
              </w:rPr>
              <w:t>NET LOSS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(418,701)</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80"/>
              <w:spacing w:after="0"/>
              <w:rPr>
                <w:sz w:val="20"/>
                <w:szCs w:val="20"/>
                <w:color w:val="auto"/>
              </w:rPr>
            </w:pPr>
            <w:r>
              <w:rPr>
                <w:rFonts w:ascii="Arial" w:cs="Arial" w:eastAsia="Arial" w:hAnsi="Arial"/>
                <w:sz w:val="18"/>
                <w:szCs w:val="18"/>
                <w:color w:val="auto"/>
              </w:rPr>
              <w:t>(333,611)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0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0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38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38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20" w:type="dxa"/>
            <w:vAlign w:val="bottom"/>
          </w:tcPr>
          <w:p>
            <w:pPr>
              <w:spacing w:after="0"/>
              <w:rPr>
                <w:sz w:val="20"/>
                <w:szCs w:val="20"/>
                <w:color w:val="auto"/>
              </w:rPr>
            </w:pPr>
            <w:r>
              <w:rPr>
                <w:rFonts w:ascii="Arial" w:cs="Arial" w:eastAsia="Arial" w:hAnsi="Arial"/>
                <w:sz w:val="18"/>
                <w:szCs w:val="18"/>
                <w:color w:val="auto"/>
              </w:rPr>
              <w:t>Net loss from continuing operations per common share, basic and diluted</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(0.01)</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8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0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0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38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38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20" w:type="dxa"/>
            <w:vAlign w:val="bottom"/>
          </w:tcPr>
          <w:p>
            <w:pPr>
              <w:spacing w:after="0"/>
              <w:rPr>
                <w:sz w:val="20"/>
                <w:szCs w:val="20"/>
                <w:color w:val="auto"/>
              </w:rPr>
            </w:pPr>
            <w:r>
              <w:rPr>
                <w:rFonts w:ascii="Arial" w:cs="Arial" w:eastAsia="Arial" w:hAnsi="Arial"/>
                <w:sz w:val="18"/>
                <w:szCs w:val="18"/>
                <w:color w:val="auto"/>
              </w:rPr>
              <w:t>Net income from discontinued operations per common share, basic and diluted</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40" w:type="dxa"/>
            <w:vAlign w:val="bottom"/>
            <w:gridSpan w:val="2"/>
          </w:tcPr>
          <w:p>
            <w:pPr>
              <w:jc w:val="right"/>
              <w:ind w:right="160"/>
              <w:spacing w:after="0"/>
              <w:rPr>
                <w:sz w:val="20"/>
                <w:szCs w:val="20"/>
                <w:color w:val="auto"/>
              </w:rPr>
            </w:pPr>
            <w:r>
              <w:rPr>
                <w:rFonts w:ascii="Arial" w:cs="Arial" w:eastAsia="Arial" w:hAnsi="Arial"/>
                <w:sz w:val="18"/>
                <w:szCs w:val="18"/>
                <w:color w:val="auto"/>
              </w:rPr>
              <w:t>0.00</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0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0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38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38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20" w:type="dxa"/>
            <w:vAlign w:val="bottom"/>
          </w:tcPr>
          <w:p>
            <w:pPr>
              <w:spacing w:after="0"/>
              <w:rPr>
                <w:sz w:val="20"/>
                <w:szCs w:val="20"/>
                <w:color w:val="auto"/>
              </w:rPr>
            </w:pPr>
            <w:r>
              <w:rPr>
                <w:rFonts w:ascii="Arial" w:cs="Arial" w:eastAsia="Arial" w:hAnsi="Arial"/>
                <w:sz w:val="18"/>
                <w:szCs w:val="18"/>
                <w:color w:val="auto"/>
              </w:rPr>
              <w:t>Net loss per common share, basic and diluted</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(0.01)</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8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0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0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38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38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20" w:type="dxa"/>
            <w:vAlign w:val="bottom"/>
          </w:tcPr>
          <w:p>
            <w:pPr>
              <w:spacing w:after="0"/>
              <w:rPr>
                <w:sz w:val="20"/>
                <w:szCs w:val="20"/>
                <w:color w:val="auto"/>
              </w:rPr>
            </w:pPr>
            <w:r>
              <w:rPr>
                <w:rFonts w:ascii="Arial" w:cs="Arial" w:eastAsia="Arial" w:hAnsi="Arial"/>
                <w:sz w:val="18"/>
                <w:szCs w:val="18"/>
                <w:color w:val="auto"/>
              </w:rPr>
              <w:t>Weighted average number of shares outstanding, basic and diluted</w:t>
            </w:r>
          </w:p>
        </w:tc>
        <w:tc>
          <w:tcPr>
            <w:tcW w:w="100" w:type="dxa"/>
            <w:vAlign w:val="bottom"/>
          </w:tcPr>
          <w:p>
            <w:pPr>
              <w:spacing w:after="0"/>
              <w:rPr>
                <w:sz w:val="18"/>
                <w:szCs w:val="18"/>
                <w:color w:val="auto"/>
              </w:rPr>
            </w:pPr>
          </w:p>
        </w:tc>
        <w:tc>
          <w:tcPr>
            <w:tcW w:w="1540" w:type="dxa"/>
            <w:vAlign w:val="bottom"/>
            <w:gridSpan w:val="2"/>
          </w:tcPr>
          <w:p>
            <w:pPr>
              <w:jc w:val="right"/>
              <w:ind w:right="160"/>
              <w:spacing w:after="0"/>
              <w:rPr>
                <w:sz w:val="20"/>
                <w:szCs w:val="20"/>
                <w:color w:val="auto"/>
              </w:rPr>
            </w:pPr>
            <w:r>
              <w:rPr>
                <w:rFonts w:ascii="Arial" w:cs="Arial" w:eastAsia="Arial" w:hAnsi="Arial"/>
                <w:sz w:val="18"/>
                <w:szCs w:val="18"/>
                <w:color w:val="auto"/>
              </w:rPr>
              <w:t>97,053,044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96,184,912</w:t>
            </w:r>
          </w:p>
        </w:tc>
        <w:tc>
          <w:tcPr>
            <w:tcW w:w="0" w:type="dxa"/>
            <w:vAlign w:val="bottom"/>
          </w:tcPr>
          <w:p>
            <w:pPr>
              <w:spacing w:after="0"/>
              <w:rPr>
                <w:sz w:val="1"/>
                <w:szCs w:val="1"/>
                <w:color w:val="auto"/>
              </w:rPr>
            </w:pPr>
          </w:p>
        </w:tc>
      </w:tr>
      <w:tr>
        <w:trPr>
          <w:trHeight w:val="21"/>
        </w:trPr>
        <w:tc>
          <w:tcPr>
            <w:tcW w:w="8040" w:type="dxa"/>
            <w:vAlign w:val="bottom"/>
            <w:gridSpan w:val="2"/>
            <w:vMerge w:val="restart"/>
          </w:tcPr>
          <w:p>
            <w:pPr>
              <w:spacing w:after="0"/>
              <w:rPr>
                <w:sz w:val="20"/>
                <w:szCs w:val="20"/>
                <w:color w:val="auto"/>
              </w:rPr>
            </w:pPr>
            <w:r>
              <w:rPr>
                <w:rFonts w:ascii="Arial" w:cs="Arial" w:eastAsia="Arial" w:hAnsi="Arial"/>
                <w:sz w:val="18"/>
                <w:szCs w:val="18"/>
                <w:color w:val="auto"/>
              </w:rPr>
              <w:t>See accompanying notes to interim condensed consolidated financial statements.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3"/>
        </w:trPr>
        <w:tc>
          <w:tcPr>
            <w:tcW w:w="804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08"/>
        </w:trPr>
        <w:tc>
          <w:tcPr>
            <w:tcW w:w="8040" w:type="dxa"/>
            <w:vAlign w:val="bottom"/>
            <w:gridSpan w:val="2"/>
          </w:tcPr>
          <w:p>
            <w:pPr>
              <w:jc w:val="right"/>
              <w:ind w:right="213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80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38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38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NETFABRIC HOLDINGS,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CASH FLOWS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(UNAUDITED)</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3"/>
              </w:rPr>
              <w:t>Three Months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Three Months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Ended</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March 31, 2009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March 31, 2008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OPERATING ACTIVITIES</w:t>
            </w:r>
          </w:p>
        </w:tc>
        <w:tc>
          <w:tcPr>
            <w:tcW w:w="100" w:type="dxa"/>
            <w:vAlign w:val="bottom"/>
            <w:shd w:val="clear" w:color="auto" w:fill="CCFFCC"/>
          </w:tcPr>
          <w:p>
            <w:pPr>
              <w:spacing w:after="0"/>
              <w:rPr>
                <w:sz w:val="18"/>
                <w:szCs w:val="18"/>
                <w:color w:val="auto"/>
              </w:rPr>
            </w:pPr>
          </w:p>
        </w:tc>
        <w:tc>
          <w:tcPr>
            <w:tcW w:w="138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38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FFCC"/>
          </w:tcPr>
          <w:p>
            <w:pPr>
              <w:ind w:left="320"/>
              <w:spacing w:after="0"/>
              <w:rPr>
                <w:sz w:val="20"/>
                <w:szCs w:val="20"/>
                <w:color w:val="auto"/>
              </w:rPr>
            </w:pPr>
            <w:r>
              <w:rPr>
                <w:rFonts w:ascii="Arial" w:cs="Arial" w:eastAsia="Arial" w:hAnsi="Arial"/>
                <w:sz w:val="18"/>
                <w:szCs w:val="18"/>
                <w:color w:val="auto"/>
              </w:rPr>
              <w:t>Net loss</w:t>
            </w:r>
          </w:p>
        </w:tc>
        <w:tc>
          <w:tcPr>
            <w:tcW w:w="100" w:type="dxa"/>
            <w:vAlign w:val="bottom"/>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15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(418,701)</w:t>
            </w:r>
          </w:p>
        </w:tc>
        <w:tc>
          <w:tcPr>
            <w:tcW w:w="22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(333,611)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320"/>
              <w:spacing w:after="0"/>
              <w:rPr>
                <w:sz w:val="20"/>
                <w:szCs w:val="20"/>
                <w:color w:val="auto"/>
              </w:rPr>
            </w:pPr>
            <w:r>
              <w:rPr>
                <w:rFonts w:ascii="Arial" w:cs="Arial" w:eastAsia="Arial" w:hAnsi="Arial"/>
                <w:sz w:val="18"/>
                <w:szCs w:val="18"/>
                <w:color w:val="auto"/>
              </w:rPr>
              <w:t>Income from discontinued operations</w:t>
            </w:r>
          </w:p>
        </w:tc>
        <w:tc>
          <w:tcPr>
            <w:tcW w:w="100" w:type="dxa"/>
            <w:vAlign w:val="bottom"/>
          </w:tcPr>
          <w:p>
            <w:pPr>
              <w:spacing w:after="0"/>
              <w:rPr>
                <w:sz w:val="18"/>
                <w:szCs w:val="18"/>
                <w:color w:val="auto"/>
              </w:rPr>
            </w:pP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(198,246)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right"/>
              <w:ind w:right="80"/>
              <w:spacing w:after="0"/>
              <w:rPr>
                <w:sz w:val="20"/>
                <w:szCs w:val="20"/>
                <w:color w:val="auto"/>
              </w:rPr>
            </w:pPr>
            <w:r>
              <w:rPr>
                <w:rFonts w:ascii="Arial" w:cs="Arial" w:eastAsia="Arial" w:hAnsi="Arial"/>
                <w:sz w:val="18"/>
                <w:szCs w:val="18"/>
                <w:color w:val="auto"/>
              </w:rPr>
              <w:t>(223,535)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FFCC"/>
          </w:tcPr>
          <w:p>
            <w:pPr>
              <w:ind w:left="320"/>
              <w:spacing w:after="0"/>
              <w:rPr>
                <w:sz w:val="20"/>
                <w:szCs w:val="20"/>
                <w:color w:val="auto"/>
              </w:rPr>
            </w:pPr>
            <w:r>
              <w:rPr>
                <w:rFonts w:ascii="Arial" w:cs="Arial" w:eastAsia="Arial" w:hAnsi="Arial"/>
                <w:sz w:val="18"/>
                <w:szCs w:val="18"/>
                <w:color w:val="auto"/>
              </w:rPr>
              <w:t>Adjustments to reconcile net loss to net cash provided by (used in) operating activities:</w:t>
            </w:r>
          </w:p>
        </w:tc>
        <w:tc>
          <w:tcPr>
            <w:tcW w:w="100" w:type="dxa"/>
            <w:vAlign w:val="bottom"/>
            <w:shd w:val="clear" w:color="auto" w:fill="CCFFCC"/>
          </w:tcPr>
          <w:p>
            <w:pPr>
              <w:spacing w:after="0"/>
              <w:rPr>
                <w:sz w:val="18"/>
                <w:szCs w:val="18"/>
                <w:color w:val="auto"/>
              </w:rPr>
            </w:pPr>
          </w:p>
        </w:tc>
        <w:tc>
          <w:tcPr>
            <w:tcW w:w="138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38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320"/>
              <w:spacing w:after="0"/>
              <w:rPr>
                <w:sz w:val="20"/>
                <w:szCs w:val="20"/>
                <w:color w:val="auto"/>
              </w:rPr>
            </w:pPr>
            <w:r>
              <w:rPr>
                <w:rFonts w:ascii="Arial" w:cs="Arial" w:eastAsia="Arial" w:hAnsi="Arial"/>
                <w:sz w:val="18"/>
                <w:szCs w:val="18"/>
                <w:color w:val="auto"/>
              </w:rPr>
              <w:t>Share based compensation</w:t>
            </w:r>
          </w:p>
        </w:tc>
        <w:tc>
          <w:tcPr>
            <w:tcW w:w="1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66,039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73,074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FFCC"/>
          </w:tcPr>
          <w:p>
            <w:pPr>
              <w:ind w:left="320"/>
              <w:spacing w:after="0"/>
              <w:rPr>
                <w:sz w:val="20"/>
                <w:szCs w:val="20"/>
                <w:color w:val="auto"/>
              </w:rPr>
            </w:pPr>
            <w:r>
              <w:rPr>
                <w:rFonts w:ascii="Arial" w:cs="Arial" w:eastAsia="Arial" w:hAnsi="Arial"/>
                <w:sz w:val="18"/>
                <w:szCs w:val="18"/>
                <w:color w:val="auto"/>
              </w:rPr>
              <w:t>Non-cash financing fees</w:t>
            </w:r>
          </w:p>
        </w:tc>
        <w:tc>
          <w:tcPr>
            <w:tcW w:w="100" w:type="dxa"/>
            <w:vAlign w:val="bottom"/>
            <w:shd w:val="clear" w:color="auto" w:fill="CCFFCC"/>
          </w:tcPr>
          <w:p>
            <w:pPr>
              <w:spacing w:after="0"/>
              <w:rPr>
                <w:sz w:val="18"/>
                <w:szCs w:val="18"/>
                <w:color w:val="auto"/>
              </w:rPr>
            </w:pPr>
          </w:p>
        </w:tc>
        <w:tc>
          <w:tcPr>
            <w:tcW w:w="13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5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40,000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320"/>
              <w:spacing w:after="0"/>
              <w:rPr>
                <w:sz w:val="20"/>
                <w:szCs w:val="20"/>
                <w:color w:val="auto"/>
              </w:rPr>
            </w:pPr>
            <w:r>
              <w:rPr>
                <w:rFonts w:ascii="Arial" w:cs="Arial" w:eastAsia="Arial" w:hAnsi="Arial"/>
                <w:sz w:val="18"/>
                <w:szCs w:val="18"/>
                <w:color w:val="auto"/>
              </w:rPr>
              <w:t>Amortization of debt discounts</w:t>
            </w:r>
          </w:p>
        </w:tc>
        <w:tc>
          <w:tcPr>
            <w:tcW w:w="1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91,862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181,366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FFCC"/>
          </w:tcPr>
          <w:p>
            <w:pPr>
              <w:ind w:left="320"/>
              <w:spacing w:after="0"/>
              <w:rPr>
                <w:sz w:val="20"/>
                <w:szCs w:val="20"/>
                <w:color w:val="auto"/>
              </w:rPr>
            </w:pPr>
            <w:r>
              <w:rPr>
                <w:rFonts w:ascii="Arial" w:cs="Arial" w:eastAsia="Arial" w:hAnsi="Arial"/>
                <w:sz w:val="18"/>
                <w:szCs w:val="18"/>
                <w:color w:val="auto"/>
              </w:rPr>
              <w:t>Amortization of debt issuance costs</w:t>
            </w:r>
          </w:p>
        </w:tc>
        <w:tc>
          <w:tcPr>
            <w:tcW w:w="100" w:type="dxa"/>
            <w:vAlign w:val="bottom"/>
            <w:shd w:val="clear" w:color="auto" w:fill="CCFFCC"/>
          </w:tcPr>
          <w:p>
            <w:pPr>
              <w:spacing w:after="0"/>
              <w:rPr>
                <w:sz w:val="18"/>
                <w:szCs w:val="18"/>
                <w:color w:val="auto"/>
              </w:rPr>
            </w:pPr>
          </w:p>
        </w:tc>
        <w:tc>
          <w:tcPr>
            <w:tcW w:w="13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47,630</w:t>
            </w:r>
          </w:p>
        </w:tc>
        <w:tc>
          <w:tcPr>
            <w:tcW w:w="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5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132,373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320"/>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8,977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FFCC"/>
          </w:tcPr>
          <w:p>
            <w:pPr>
              <w:ind w:left="320"/>
              <w:spacing w:after="0"/>
              <w:rPr>
                <w:sz w:val="20"/>
                <w:szCs w:val="20"/>
                <w:color w:val="auto"/>
              </w:rPr>
            </w:pPr>
            <w:r>
              <w:rPr>
                <w:rFonts w:ascii="Arial" w:cs="Arial" w:eastAsia="Arial" w:hAnsi="Arial"/>
                <w:sz w:val="18"/>
                <w:szCs w:val="18"/>
                <w:color w:val="auto"/>
              </w:rPr>
              <w:t>Loss on disposal of property and equipment</w:t>
            </w:r>
          </w:p>
        </w:tc>
        <w:tc>
          <w:tcPr>
            <w:tcW w:w="100" w:type="dxa"/>
            <w:vAlign w:val="bottom"/>
            <w:shd w:val="clear" w:color="auto" w:fill="CCFFCC"/>
          </w:tcPr>
          <w:p>
            <w:pPr>
              <w:spacing w:after="0"/>
              <w:rPr>
                <w:sz w:val="18"/>
                <w:szCs w:val="18"/>
                <w:color w:val="auto"/>
              </w:rPr>
            </w:pPr>
          </w:p>
        </w:tc>
        <w:tc>
          <w:tcPr>
            <w:tcW w:w="13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5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6,249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320"/>
              <w:spacing w:after="0"/>
              <w:rPr>
                <w:sz w:val="20"/>
                <w:szCs w:val="20"/>
                <w:color w:val="auto"/>
              </w:rPr>
            </w:pPr>
            <w:r>
              <w:rPr>
                <w:rFonts w:ascii="Arial" w:cs="Arial" w:eastAsia="Arial" w:hAnsi="Arial"/>
                <w:sz w:val="18"/>
                <w:szCs w:val="18"/>
                <w:color w:val="auto"/>
              </w:rPr>
              <w:t>Changes in operating assets and liabilities:</w:t>
            </w: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FFCC"/>
          </w:tcPr>
          <w:p>
            <w:pPr>
              <w:ind w:left="640"/>
              <w:spacing w:after="0"/>
              <w:rPr>
                <w:sz w:val="20"/>
                <w:szCs w:val="20"/>
                <w:color w:val="auto"/>
              </w:rPr>
            </w:pPr>
            <w:r>
              <w:rPr>
                <w:rFonts w:ascii="Arial" w:cs="Arial" w:eastAsia="Arial" w:hAnsi="Arial"/>
                <w:sz w:val="18"/>
                <w:szCs w:val="18"/>
                <w:color w:val="auto"/>
              </w:rPr>
              <w:t>Trade accounts receivable</w:t>
            </w:r>
          </w:p>
        </w:tc>
        <w:tc>
          <w:tcPr>
            <w:tcW w:w="100" w:type="dxa"/>
            <w:vAlign w:val="bottom"/>
            <w:shd w:val="clear" w:color="auto" w:fill="CCFFCC"/>
          </w:tcPr>
          <w:p>
            <w:pPr>
              <w:spacing w:after="0"/>
              <w:rPr>
                <w:sz w:val="18"/>
                <w:szCs w:val="18"/>
                <w:color w:val="auto"/>
              </w:rPr>
            </w:pPr>
          </w:p>
        </w:tc>
        <w:tc>
          <w:tcPr>
            <w:tcW w:w="13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23,975</w:t>
            </w:r>
          </w:p>
        </w:tc>
        <w:tc>
          <w:tcPr>
            <w:tcW w:w="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5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2,189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640"/>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27,124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FFCC"/>
          </w:tcPr>
          <w:p>
            <w:pPr>
              <w:ind w:left="640"/>
              <w:spacing w:after="0"/>
              <w:rPr>
                <w:sz w:val="20"/>
                <w:szCs w:val="20"/>
                <w:color w:val="auto"/>
              </w:rPr>
            </w:pPr>
            <w:r>
              <w:rPr>
                <w:rFonts w:ascii="Arial" w:cs="Arial" w:eastAsia="Arial" w:hAnsi="Arial"/>
                <w:sz w:val="18"/>
                <w:szCs w:val="18"/>
                <w:color w:val="auto"/>
              </w:rPr>
              <w:t>Accounts payable and accrued liabilities</w:t>
            </w:r>
          </w:p>
        </w:tc>
        <w:tc>
          <w:tcPr>
            <w:tcW w:w="100" w:type="dxa"/>
            <w:vAlign w:val="bottom"/>
            <w:shd w:val="clear" w:color="auto" w:fill="CCFFCC"/>
          </w:tcPr>
          <w:p>
            <w:pPr>
              <w:spacing w:after="0"/>
              <w:rPr>
                <w:sz w:val="18"/>
                <w:szCs w:val="18"/>
                <w:color w:val="auto"/>
              </w:rPr>
            </w:pPr>
          </w:p>
        </w:tc>
        <w:tc>
          <w:tcPr>
            <w:tcW w:w="15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(370,539)</w:t>
            </w:r>
          </w:p>
        </w:tc>
        <w:tc>
          <w:tcPr>
            <w:tcW w:w="1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52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(255,684)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20" w:type="dxa"/>
            <w:vAlign w:val="bottom"/>
          </w:tcPr>
          <w:p>
            <w:pPr>
              <w:ind w:left="640"/>
              <w:spacing w:after="0"/>
              <w:rPr>
                <w:sz w:val="20"/>
                <w:szCs w:val="20"/>
                <w:color w:val="auto"/>
              </w:rPr>
            </w:pPr>
            <w:r>
              <w:rPr>
                <w:rFonts w:ascii="Arial" w:cs="Arial" w:eastAsia="Arial" w:hAnsi="Arial"/>
                <w:sz w:val="18"/>
                <w:szCs w:val="18"/>
                <w:color w:val="auto"/>
              </w:rPr>
              <w:t>Accrued compensation</w:t>
            </w:r>
          </w:p>
        </w:tc>
        <w:tc>
          <w:tcPr>
            <w:tcW w:w="100" w:type="dxa"/>
            <w:vAlign w:val="bottom"/>
          </w:tcPr>
          <w:p>
            <w:pPr>
              <w:spacing w:after="0"/>
              <w:rPr>
                <w:sz w:val="19"/>
                <w:szCs w:val="19"/>
                <w:color w:val="auto"/>
              </w:rPr>
            </w:pP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(198,000)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20" w:type="dxa"/>
            <w:vAlign w:val="bottom"/>
            <w:gridSpan w:val="2"/>
          </w:tcPr>
          <w:p>
            <w:pPr>
              <w:jc w:val="right"/>
              <w:ind w:right="80"/>
              <w:spacing w:after="0"/>
              <w:rPr>
                <w:sz w:val="20"/>
                <w:szCs w:val="20"/>
                <w:color w:val="auto"/>
              </w:rPr>
            </w:pPr>
            <w:r>
              <w:rPr>
                <w:rFonts w:ascii="Arial" w:cs="Arial" w:eastAsia="Arial" w:hAnsi="Arial"/>
                <w:sz w:val="18"/>
                <w:szCs w:val="18"/>
                <w:color w:val="auto"/>
              </w:rPr>
              <w:t>(176,278)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FFCC"/>
          </w:tcPr>
          <w:p>
            <w:pPr>
              <w:spacing w:after="0"/>
              <w:rPr>
                <w:sz w:val="18"/>
                <w:szCs w:val="18"/>
                <w:color w:val="auto"/>
              </w:rPr>
            </w:pPr>
          </w:p>
        </w:tc>
        <w:tc>
          <w:tcPr>
            <w:tcW w:w="100" w:type="dxa"/>
            <w:vAlign w:val="bottom"/>
            <w:tcBorders>
              <w:top w:val="single" w:sz="8" w:color="auto"/>
            </w:tcBorders>
            <w:shd w:val="clear" w:color="auto" w:fill="CCFFCC"/>
          </w:tcPr>
          <w:p>
            <w:pPr>
              <w:spacing w:after="0"/>
              <w:rPr>
                <w:sz w:val="18"/>
                <w:szCs w:val="18"/>
                <w:color w:val="auto"/>
              </w:rPr>
            </w:pPr>
          </w:p>
        </w:tc>
        <w:tc>
          <w:tcPr>
            <w:tcW w:w="1380" w:type="dxa"/>
            <w:vAlign w:val="bottom"/>
            <w:tcBorders>
              <w:top w:val="single" w:sz="8" w:color="auto"/>
            </w:tcBorders>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0" w:type="dxa"/>
            <w:vAlign w:val="bottom"/>
            <w:tcBorders>
              <w:top w:val="single" w:sz="8" w:color="auto"/>
            </w:tcBorders>
            <w:shd w:val="clear" w:color="auto" w:fill="CCFFCC"/>
          </w:tcPr>
          <w:p>
            <w:pPr>
              <w:spacing w:after="0"/>
              <w:rPr>
                <w:sz w:val="18"/>
                <w:szCs w:val="18"/>
                <w:color w:val="auto"/>
              </w:rPr>
            </w:pPr>
          </w:p>
        </w:tc>
        <w:tc>
          <w:tcPr>
            <w:tcW w:w="1380" w:type="dxa"/>
            <w:vAlign w:val="bottom"/>
            <w:tcBorders>
              <w:top w:val="single" w:sz="8" w:color="auto"/>
            </w:tcBorders>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320"/>
              <w:spacing w:after="0"/>
              <w:rPr>
                <w:sz w:val="20"/>
                <w:szCs w:val="20"/>
                <w:color w:val="auto"/>
              </w:rPr>
            </w:pPr>
            <w:r>
              <w:rPr>
                <w:rFonts w:ascii="Arial" w:cs="Arial" w:eastAsia="Arial" w:hAnsi="Arial"/>
                <w:sz w:val="18"/>
                <w:szCs w:val="18"/>
                <w:color w:val="auto"/>
              </w:rPr>
              <w:t>Net cash used by continuing operations</w:t>
            </w:r>
          </w:p>
        </w:tc>
        <w:tc>
          <w:tcPr>
            <w:tcW w:w="100" w:type="dxa"/>
            <w:vAlign w:val="bottom"/>
          </w:tcPr>
          <w:p>
            <w:pPr>
              <w:spacing w:after="0"/>
              <w:rPr>
                <w:sz w:val="18"/>
                <w:szCs w:val="18"/>
                <w:color w:val="auto"/>
              </w:rPr>
            </w:pP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(955,980)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right"/>
              <w:ind w:right="80"/>
              <w:spacing w:after="0"/>
              <w:rPr>
                <w:sz w:val="20"/>
                <w:szCs w:val="20"/>
                <w:color w:val="auto"/>
              </w:rPr>
            </w:pPr>
            <w:r>
              <w:rPr>
                <w:rFonts w:ascii="Arial" w:cs="Arial" w:eastAsia="Arial" w:hAnsi="Arial"/>
                <w:sz w:val="18"/>
                <w:szCs w:val="18"/>
                <w:color w:val="auto"/>
              </w:rPr>
              <w:t>(517,756)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20" w:type="dxa"/>
            <w:vAlign w:val="bottom"/>
            <w:tcBorders>
              <w:bottom w:val="single" w:sz="8" w:color="CCFFCC"/>
            </w:tcBorders>
            <w:shd w:val="clear" w:color="auto" w:fill="CCFFCC"/>
          </w:tcPr>
          <w:p>
            <w:pPr>
              <w:ind w:left="320"/>
              <w:spacing w:after="0"/>
              <w:rPr>
                <w:sz w:val="20"/>
                <w:szCs w:val="20"/>
                <w:color w:val="auto"/>
              </w:rPr>
            </w:pPr>
            <w:r>
              <w:rPr>
                <w:rFonts w:ascii="Arial" w:cs="Arial" w:eastAsia="Arial" w:hAnsi="Arial"/>
                <w:sz w:val="18"/>
                <w:szCs w:val="18"/>
                <w:color w:val="auto"/>
              </w:rPr>
              <w:t>Net cash provided by discontinued operations</w:t>
            </w:r>
          </w:p>
        </w:tc>
        <w:tc>
          <w:tcPr>
            <w:tcW w:w="100" w:type="dxa"/>
            <w:vAlign w:val="bottom"/>
            <w:tcBorders>
              <w:bottom w:val="single" w:sz="8" w:color="auto"/>
            </w:tcBorders>
            <w:shd w:val="clear" w:color="auto" w:fill="CCFFCC"/>
          </w:tcPr>
          <w:p>
            <w:pPr>
              <w:spacing w:after="0"/>
              <w:rPr>
                <w:sz w:val="19"/>
                <w:szCs w:val="19"/>
                <w:color w:val="auto"/>
              </w:rPr>
            </w:pPr>
          </w:p>
        </w:tc>
        <w:tc>
          <w:tcPr>
            <w:tcW w:w="13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298,233</w:t>
            </w:r>
          </w:p>
        </w:tc>
        <w:tc>
          <w:tcPr>
            <w:tcW w:w="160" w:type="dxa"/>
            <w:vAlign w:val="bottom"/>
            <w:tcBorders>
              <w:bottom w:val="single" w:sz="8" w:color="CCFFCC"/>
            </w:tcBorders>
            <w:shd w:val="clear" w:color="auto" w:fill="CCFFCC"/>
          </w:tcPr>
          <w:p>
            <w:pPr>
              <w:spacing w:after="0"/>
              <w:rPr>
                <w:sz w:val="19"/>
                <w:szCs w:val="19"/>
                <w:color w:val="auto"/>
              </w:rPr>
            </w:pPr>
          </w:p>
        </w:tc>
        <w:tc>
          <w:tcPr>
            <w:tcW w:w="100" w:type="dxa"/>
            <w:vAlign w:val="bottom"/>
            <w:tcBorders>
              <w:bottom w:val="single" w:sz="8" w:color="CCFFCC"/>
            </w:tcBorders>
            <w:shd w:val="clear" w:color="auto" w:fill="CCFFCC"/>
          </w:tcPr>
          <w:p>
            <w:pPr>
              <w:spacing w:after="0"/>
              <w:rPr>
                <w:sz w:val="19"/>
                <w:szCs w:val="19"/>
                <w:color w:val="auto"/>
              </w:rPr>
            </w:pPr>
          </w:p>
        </w:tc>
        <w:tc>
          <w:tcPr>
            <w:tcW w:w="120" w:type="dxa"/>
            <w:vAlign w:val="bottom"/>
            <w:tcBorders>
              <w:bottom w:val="single" w:sz="8" w:color="auto"/>
            </w:tcBorders>
            <w:shd w:val="clear" w:color="auto" w:fill="CCFFCC"/>
          </w:tcPr>
          <w:p>
            <w:pPr>
              <w:spacing w:after="0"/>
              <w:rPr>
                <w:sz w:val="19"/>
                <w:szCs w:val="19"/>
                <w:color w:val="auto"/>
              </w:rPr>
            </w:pPr>
          </w:p>
        </w:tc>
        <w:tc>
          <w:tcPr>
            <w:tcW w:w="13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989,270</w:t>
            </w:r>
          </w:p>
        </w:tc>
        <w:tc>
          <w:tcPr>
            <w:tcW w:w="140" w:type="dxa"/>
            <w:vAlign w:val="bottom"/>
            <w:tcBorders>
              <w:bottom w:val="single" w:sz="8" w:color="CCFFCC"/>
            </w:tcBorders>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20" w:type="dxa"/>
            <w:vAlign w:val="bottom"/>
          </w:tcPr>
          <w:p>
            <w:pPr>
              <w:ind w:left="320"/>
              <w:spacing w:after="0"/>
              <w:rPr>
                <w:sz w:val="20"/>
                <w:szCs w:val="20"/>
                <w:color w:val="auto"/>
              </w:rPr>
            </w:pPr>
            <w:r>
              <w:rPr>
                <w:rFonts w:ascii="Arial" w:cs="Arial" w:eastAsia="Arial" w:hAnsi="Arial"/>
                <w:sz w:val="18"/>
                <w:szCs w:val="18"/>
                <w:color w:val="auto"/>
              </w:rPr>
              <w:t>Net cash provided by (used in) operating activities</w:t>
            </w:r>
          </w:p>
        </w:tc>
        <w:tc>
          <w:tcPr>
            <w:tcW w:w="100" w:type="dxa"/>
            <w:vAlign w:val="bottom"/>
          </w:tcPr>
          <w:p>
            <w:pPr>
              <w:spacing w:after="0"/>
              <w:rPr>
                <w:sz w:val="19"/>
                <w:szCs w:val="19"/>
                <w:color w:val="auto"/>
              </w:rPr>
            </w:pP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(657,747)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471,514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020" w:type="dxa"/>
            <w:vAlign w:val="bottom"/>
            <w:shd w:val="clear" w:color="auto" w:fill="CCFFCC"/>
          </w:tcPr>
          <w:p>
            <w:pPr>
              <w:spacing w:after="0"/>
              <w:rPr>
                <w:sz w:val="18"/>
                <w:szCs w:val="18"/>
                <w:color w:val="auto"/>
              </w:rPr>
            </w:pPr>
          </w:p>
        </w:tc>
        <w:tc>
          <w:tcPr>
            <w:tcW w:w="100" w:type="dxa"/>
            <w:vAlign w:val="bottom"/>
            <w:tcBorders>
              <w:top w:val="single" w:sz="8" w:color="auto"/>
            </w:tcBorders>
            <w:shd w:val="clear" w:color="auto" w:fill="CCFFCC"/>
          </w:tcPr>
          <w:p>
            <w:pPr>
              <w:spacing w:after="0"/>
              <w:rPr>
                <w:sz w:val="18"/>
                <w:szCs w:val="18"/>
                <w:color w:val="auto"/>
              </w:rPr>
            </w:pPr>
          </w:p>
        </w:tc>
        <w:tc>
          <w:tcPr>
            <w:tcW w:w="1380" w:type="dxa"/>
            <w:vAlign w:val="bottom"/>
            <w:tcBorders>
              <w:top w:val="single" w:sz="8" w:color="auto"/>
            </w:tcBorders>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0" w:type="dxa"/>
            <w:vAlign w:val="bottom"/>
            <w:tcBorders>
              <w:top w:val="single" w:sz="8" w:color="auto"/>
            </w:tcBorders>
            <w:shd w:val="clear" w:color="auto" w:fill="CCFFCC"/>
          </w:tcPr>
          <w:p>
            <w:pPr>
              <w:spacing w:after="0"/>
              <w:rPr>
                <w:sz w:val="18"/>
                <w:szCs w:val="18"/>
                <w:color w:val="auto"/>
              </w:rPr>
            </w:pPr>
          </w:p>
        </w:tc>
        <w:tc>
          <w:tcPr>
            <w:tcW w:w="1380" w:type="dxa"/>
            <w:vAlign w:val="bottom"/>
            <w:tcBorders>
              <w:top w:val="single" w:sz="8" w:color="auto"/>
            </w:tcBorders>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20" w:type="dxa"/>
            <w:vAlign w:val="bottom"/>
          </w:tcPr>
          <w:p>
            <w:pPr>
              <w:spacing w:after="0"/>
              <w:rPr>
                <w:sz w:val="20"/>
                <w:szCs w:val="20"/>
                <w:color w:val="auto"/>
              </w:rPr>
            </w:pPr>
            <w:r>
              <w:rPr>
                <w:rFonts w:ascii="Arial" w:cs="Arial" w:eastAsia="Arial" w:hAnsi="Arial"/>
                <w:sz w:val="18"/>
                <w:szCs w:val="18"/>
                <w:b w:val="1"/>
                <w:bCs w:val="1"/>
                <w:color w:val="auto"/>
              </w:rPr>
              <w:t>INVESTING ACTIVITIES</w:t>
            </w: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20" w:type="dxa"/>
            <w:vAlign w:val="bottom"/>
            <w:tcBorders>
              <w:bottom w:val="single" w:sz="8" w:color="CCFFCC"/>
            </w:tcBorders>
            <w:shd w:val="clear" w:color="auto" w:fill="CCFFCC"/>
          </w:tcPr>
          <w:p>
            <w:pPr>
              <w:ind w:left="320"/>
              <w:spacing w:after="0"/>
              <w:rPr>
                <w:sz w:val="20"/>
                <w:szCs w:val="20"/>
                <w:color w:val="auto"/>
              </w:rPr>
            </w:pPr>
            <w:r>
              <w:rPr>
                <w:rFonts w:ascii="Arial" w:cs="Arial" w:eastAsia="Arial" w:hAnsi="Arial"/>
                <w:sz w:val="18"/>
                <w:szCs w:val="18"/>
                <w:color w:val="auto"/>
              </w:rPr>
              <w:t>Proceeds from disposal of property and equipment</w:t>
            </w:r>
          </w:p>
        </w:tc>
        <w:tc>
          <w:tcPr>
            <w:tcW w:w="100" w:type="dxa"/>
            <w:vAlign w:val="bottom"/>
            <w:tcBorders>
              <w:bottom w:val="single" w:sz="8" w:color="auto"/>
            </w:tcBorders>
            <w:shd w:val="clear" w:color="auto" w:fill="CCFFCC"/>
          </w:tcPr>
          <w:p>
            <w:pPr>
              <w:spacing w:after="0"/>
              <w:rPr>
                <w:sz w:val="19"/>
                <w:szCs w:val="19"/>
                <w:color w:val="auto"/>
              </w:rPr>
            </w:pPr>
          </w:p>
        </w:tc>
        <w:tc>
          <w:tcPr>
            <w:tcW w:w="13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FFCC"/>
            </w:tcBorders>
            <w:shd w:val="clear" w:color="auto" w:fill="CCFFCC"/>
          </w:tcPr>
          <w:p>
            <w:pPr>
              <w:spacing w:after="0"/>
              <w:rPr>
                <w:sz w:val="19"/>
                <w:szCs w:val="19"/>
                <w:color w:val="auto"/>
              </w:rPr>
            </w:pPr>
          </w:p>
        </w:tc>
        <w:tc>
          <w:tcPr>
            <w:tcW w:w="100" w:type="dxa"/>
            <w:vAlign w:val="bottom"/>
            <w:tcBorders>
              <w:bottom w:val="single" w:sz="8" w:color="CCFFCC"/>
            </w:tcBorders>
            <w:shd w:val="clear" w:color="auto" w:fill="CCFFCC"/>
          </w:tcPr>
          <w:p>
            <w:pPr>
              <w:spacing w:after="0"/>
              <w:rPr>
                <w:sz w:val="19"/>
                <w:szCs w:val="19"/>
                <w:color w:val="auto"/>
              </w:rPr>
            </w:pPr>
          </w:p>
        </w:tc>
        <w:tc>
          <w:tcPr>
            <w:tcW w:w="120" w:type="dxa"/>
            <w:vAlign w:val="bottom"/>
            <w:tcBorders>
              <w:bottom w:val="single" w:sz="8" w:color="auto"/>
            </w:tcBorders>
            <w:shd w:val="clear" w:color="auto" w:fill="CCFFCC"/>
          </w:tcPr>
          <w:p>
            <w:pPr>
              <w:spacing w:after="0"/>
              <w:rPr>
                <w:sz w:val="19"/>
                <w:szCs w:val="19"/>
                <w:color w:val="auto"/>
              </w:rPr>
            </w:pPr>
          </w:p>
        </w:tc>
        <w:tc>
          <w:tcPr>
            <w:tcW w:w="13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5,981</w:t>
            </w:r>
          </w:p>
        </w:tc>
        <w:tc>
          <w:tcPr>
            <w:tcW w:w="140" w:type="dxa"/>
            <w:vAlign w:val="bottom"/>
            <w:tcBorders>
              <w:bottom w:val="single" w:sz="8" w:color="CCFFCC"/>
            </w:tcBorders>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320"/>
              <w:spacing w:after="0"/>
              <w:rPr>
                <w:sz w:val="20"/>
                <w:szCs w:val="20"/>
                <w:color w:val="auto"/>
              </w:rPr>
            </w:pPr>
            <w:r>
              <w:rPr>
                <w:rFonts w:ascii="Arial" w:cs="Arial" w:eastAsia="Arial" w:hAnsi="Arial"/>
                <w:sz w:val="18"/>
                <w:szCs w:val="18"/>
                <w:color w:val="auto"/>
              </w:rPr>
              <w:t>Net cash provided by investing activities by continuing operations</w:t>
            </w:r>
          </w:p>
        </w:tc>
        <w:tc>
          <w:tcPr>
            <w:tcW w:w="1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5,981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FFCC"/>
          </w:tcPr>
          <w:p>
            <w:pPr>
              <w:ind w:left="320"/>
              <w:spacing w:after="0"/>
              <w:rPr>
                <w:sz w:val="20"/>
                <w:szCs w:val="20"/>
                <w:color w:val="auto"/>
              </w:rPr>
            </w:pPr>
            <w:r>
              <w:rPr>
                <w:rFonts w:ascii="Arial" w:cs="Arial" w:eastAsia="Arial" w:hAnsi="Arial"/>
                <w:sz w:val="18"/>
                <w:szCs w:val="18"/>
                <w:color w:val="auto"/>
              </w:rPr>
              <w:t>Net cash used in discontinued operations</w:t>
            </w:r>
          </w:p>
        </w:tc>
        <w:tc>
          <w:tcPr>
            <w:tcW w:w="100" w:type="dxa"/>
            <w:vAlign w:val="bottom"/>
            <w:shd w:val="clear" w:color="auto" w:fill="CCFFCC"/>
          </w:tcPr>
          <w:p>
            <w:pPr>
              <w:spacing w:after="0"/>
              <w:rPr>
                <w:sz w:val="18"/>
                <w:szCs w:val="18"/>
                <w:color w:val="auto"/>
              </w:rPr>
            </w:pPr>
          </w:p>
        </w:tc>
        <w:tc>
          <w:tcPr>
            <w:tcW w:w="15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(6,398)</w:t>
            </w:r>
          </w:p>
        </w:tc>
        <w:tc>
          <w:tcPr>
            <w:tcW w:w="1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52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(2,616)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020" w:type="dxa"/>
            <w:vAlign w:val="bottom"/>
            <w:shd w:val="clear" w:color="auto" w:fill="CCFFCC"/>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380" w:type="dxa"/>
            <w:vAlign w:val="bottom"/>
            <w:shd w:val="clear" w:color="auto" w:fill="000000"/>
          </w:tcPr>
          <w:p>
            <w:pPr>
              <w:spacing w:after="0"/>
              <w:rPr>
                <w:sz w:val="2"/>
                <w:szCs w:val="2"/>
                <w:color w:val="auto"/>
              </w:rPr>
            </w:pPr>
          </w:p>
        </w:tc>
        <w:tc>
          <w:tcPr>
            <w:tcW w:w="160" w:type="dxa"/>
            <w:vAlign w:val="bottom"/>
            <w:shd w:val="clear" w:color="auto" w:fill="CCFFCC"/>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380" w:type="dxa"/>
            <w:vAlign w:val="bottom"/>
            <w:shd w:val="clear" w:color="auto" w:fill="000000"/>
          </w:tcPr>
          <w:p>
            <w:pPr>
              <w:spacing w:after="0"/>
              <w:rPr>
                <w:sz w:val="2"/>
                <w:szCs w:val="2"/>
                <w:color w:val="auto"/>
              </w:rPr>
            </w:pPr>
          </w:p>
        </w:tc>
        <w:tc>
          <w:tcPr>
            <w:tcW w:w="14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8020" w:type="dxa"/>
            <w:vAlign w:val="bottom"/>
          </w:tcPr>
          <w:p>
            <w:pPr>
              <w:ind w:left="320"/>
              <w:spacing w:after="0"/>
              <w:rPr>
                <w:sz w:val="20"/>
                <w:szCs w:val="20"/>
                <w:color w:val="auto"/>
              </w:rPr>
            </w:pPr>
            <w:r>
              <w:rPr>
                <w:rFonts w:ascii="Arial" w:cs="Arial" w:eastAsia="Arial" w:hAnsi="Arial"/>
                <w:sz w:val="18"/>
                <w:szCs w:val="18"/>
                <w:color w:val="auto"/>
              </w:rPr>
              <w:t>Net cash (used in ) provided by investing activities</w:t>
            </w:r>
          </w:p>
        </w:tc>
        <w:tc>
          <w:tcPr>
            <w:tcW w:w="100" w:type="dxa"/>
            <w:vAlign w:val="bottom"/>
          </w:tcPr>
          <w:p>
            <w:pPr>
              <w:spacing w:after="0"/>
              <w:rPr>
                <w:sz w:val="19"/>
                <w:szCs w:val="19"/>
                <w:color w:val="auto"/>
              </w:rPr>
            </w:pP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(6,398)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3,365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020" w:type="dxa"/>
            <w:vAlign w:val="bottom"/>
            <w:shd w:val="clear" w:color="auto" w:fill="CCFFCC"/>
          </w:tcPr>
          <w:p>
            <w:pPr>
              <w:spacing w:after="0"/>
              <w:rPr>
                <w:sz w:val="18"/>
                <w:szCs w:val="18"/>
                <w:color w:val="auto"/>
              </w:rPr>
            </w:pPr>
          </w:p>
        </w:tc>
        <w:tc>
          <w:tcPr>
            <w:tcW w:w="100" w:type="dxa"/>
            <w:vAlign w:val="bottom"/>
            <w:tcBorders>
              <w:top w:val="single" w:sz="8" w:color="auto"/>
            </w:tcBorders>
            <w:shd w:val="clear" w:color="auto" w:fill="CCFFCC"/>
          </w:tcPr>
          <w:p>
            <w:pPr>
              <w:spacing w:after="0"/>
              <w:rPr>
                <w:sz w:val="18"/>
                <w:szCs w:val="18"/>
                <w:color w:val="auto"/>
              </w:rPr>
            </w:pPr>
          </w:p>
        </w:tc>
        <w:tc>
          <w:tcPr>
            <w:tcW w:w="1380" w:type="dxa"/>
            <w:vAlign w:val="bottom"/>
            <w:tcBorders>
              <w:top w:val="single" w:sz="8" w:color="auto"/>
            </w:tcBorders>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0" w:type="dxa"/>
            <w:vAlign w:val="bottom"/>
            <w:tcBorders>
              <w:top w:val="single" w:sz="8" w:color="auto"/>
            </w:tcBorders>
            <w:shd w:val="clear" w:color="auto" w:fill="CCFFCC"/>
          </w:tcPr>
          <w:p>
            <w:pPr>
              <w:spacing w:after="0"/>
              <w:rPr>
                <w:sz w:val="18"/>
                <w:szCs w:val="18"/>
                <w:color w:val="auto"/>
              </w:rPr>
            </w:pPr>
          </w:p>
        </w:tc>
        <w:tc>
          <w:tcPr>
            <w:tcW w:w="1380" w:type="dxa"/>
            <w:vAlign w:val="bottom"/>
            <w:tcBorders>
              <w:top w:val="single" w:sz="8" w:color="auto"/>
            </w:tcBorders>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20" w:type="dxa"/>
            <w:vAlign w:val="bottom"/>
          </w:tcPr>
          <w:p>
            <w:pPr>
              <w:spacing w:after="0"/>
              <w:rPr>
                <w:sz w:val="20"/>
                <w:szCs w:val="20"/>
                <w:color w:val="auto"/>
              </w:rPr>
            </w:pPr>
            <w:r>
              <w:rPr>
                <w:rFonts w:ascii="Arial" w:cs="Arial" w:eastAsia="Arial" w:hAnsi="Arial"/>
                <w:sz w:val="18"/>
                <w:szCs w:val="18"/>
                <w:b w:val="1"/>
                <w:bCs w:val="1"/>
                <w:color w:val="auto"/>
              </w:rPr>
              <w:t>FINANCING ACTIVITIES</w:t>
            </w: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FFCC"/>
          </w:tcPr>
          <w:p>
            <w:pPr>
              <w:ind w:left="320"/>
              <w:spacing w:after="0"/>
              <w:rPr>
                <w:sz w:val="20"/>
                <w:szCs w:val="20"/>
                <w:color w:val="auto"/>
              </w:rPr>
            </w:pPr>
            <w:r>
              <w:rPr>
                <w:rFonts w:ascii="Arial" w:cs="Arial" w:eastAsia="Arial" w:hAnsi="Arial"/>
                <w:sz w:val="18"/>
                <w:szCs w:val="18"/>
                <w:color w:val="auto"/>
              </w:rPr>
              <w:t>Proceeds from issuance of Secured Convertible Promissory Note</w:t>
            </w:r>
          </w:p>
        </w:tc>
        <w:tc>
          <w:tcPr>
            <w:tcW w:w="100" w:type="dxa"/>
            <w:vAlign w:val="bottom"/>
            <w:shd w:val="clear" w:color="auto" w:fill="CCFFCC"/>
          </w:tcPr>
          <w:p>
            <w:pPr>
              <w:spacing w:after="0"/>
              <w:rPr>
                <w:sz w:val="18"/>
                <w:szCs w:val="18"/>
                <w:color w:val="auto"/>
              </w:rPr>
            </w:pPr>
          </w:p>
        </w:tc>
        <w:tc>
          <w:tcPr>
            <w:tcW w:w="13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5,000,000</w:t>
            </w:r>
          </w:p>
        </w:tc>
        <w:tc>
          <w:tcPr>
            <w:tcW w:w="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5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320"/>
              <w:spacing w:after="0"/>
              <w:rPr>
                <w:sz w:val="20"/>
                <w:szCs w:val="20"/>
                <w:color w:val="auto"/>
              </w:rPr>
            </w:pPr>
            <w:r>
              <w:rPr>
                <w:rFonts w:ascii="Arial" w:cs="Arial" w:eastAsia="Arial" w:hAnsi="Arial"/>
                <w:sz w:val="18"/>
                <w:szCs w:val="18"/>
                <w:color w:val="auto"/>
              </w:rPr>
              <w:t>Repayment of short term borrowings</w:t>
            </w:r>
          </w:p>
        </w:tc>
        <w:tc>
          <w:tcPr>
            <w:tcW w:w="100" w:type="dxa"/>
            <w:vAlign w:val="bottom"/>
          </w:tcPr>
          <w:p>
            <w:pPr>
              <w:spacing w:after="0"/>
              <w:rPr>
                <w:sz w:val="18"/>
                <w:szCs w:val="18"/>
                <w:color w:val="auto"/>
              </w:rPr>
            </w:pP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(950,000)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right"/>
              <w:ind w:right="80"/>
              <w:spacing w:after="0"/>
              <w:rPr>
                <w:sz w:val="20"/>
                <w:szCs w:val="20"/>
                <w:color w:val="auto"/>
              </w:rPr>
            </w:pPr>
            <w:r>
              <w:rPr>
                <w:rFonts w:ascii="Arial" w:cs="Arial" w:eastAsia="Arial" w:hAnsi="Arial"/>
                <w:sz w:val="18"/>
                <w:szCs w:val="18"/>
                <w:color w:val="auto"/>
              </w:rPr>
              <w:t>(570,000)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FFCC"/>
          </w:tcPr>
          <w:p>
            <w:pPr>
              <w:ind w:left="320"/>
              <w:spacing w:after="0"/>
              <w:rPr>
                <w:sz w:val="20"/>
                <w:szCs w:val="20"/>
                <w:color w:val="auto"/>
              </w:rPr>
            </w:pPr>
            <w:r>
              <w:rPr>
                <w:rFonts w:ascii="Arial" w:cs="Arial" w:eastAsia="Arial" w:hAnsi="Arial"/>
                <w:sz w:val="18"/>
                <w:szCs w:val="18"/>
                <w:color w:val="auto"/>
              </w:rPr>
              <w:t>Repayment of convertible debenture</w:t>
            </w:r>
          </w:p>
        </w:tc>
        <w:tc>
          <w:tcPr>
            <w:tcW w:w="100" w:type="dxa"/>
            <w:vAlign w:val="bottom"/>
            <w:shd w:val="clear" w:color="auto" w:fill="CCFFCC"/>
          </w:tcPr>
          <w:p>
            <w:pPr>
              <w:spacing w:after="0"/>
              <w:rPr>
                <w:sz w:val="18"/>
                <w:szCs w:val="18"/>
                <w:color w:val="auto"/>
              </w:rPr>
            </w:pPr>
          </w:p>
        </w:tc>
        <w:tc>
          <w:tcPr>
            <w:tcW w:w="15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(1,500,000)</w:t>
            </w:r>
          </w:p>
        </w:tc>
        <w:tc>
          <w:tcPr>
            <w:tcW w:w="1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5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320"/>
              <w:spacing w:after="0"/>
              <w:rPr>
                <w:sz w:val="20"/>
                <w:szCs w:val="20"/>
                <w:color w:val="auto"/>
              </w:rPr>
            </w:pPr>
            <w:r>
              <w:rPr>
                <w:rFonts w:ascii="Arial" w:cs="Arial" w:eastAsia="Arial" w:hAnsi="Arial"/>
                <w:sz w:val="18"/>
                <w:szCs w:val="18"/>
                <w:color w:val="auto"/>
              </w:rPr>
              <w:t>Proceeds from issuance (repayment) of revolving note, net</w:t>
            </w:r>
          </w:p>
        </w:tc>
        <w:tc>
          <w:tcPr>
            <w:tcW w:w="100" w:type="dxa"/>
            <w:vAlign w:val="bottom"/>
          </w:tcPr>
          <w:p>
            <w:pPr>
              <w:spacing w:after="0"/>
              <w:rPr>
                <w:sz w:val="18"/>
                <w:szCs w:val="18"/>
                <w:color w:val="auto"/>
              </w:rPr>
            </w:pP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(1,419,263)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216,063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FFCC"/>
          </w:tcPr>
          <w:p>
            <w:pPr>
              <w:ind w:left="320"/>
              <w:spacing w:after="0"/>
              <w:rPr>
                <w:sz w:val="20"/>
                <w:szCs w:val="20"/>
                <w:color w:val="auto"/>
              </w:rPr>
            </w:pPr>
            <w:r>
              <w:rPr>
                <w:rFonts w:ascii="Arial" w:cs="Arial" w:eastAsia="Arial" w:hAnsi="Arial"/>
                <w:sz w:val="18"/>
                <w:szCs w:val="18"/>
                <w:color w:val="auto"/>
              </w:rPr>
              <w:t>Debt issuance costs</w:t>
            </w:r>
          </w:p>
        </w:tc>
        <w:tc>
          <w:tcPr>
            <w:tcW w:w="100" w:type="dxa"/>
            <w:vAlign w:val="bottom"/>
            <w:shd w:val="clear" w:color="auto" w:fill="CCFFCC"/>
          </w:tcPr>
          <w:p>
            <w:pPr>
              <w:spacing w:after="0"/>
              <w:rPr>
                <w:sz w:val="18"/>
                <w:szCs w:val="18"/>
                <w:color w:val="auto"/>
              </w:rPr>
            </w:pPr>
          </w:p>
        </w:tc>
        <w:tc>
          <w:tcPr>
            <w:tcW w:w="15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(47,630)</w:t>
            </w:r>
          </w:p>
        </w:tc>
        <w:tc>
          <w:tcPr>
            <w:tcW w:w="1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52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(132,373)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020" w:type="dxa"/>
            <w:vAlign w:val="bottom"/>
            <w:shd w:val="clear" w:color="auto" w:fill="CCFFCC"/>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380" w:type="dxa"/>
            <w:vAlign w:val="bottom"/>
            <w:shd w:val="clear" w:color="auto" w:fill="000000"/>
          </w:tcPr>
          <w:p>
            <w:pPr>
              <w:spacing w:after="0"/>
              <w:rPr>
                <w:sz w:val="2"/>
                <w:szCs w:val="2"/>
                <w:color w:val="auto"/>
              </w:rPr>
            </w:pPr>
          </w:p>
        </w:tc>
        <w:tc>
          <w:tcPr>
            <w:tcW w:w="160" w:type="dxa"/>
            <w:vAlign w:val="bottom"/>
            <w:shd w:val="clear" w:color="auto" w:fill="CCFFCC"/>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380" w:type="dxa"/>
            <w:vAlign w:val="bottom"/>
            <w:shd w:val="clear" w:color="auto" w:fill="000000"/>
          </w:tcPr>
          <w:p>
            <w:pPr>
              <w:spacing w:after="0"/>
              <w:rPr>
                <w:sz w:val="2"/>
                <w:szCs w:val="2"/>
                <w:color w:val="auto"/>
              </w:rPr>
            </w:pPr>
          </w:p>
        </w:tc>
        <w:tc>
          <w:tcPr>
            <w:tcW w:w="14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8020" w:type="dxa"/>
            <w:vAlign w:val="bottom"/>
          </w:tcPr>
          <w:p>
            <w:pPr>
              <w:ind w:left="320"/>
              <w:spacing w:after="0"/>
              <w:rPr>
                <w:sz w:val="20"/>
                <w:szCs w:val="20"/>
                <w:color w:val="auto"/>
              </w:rPr>
            </w:pPr>
            <w:r>
              <w:rPr>
                <w:rFonts w:ascii="Arial" w:cs="Arial" w:eastAsia="Arial" w:hAnsi="Arial"/>
                <w:sz w:val="18"/>
                <w:szCs w:val="18"/>
                <w:color w:val="auto"/>
              </w:rPr>
              <w:t>Net cash (used in) provided by financing activities</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1,083,107</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20" w:type="dxa"/>
            <w:vAlign w:val="bottom"/>
            <w:gridSpan w:val="2"/>
          </w:tcPr>
          <w:p>
            <w:pPr>
              <w:jc w:val="right"/>
              <w:ind w:right="80"/>
              <w:spacing w:after="0"/>
              <w:rPr>
                <w:sz w:val="20"/>
                <w:szCs w:val="20"/>
                <w:color w:val="auto"/>
              </w:rPr>
            </w:pPr>
            <w:r>
              <w:rPr>
                <w:rFonts w:ascii="Arial" w:cs="Arial" w:eastAsia="Arial" w:hAnsi="Arial"/>
                <w:sz w:val="18"/>
                <w:szCs w:val="18"/>
                <w:color w:val="auto"/>
              </w:rPr>
              <w:t>(486,310)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020" w:type="dxa"/>
            <w:vAlign w:val="bottom"/>
            <w:shd w:val="clear" w:color="auto" w:fill="CCFFCC"/>
          </w:tcPr>
          <w:p>
            <w:pPr>
              <w:spacing w:after="0"/>
              <w:rPr>
                <w:sz w:val="18"/>
                <w:szCs w:val="18"/>
                <w:color w:val="auto"/>
              </w:rPr>
            </w:pPr>
          </w:p>
        </w:tc>
        <w:tc>
          <w:tcPr>
            <w:tcW w:w="100" w:type="dxa"/>
            <w:vAlign w:val="bottom"/>
            <w:tcBorders>
              <w:top w:val="single" w:sz="8" w:color="auto"/>
            </w:tcBorders>
            <w:shd w:val="clear" w:color="auto" w:fill="CCFFCC"/>
          </w:tcPr>
          <w:p>
            <w:pPr>
              <w:spacing w:after="0"/>
              <w:rPr>
                <w:sz w:val="18"/>
                <w:szCs w:val="18"/>
                <w:color w:val="auto"/>
              </w:rPr>
            </w:pPr>
          </w:p>
        </w:tc>
        <w:tc>
          <w:tcPr>
            <w:tcW w:w="1380" w:type="dxa"/>
            <w:vAlign w:val="bottom"/>
            <w:tcBorders>
              <w:top w:val="single" w:sz="8" w:color="auto"/>
            </w:tcBorders>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0" w:type="dxa"/>
            <w:vAlign w:val="bottom"/>
            <w:tcBorders>
              <w:top w:val="single" w:sz="8" w:color="auto"/>
            </w:tcBorders>
            <w:shd w:val="clear" w:color="auto" w:fill="CCFFCC"/>
          </w:tcPr>
          <w:p>
            <w:pPr>
              <w:spacing w:after="0"/>
              <w:rPr>
                <w:sz w:val="18"/>
                <w:szCs w:val="18"/>
                <w:color w:val="auto"/>
              </w:rPr>
            </w:pPr>
          </w:p>
        </w:tc>
        <w:tc>
          <w:tcPr>
            <w:tcW w:w="1380" w:type="dxa"/>
            <w:vAlign w:val="bottom"/>
            <w:tcBorders>
              <w:top w:val="single" w:sz="8" w:color="auto"/>
            </w:tcBorders>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20" w:type="dxa"/>
            <w:vAlign w:val="bottom"/>
          </w:tcPr>
          <w:p>
            <w:pPr>
              <w:spacing w:after="0"/>
              <w:rPr>
                <w:sz w:val="20"/>
                <w:szCs w:val="20"/>
                <w:color w:val="auto"/>
              </w:rPr>
            </w:pPr>
            <w:r>
              <w:rPr>
                <w:rFonts w:ascii="Arial" w:cs="Arial" w:eastAsia="Arial" w:hAnsi="Arial"/>
                <w:sz w:val="18"/>
                <w:szCs w:val="18"/>
                <w:b w:val="1"/>
                <w:bCs w:val="1"/>
                <w:color w:val="auto"/>
              </w:rPr>
              <w:t>Net increase (decrease) in cash</w:t>
            </w:r>
          </w:p>
        </w:tc>
        <w:tc>
          <w:tcPr>
            <w:tcW w:w="1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418,962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right"/>
              <w:ind w:right="80"/>
              <w:spacing w:after="0"/>
              <w:rPr>
                <w:sz w:val="20"/>
                <w:szCs w:val="20"/>
                <w:color w:val="auto"/>
              </w:rPr>
            </w:pPr>
            <w:r>
              <w:rPr>
                <w:rFonts w:ascii="Arial" w:cs="Arial" w:eastAsia="Arial" w:hAnsi="Arial"/>
                <w:sz w:val="18"/>
                <w:szCs w:val="18"/>
                <w:color w:val="auto"/>
              </w:rPr>
              <w:t>(11,431)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Cash at beginning of period</w:t>
            </w:r>
          </w:p>
        </w:tc>
        <w:tc>
          <w:tcPr>
            <w:tcW w:w="100" w:type="dxa"/>
            <w:vAlign w:val="bottom"/>
            <w:shd w:val="clear" w:color="auto" w:fill="CCFFCC"/>
          </w:tcPr>
          <w:p>
            <w:pPr>
              <w:spacing w:after="0"/>
              <w:rPr>
                <w:sz w:val="19"/>
                <w:szCs w:val="19"/>
                <w:color w:val="auto"/>
              </w:rPr>
            </w:pPr>
          </w:p>
        </w:tc>
        <w:tc>
          <w:tcPr>
            <w:tcW w:w="13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74</w:t>
            </w:r>
          </w:p>
        </w:tc>
        <w:tc>
          <w:tcPr>
            <w:tcW w:w="160" w:type="dxa"/>
            <w:vAlign w:val="bottom"/>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c>
          <w:tcPr>
            <w:tcW w:w="120" w:type="dxa"/>
            <w:vAlign w:val="bottom"/>
            <w:shd w:val="clear" w:color="auto" w:fill="CCFFCC"/>
          </w:tcPr>
          <w:p>
            <w:pPr>
              <w:spacing w:after="0"/>
              <w:rPr>
                <w:sz w:val="19"/>
                <w:szCs w:val="19"/>
                <w:color w:val="auto"/>
              </w:rPr>
            </w:pPr>
          </w:p>
        </w:tc>
        <w:tc>
          <w:tcPr>
            <w:tcW w:w="15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15,270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020" w:type="dxa"/>
            <w:vAlign w:val="bottom"/>
            <w:tcBorders>
              <w:top w:val="single" w:sz="8" w:color="CCFFCC"/>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160" w:type="dxa"/>
            <w:vAlign w:val="bottom"/>
            <w:tcBorders>
              <w:top w:val="single" w:sz="8" w:color="CCFFCC"/>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140" w:type="dxa"/>
            <w:vAlign w:val="bottom"/>
            <w:tcBorders>
              <w:top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80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Cash at end of period</w:t>
            </w:r>
          </w:p>
        </w:tc>
        <w:tc>
          <w:tcPr>
            <w:tcW w:w="100" w:type="dxa"/>
            <w:vAlign w:val="bottom"/>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419,036</w:t>
            </w:r>
          </w:p>
        </w:tc>
        <w:tc>
          <w:tcPr>
            <w:tcW w:w="160" w:type="dxa"/>
            <w:vAlign w:val="bottom"/>
            <w:shd w:val="clear" w:color="auto" w:fill="CCFFCC"/>
          </w:tcPr>
          <w:p>
            <w:pPr>
              <w:spacing w:after="0"/>
              <w:rPr>
                <w:sz w:val="22"/>
                <w:szCs w:val="22"/>
                <w:color w:val="auto"/>
              </w:rPr>
            </w:pPr>
          </w:p>
        </w:tc>
        <w:tc>
          <w:tcPr>
            <w:tcW w:w="22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3,839</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020" w:type="dxa"/>
            <w:vAlign w:val="bottom"/>
            <w:tcBorders>
              <w:top w:val="single" w:sz="8" w:color="CCFFCC"/>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160" w:type="dxa"/>
            <w:vAlign w:val="bottom"/>
            <w:tcBorders>
              <w:top w:val="single" w:sz="8" w:color="CCFFCC"/>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140" w:type="dxa"/>
            <w:vAlign w:val="bottom"/>
            <w:tcBorders>
              <w:top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Supplemental cash flow information:</w:t>
            </w:r>
          </w:p>
        </w:tc>
        <w:tc>
          <w:tcPr>
            <w:tcW w:w="100" w:type="dxa"/>
            <w:vAlign w:val="bottom"/>
            <w:shd w:val="clear" w:color="auto" w:fill="CCFFCC"/>
          </w:tcPr>
          <w:p>
            <w:pPr>
              <w:spacing w:after="0"/>
              <w:rPr>
                <w:sz w:val="18"/>
                <w:szCs w:val="18"/>
                <w:color w:val="auto"/>
              </w:rPr>
            </w:pPr>
          </w:p>
        </w:tc>
        <w:tc>
          <w:tcPr>
            <w:tcW w:w="138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38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320"/>
              <w:spacing w:after="0"/>
              <w:rPr>
                <w:sz w:val="20"/>
                <w:szCs w:val="20"/>
                <w:color w:val="auto"/>
              </w:rPr>
            </w:pPr>
            <w:r>
              <w:rPr>
                <w:rFonts w:ascii="Arial" w:cs="Arial" w:eastAsia="Arial" w:hAnsi="Arial"/>
                <w:sz w:val="18"/>
                <w:szCs w:val="18"/>
                <w:color w:val="auto"/>
              </w:rPr>
              <w:t>Cash paid for interest</w:t>
            </w: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FFCC"/>
          </w:tcPr>
          <w:p>
            <w:pPr>
              <w:ind w:left="320"/>
              <w:spacing w:after="0"/>
              <w:rPr>
                <w:sz w:val="20"/>
                <w:szCs w:val="20"/>
                <w:color w:val="auto"/>
              </w:rPr>
            </w:pPr>
            <w:r>
              <w:rPr>
                <w:rFonts w:ascii="Arial" w:cs="Arial" w:eastAsia="Arial" w:hAnsi="Arial"/>
                <w:sz w:val="18"/>
                <w:szCs w:val="18"/>
                <w:color w:val="auto"/>
              </w:rPr>
              <w:t>Continuing operations</w:t>
            </w:r>
          </w:p>
        </w:tc>
        <w:tc>
          <w:tcPr>
            <w:tcW w:w="100" w:type="dxa"/>
            <w:vAlign w:val="bottom"/>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57,000</w:t>
            </w:r>
          </w:p>
        </w:tc>
        <w:tc>
          <w:tcPr>
            <w:tcW w:w="160" w:type="dxa"/>
            <w:vAlign w:val="bottom"/>
            <w:shd w:val="clear" w:color="auto" w:fill="CCFFCC"/>
          </w:tcPr>
          <w:p>
            <w:pPr>
              <w:spacing w:after="0"/>
              <w:rPr>
                <w:sz w:val="18"/>
                <w:szCs w:val="18"/>
                <w:color w:val="auto"/>
              </w:rPr>
            </w:pPr>
          </w:p>
        </w:tc>
        <w:tc>
          <w:tcPr>
            <w:tcW w:w="22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65,000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320"/>
              <w:spacing w:after="0"/>
              <w:rPr>
                <w:sz w:val="20"/>
                <w:szCs w:val="20"/>
                <w:color w:val="auto"/>
              </w:rPr>
            </w:pPr>
            <w:r>
              <w:rPr>
                <w:rFonts w:ascii="Arial" w:cs="Arial" w:eastAsia="Arial" w:hAnsi="Arial"/>
                <w:sz w:val="18"/>
                <w:szCs w:val="18"/>
                <w:color w:val="auto"/>
              </w:rPr>
              <w:t>Discontinued operations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23,000</w:t>
            </w:r>
          </w:p>
        </w:tc>
        <w:tc>
          <w:tcPr>
            <w:tcW w:w="160" w:type="dxa"/>
            <w:vAlign w:val="bottom"/>
          </w:tcPr>
          <w:p>
            <w:pPr>
              <w:spacing w:after="0"/>
              <w:rPr>
                <w:sz w:val="18"/>
                <w:szCs w:val="18"/>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9,000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0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interim condensed consolidated financial statements.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NETFABRIC HOLDINGS INC. AND SUBSIDIARIES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INTERIM CONDENSED CONSOLIDATED FINANCIAL STATEMENTS (UNAUDITED)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NATURE OF BUSINESS AND MANAGEMENT'S PLANS</w:t>
      </w:r>
    </w:p>
    <w:p>
      <w:pPr>
        <w:spacing w:after="0" w:line="256"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NetFabric Holdings, Inc. ("Holdings" or the "Company") was incorporated under the laws of the State of Delaware on August 31, 1989. The Company has two wholly-owned subsidiaries, NetFabric Corporation (“NetFabric”) which is inactive and UCA Services, Inc (“UCA”), which was sold in 2009.</w:t>
      </w:r>
    </w:p>
    <w:p>
      <w:pPr>
        <w:spacing w:after="0" w:line="17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May 20, 2005 Holdings acquired UCA Services, Inc. UCA, a New Jersey company, is an information technology ("IT") services company that serves the information and communications needs of a wide range of Fortune 500 and small to mid-size business clients in the financial markets industry as well as the pharmaceutical, health care and hospitality sectors. UCA delivers a broad range of IT services in the practice areas of infrastructure builds and maintenance, managed services and professional services.</w:t>
      </w:r>
    </w:p>
    <w:p>
      <w:pPr>
        <w:spacing w:after="0" w:line="21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Effective August 24, 2009, pursuant to a Memorandum of Understanding, the Company sold UCA to Fortify Infrastructure Services, Inc. (“Fortify”) for $5,850,000 consisting of $5,000,000 in cash, resulting from the cancellation of a $5,000,000 note previously issued to Fortify by UCA on March 12, 2009, and a receivable of $850,000, which was paid in May 2010. The Memorandum of Understanding referred to above was signed on April 27, 2010 and amended the terms of previous agreements dated March 12, 2009 and August 24, 2009 between UCA and Fortify.</w:t>
      </w:r>
    </w:p>
    <w:p>
      <w:pPr>
        <w:spacing w:after="0" w:line="19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operations of UCA are reflected in the financial statements as discontinued operations. The 2008 financial statements have been retrospectively adjusted to reflect the operations of UCA as discontinued operations. Previously they were reflected in the 2008 financial statements as part of continuing operations (Note 4).</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plans</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discussed above, the Company sold UCA to Fortify for $5,850,000. Out of proceeds from the transaction, the Company repaid all of its debt. After the sale, the Company does not have any operations. However, the Company will be debt free. The Company intends to explore strategic alternatives including merger with another entity. Currently, the Company does not have any agreement or understanding with any entity and there is no assurance that such a transaction will ever be consummated. The Company believes that it will be able to meet its cash requirements throughout fiscal 2010 and continue its business development efforts.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BASIS OF PRESENTATION</w:t>
      </w:r>
    </w:p>
    <w:p>
      <w:pPr>
        <w:spacing w:after="0" w:line="25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accompanying unaudited condensed consolidated interim financial statements have been prepared pursuant to the rules and regulations of the Securities and Exchange Commission ("SEC"), except for the condensed consolidated balance sheet as of December 31, 2008, which was derived from audited financial statements. Certain information and footnote disclosures normally included in financial statements prepared in accordance with generally accepted accounting principles in the United States of America have been omitted pursuant to such rules and regulations. However the Company believes that the disclosures are adequate to make the information presented not misleading. The financial statements reflect all adjustments (consisting only of normal recurring adjustments) that are, in the opinion of management, necessary for a fair presentation of the Company's financial position and results of operations.</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6" w:name="page7"/>
    <w:bookmarkEnd w:id="6"/>
    <w:p>
      <w:pPr>
        <w:jc w:val="both"/>
        <w:spacing w:after="0" w:line="259" w:lineRule="auto"/>
        <w:rPr>
          <w:sz w:val="20"/>
          <w:szCs w:val="20"/>
          <w:color w:val="auto"/>
        </w:rPr>
      </w:pPr>
      <w:r>
        <w:rPr>
          <w:rFonts w:ascii="Arial" w:cs="Arial" w:eastAsia="Arial" w:hAnsi="Arial"/>
          <w:sz w:val="18"/>
          <w:szCs w:val="18"/>
          <w:color w:val="auto"/>
        </w:rPr>
        <w:t>The operating results for the three months ended March 31, 2009 and, 2008 are not necessarily indicative of the results to be expected for any other interim period or any future year. The accompanying unaudited condensed consolidated interim financial statements should be read in conjunction with the Company's December 31, 2008 consolidated financial statements and related notes contained in the Company's Annual Report on Form 10-K for the year ended December 31, 2008.</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consolidated financial statements have been prepared in conformity with accounting principles generally accepted in the United States of America. In preparing the financial statements, management is required to make estimates and assumptions that affect the reported amounts of assets and liabilities as of the date of the statements of financial condition and revenues and expenses for the period then ended. Actual results may differ significantly from those estimates.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financial instruments</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carrying amounts reported in the condensed consolidated balance sheet for cash, accounts payable and accrued expenses, and short term borrowings approximate their fair market value based on the short-term maturity of these instruments.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Earnings (Loss) Per Share</w:t>
      </w:r>
    </w:p>
    <w:p>
      <w:pPr>
        <w:spacing w:after="0" w:line="25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calculates earnings (loss) basic earnings (loss) per share by dividing the net income (loss) by the weighted average number of shares of common stock outstanding during the period. Diluted earnings (loss) per share is computed by dividing the net income (loss) by the weighted average number of shares of common stock outstanding during the period plus the effects of any dilutive securities. Diluted earnings (loss) per share considers the impact of potentially dilutive securities except in periods in which there is a loss because the inclusion of the potential common shares would have an anti-dilutive effect. The Company's potentially dilutive securities include common shares which may be issued upon exercise of its stock options, exercise of warrants or conversion of convertible debt.</w:t>
      </w:r>
    </w:p>
    <w:p>
      <w:pPr>
        <w:spacing w:after="0" w:line="22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Diluted loss per share for the three months ended March 31, 2009 and 2008 exclude potentially issuable common shares of approximately 9,106,867 and 14,468,856, respectively, primarily related to the Company's outstanding stock options, warrants and convertible debt, because the assumed issuance of such potential common shares is antidilutive.</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RECENT ACCOUNTING PRONOUNCEMENTS</w:t>
      </w:r>
    </w:p>
    <w:p>
      <w:pPr>
        <w:spacing w:after="0" w:line="25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June 2009, the FASB issued Statement of Financial Accounting Standards (“SFAS”) No. 168, The FASB Accounting Standards Codification and the Hierarchy of Generally Accepted Accounting Principles (the “Codification”). This standard replaces SFAS No. 162, The Hierarchy of Generally Accepted Accounting Principles, and establishes only two levels of U.S. generally accepted accounting principles (“GAAP”), authoritative and nonauthoritative. The FASB ASC has become the source of authoritative, nongovernmental GAAP, except for rules and interpretive releases of the SEC, which are sources of authoritative GAAP for SEC registrants. All other nongrandfathered, non-SEC accounting literature not included in the Codification will become nonauthoritative. This standard is effective for financial statements for interim or annual reporting periods ending after September 15, 2009. The adoption of the Codification changed the Company’s references to GAAP accounting standards but did not impact the Company’s results of operations, financial position or liquidity.</w:t>
      </w:r>
    </w:p>
    <w:p>
      <w:pPr>
        <w:spacing w:after="0" w:line="219"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In April 2009, the Company adopted a new accounting standard included in ASC 820, (formerly FSP 107-1 and Accounting Principles Board (“APB”) 28-1, Interim Disclosures about Fair Value of Financial Instruments). The new standard requires disclosures of the fair value of financial instruments for interim reporting periods of publicly traded companies in addition to the annual disclosure required at year-end.</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7" w:name="page8"/>
    <w:bookmarkEnd w:id="7"/>
    <w:p>
      <w:pPr>
        <w:jc w:val="both"/>
        <w:spacing w:after="0" w:line="277" w:lineRule="auto"/>
        <w:rPr>
          <w:sz w:val="20"/>
          <w:szCs w:val="20"/>
          <w:color w:val="auto"/>
        </w:rPr>
      </w:pPr>
      <w:r>
        <w:rPr>
          <w:rFonts w:ascii="Arial" w:cs="Arial" w:eastAsia="Arial" w:hAnsi="Arial"/>
          <w:sz w:val="18"/>
          <w:szCs w:val="18"/>
          <w:color w:val="auto"/>
        </w:rPr>
        <w:t>The provisions of the new standard were effective for the interim periods ending after June 15, 2009. The Company’s adoption of this new accounting standard did not have a material effect on the Company’s consolidated financial statements.</w:t>
      </w:r>
    </w:p>
    <w:p>
      <w:pPr>
        <w:spacing w:after="0" w:line="19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May 2009, the FASB issued new guidance for subsequent events. The new guidance, which is part of ASC 855, Subsequent Events (formerly SFAS No. 165, Subsequent Events) is intended to establish general standards of accounting for and disclosure of events that occur after the balance sheet date but before financial statements are issued or are available to be issued. Specifically, this guidance sets forth the period after the balance sheet date during which management of a reporting entity should evaluate events or transactions that may occur for potential recognition or disclosure in the financial statements, the circumstances under which an entity should recognize events or transactions occurring after the balance sheet date in its financial statements, and the disclosures that an entity should make about events or transactions that occurred after the balance sheet date. The new guidance is effective for fiscal years and interim periods ended after June 15, 2009 and will be applied prospectively. The Company’s adoption of the new guidance did not have a material effect on the Company’s consolidated financial statements. The Company evaluated subsequent events through the date the accompanying financial statements were issued.</w:t>
      </w:r>
    </w:p>
    <w:p>
      <w:pPr>
        <w:spacing w:after="0" w:line="2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Other accounting standards that have been issued or proposed by the FASB or other standards-setting bodies that do not require adoption until a future date are not expected to have a material impact on the consolidated financial statements upon adoption.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DISCONTINUED OPERATIONS</w:t>
      </w:r>
    </w:p>
    <w:p>
      <w:pPr>
        <w:spacing w:after="0" w:line="25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On March 12, 2009, the Company, along with its wholly owned subsidiary, UCA entered into a Convertible Note Purchase Agreement dated March 12, 2009 with Fortify Infrastructure Services, Inc. (“Fortify”). Pursuant to the Convertible Note Purchase Agreement, Fortify purchased a Secured Convertible Promissory Note (the “Note”) from UCA in the principal amount of $5 million with the Company being a guarantor for UCA’s borrowings.</w:t>
      </w:r>
    </w:p>
    <w:p>
      <w:pPr>
        <w:spacing w:after="0" w:line="19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Note had a six-month term, and with interest at 8% per annum, compounded annually. The Note was secured by (i) all of the assets of UCA and the Company and (ii) all of the equity securities of UCA then owned or thereafter acquired by the Company. At the exclusive option of Fortify, Fortify may convert the entire principal amount of and accrued and unpaid interest on the Note into shares of Series A Preferred Stock of UCA. The conversion price shall be at a price equal to the price per share reflecting a valuation of UCA equal to $5 million, on an as-converted basis.</w:t>
      </w:r>
    </w:p>
    <w:p>
      <w:pPr>
        <w:spacing w:after="0" w:line="19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Fortify, UCA and the Company also entered into an Option and Purchase Agreement (“Option Agreement”). Pursuant to the Option Agreement, Fortify has an option to acquire all of the outstanding shares of common stock of UCA. Upon effectiveness of the Company’s Definitive Schedule 14 C Information Statement to be filed with the Securities and Exchange Commission (the “SEC”) in connection with certain actions taken by the written consent of holders of a majority of the Company’s outstanding common stock approving the terms of the Option Agreement, Fortify will exercise the option. Upon exercise of the Option, the Company will be released from the guaranty obligations of the Note. Fortify will pay the Company $500,000 (“Fixed Payment”) one year from the date the option is exercised. In addition, Fortify will pay additional amounts to the Company (up to a maximum of $500,000) and certain employees of UCA based on UCA’s performance during the periods specified in the Option Agreement (“Performance Payment”).</w:t>
      </w:r>
    </w:p>
    <w:p>
      <w:pPr>
        <w:spacing w:after="0" w:line="19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holders of a majority of the Company’s outstanding common stock had previously approved the terms of the Option Agreement by a written consent as detailed in the Company’s Definitive Schedule 14 C Information Statement filed with SEC on July 9, 2009.</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used approximately $3 million from the proceeds of the Note to repay all amounts owed to Laurus Master Fund. The balance of the proceeds was be used for repayment of debt, other payables and for working capital purposes.</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8" w:name="page9"/>
    <w:bookmarkEnd w:id="8"/>
    <w:p>
      <w:pPr>
        <w:jc w:val="both"/>
        <w:spacing w:after="0" w:line="273" w:lineRule="auto"/>
        <w:rPr>
          <w:sz w:val="20"/>
          <w:szCs w:val="20"/>
          <w:color w:val="auto"/>
        </w:rPr>
      </w:pPr>
      <w:r>
        <w:rPr>
          <w:rFonts w:ascii="Arial" w:cs="Arial" w:eastAsia="Arial" w:hAnsi="Arial"/>
          <w:sz w:val="17"/>
          <w:szCs w:val="17"/>
          <w:color w:val="auto"/>
        </w:rPr>
        <w:t>On August 24, 2009, the Company along with its wholly-owned subsidiary, UCA and Fortify entered into Amendment No. 1 (“Amendment”) to the Option and Purchase Agreement (“Option Agreement”) in connection with the closing of Fortify’s purchase of all of the outstanding capital stock of UCA upon exercise of its option granted under the Option Agreement. Pursuant to the Amendment, among other things, the Secured Convertible Promissory Note in the principal amount of $5 million (including the related accrued interest) issued by UCA to Fortify was cancelled, releases of certain obligations of the parties were granted as specified in the Amendment, and the commencement date and measurement period for the earn-out and bonuses provided for in the Option Agreement were modified. Effective August 24, 2009, the Company transferred its ownership interest in UCA to Fortify.</w:t>
      </w:r>
    </w:p>
    <w:p>
      <w:pPr>
        <w:spacing w:after="0" w:line="20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On April 27, 2010, the Company entered into a Memorandum of Understanding (“MOU”) with Fortify and amended the Fixed Payment and Performance Payment previously agreed by them. Pursuant to Fortify agreeing to pay the amounts on accelerated basis unconditionally, the Company agreed to accept $850,000 in aggregate as the full settlement of Fixed Payment and Performance payments. This amount was received by the Company in May 2010.</w:t>
      </w:r>
    </w:p>
    <w:p>
      <w:pPr>
        <w:spacing w:after="0" w:line="17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accordance with FASB ASC 205-20-45-1 “Presentation of Financial Statements-Discontinued Operations-Other Presentation Matters” the Company has presented the results of UCA operations as discontinued operations in the accompanying consolidated balance sheets, statement of operations and statement of cash flows.</w:t>
      </w:r>
    </w:p>
    <w:p>
      <w:pPr>
        <w:spacing w:after="0" w:line="208" w:lineRule="exact"/>
        <w:rPr>
          <w:sz w:val="20"/>
          <w:szCs w:val="20"/>
          <w:color w:val="auto"/>
        </w:rPr>
      </w:pPr>
    </w:p>
    <w:p>
      <w:pPr>
        <w:ind w:left="340" w:right="60"/>
        <w:spacing w:after="0" w:line="277" w:lineRule="auto"/>
        <w:rPr>
          <w:sz w:val="20"/>
          <w:szCs w:val="20"/>
          <w:color w:val="auto"/>
        </w:rPr>
      </w:pPr>
      <w:r>
        <w:rPr>
          <w:rFonts w:ascii="Arial" w:cs="Arial" w:eastAsia="Arial" w:hAnsi="Arial"/>
          <w:sz w:val="18"/>
          <w:szCs w:val="18"/>
          <w:color w:val="auto"/>
        </w:rPr>
        <w:t>The following table sets forth the carrying amounts of the major classes of assets and liabilities aggregated in discontinued operations in the consolidated balance sheet were as follows: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ind w:left="20"/>
              <w:spacing w:after="0"/>
              <w:rPr>
                <w:sz w:val="20"/>
                <w:szCs w:val="20"/>
                <w:color w:val="auto"/>
              </w:rPr>
            </w:pPr>
            <w:r>
              <w:rPr>
                <w:rFonts w:ascii="Arial" w:cs="Arial" w:eastAsia="Arial" w:hAnsi="Arial"/>
                <w:sz w:val="18"/>
                <w:szCs w:val="18"/>
                <w:b w:val="1"/>
                <w:bCs w:val="1"/>
                <w:color w:val="auto"/>
              </w:rPr>
              <w:t>March 31,</w:t>
            </w:r>
          </w:p>
        </w:tc>
        <w:tc>
          <w:tcPr>
            <w:tcW w:w="1240" w:type="dxa"/>
            <w:vAlign w:val="bottom"/>
            <w:gridSpan w:val="4"/>
          </w:tcPr>
          <w:p>
            <w:pPr>
              <w:ind w:left="100"/>
              <w:spacing w:after="0"/>
              <w:rPr>
                <w:sz w:val="20"/>
                <w:szCs w:val="20"/>
                <w:color w:val="auto"/>
              </w:rPr>
            </w:pPr>
            <w:r>
              <w:rPr>
                <w:rFonts w:ascii="Arial" w:cs="Arial" w:eastAsia="Arial" w:hAnsi="Arial"/>
                <w:sz w:val="18"/>
                <w:szCs w:val="18"/>
                <w:b w:val="1"/>
                <w:bCs w:val="1"/>
                <w:color w:val="auto"/>
                <w:w w:val="95"/>
              </w:rPr>
              <w:t>December 31,</w:t>
            </w:r>
          </w:p>
        </w:tc>
        <w:tc>
          <w:tcPr>
            <w:tcW w:w="560" w:type="dxa"/>
            <w:vAlign w:val="bottom"/>
          </w:tcPr>
          <w:p>
            <w:pPr>
              <w:spacing w:after="0"/>
              <w:rPr>
                <w:sz w:val="18"/>
                <w:szCs w:val="18"/>
                <w:color w:val="auto"/>
              </w:rPr>
            </w:pPr>
          </w:p>
        </w:tc>
      </w:tr>
      <w:tr>
        <w:trPr>
          <w:trHeight w:val="241"/>
        </w:trPr>
        <w:tc>
          <w:tcPr>
            <w:tcW w:w="340" w:type="dxa"/>
            <w:vAlign w:val="bottom"/>
          </w:tcPr>
          <w:p>
            <w:pPr>
              <w:spacing w:after="0"/>
              <w:rPr>
                <w:sz w:val="20"/>
                <w:szCs w:val="20"/>
                <w:color w:val="auto"/>
              </w:rPr>
            </w:pPr>
          </w:p>
        </w:tc>
        <w:tc>
          <w:tcPr>
            <w:tcW w:w="4280" w:type="dxa"/>
            <w:vAlign w:val="bottom"/>
          </w:tcPr>
          <w:p>
            <w:pPr>
              <w:spacing w:after="0"/>
              <w:rPr>
                <w:sz w:val="20"/>
                <w:szCs w:val="20"/>
                <w:color w:val="auto"/>
              </w:rPr>
            </w:pPr>
          </w:p>
        </w:tc>
        <w:tc>
          <w:tcPr>
            <w:tcW w:w="38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2008</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16"/>
        </w:trPr>
        <w:tc>
          <w:tcPr>
            <w:tcW w:w="340" w:type="dxa"/>
            <w:vAlign w:val="bottom"/>
          </w:tcPr>
          <w:p>
            <w:pPr>
              <w:spacing w:after="0"/>
              <w:rPr>
                <w:sz w:val="18"/>
                <w:szCs w:val="18"/>
                <w:color w:val="auto"/>
              </w:rPr>
            </w:pPr>
          </w:p>
        </w:tc>
        <w:tc>
          <w:tcPr>
            <w:tcW w:w="4280" w:type="dxa"/>
            <w:vAlign w:val="bottom"/>
            <w:shd w:val="clear" w:color="auto" w:fill="CCFFCC"/>
          </w:tcPr>
          <w:p>
            <w:pPr>
              <w:spacing w:after="0"/>
              <w:rPr>
                <w:sz w:val="20"/>
                <w:szCs w:val="20"/>
                <w:color w:val="auto"/>
              </w:rPr>
            </w:pPr>
            <w:r>
              <w:rPr>
                <w:rFonts w:ascii="Arial" w:cs="Arial" w:eastAsia="Arial" w:hAnsi="Arial"/>
                <w:sz w:val="18"/>
                <w:szCs w:val="18"/>
                <w:color w:val="auto"/>
              </w:rPr>
              <w:t>Cash</w:t>
            </w:r>
          </w:p>
        </w:tc>
        <w:tc>
          <w:tcPr>
            <w:tcW w:w="394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76,578</w:t>
            </w:r>
          </w:p>
        </w:tc>
        <w:tc>
          <w:tcPr>
            <w:tcW w:w="300" w:type="dxa"/>
            <w:vAlign w:val="bottom"/>
            <w:gridSpan w:val="2"/>
            <w:shd w:val="clear" w:color="auto" w:fill="CCFFCC"/>
          </w:tcPr>
          <w:p>
            <w:pPr>
              <w:ind w:left="10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1,317,436</w:t>
            </w:r>
          </w:p>
        </w:tc>
        <w:tc>
          <w:tcPr>
            <w:tcW w:w="100" w:type="dxa"/>
            <w:vAlign w:val="bottom"/>
            <w:shd w:val="clear" w:color="auto" w:fill="CCFFCC"/>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Trade Receivable, net</w:t>
            </w:r>
          </w:p>
        </w:tc>
        <w:tc>
          <w:tcPr>
            <w:tcW w:w="3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2,709,548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3,008,934</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23"/>
        </w:trPr>
        <w:tc>
          <w:tcPr>
            <w:tcW w:w="340" w:type="dxa"/>
            <w:vAlign w:val="bottom"/>
          </w:tcPr>
          <w:p>
            <w:pPr>
              <w:spacing w:after="0"/>
              <w:rPr>
                <w:sz w:val="19"/>
                <w:szCs w:val="19"/>
                <w:color w:val="auto"/>
              </w:rPr>
            </w:pPr>
          </w:p>
        </w:tc>
        <w:tc>
          <w:tcPr>
            <w:tcW w:w="428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Prepaid expenses and other current assets</w:t>
            </w:r>
          </w:p>
        </w:tc>
        <w:tc>
          <w:tcPr>
            <w:tcW w:w="3820" w:type="dxa"/>
            <w:vAlign w:val="bottom"/>
            <w:tcBorders>
              <w:bottom w:val="single" w:sz="8" w:color="CCFFCC"/>
            </w:tcBorders>
            <w:shd w:val="clear" w:color="auto" w:fill="CCFFCC"/>
          </w:tcPr>
          <w:p>
            <w:pPr>
              <w:spacing w:after="0"/>
              <w:rPr>
                <w:sz w:val="19"/>
                <w:szCs w:val="19"/>
                <w:color w:val="auto"/>
              </w:rPr>
            </w:pPr>
          </w:p>
        </w:tc>
        <w:tc>
          <w:tcPr>
            <w:tcW w:w="120" w:type="dxa"/>
            <w:vAlign w:val="bottom"/>
            <w:tcBorders>
              <w:bottom w:val="single" w:sz="8" w:color="auto"/>
            </w:tcBorders>
            <w:shd w:val="clear" w:color="auto" w:fill="CCFFCC"/>
          </w:tcPr>
          <w:p>
            <w:pPr>
              <w:spacing w:after="0"/>
              <w:rPr>
                <w:sz w:val="19"/>
                <w:szCs w:val="19"/>
                <w:color w:val="auto"/>
              </w:rPr>
            </w:pPr>
          </w:p>
        </w:tc>
        <w:tc>
          <w:tcPr>
            <w:tcW w:w="9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141,073</w:t>
            </w:r>
          </w:p>
        </w:tc>
        <w:tc>
          <w:tcPr>
            <w:tcW w:w="100" w:type="dxa"/>
            <w:vAlign w:val="bottom"/>
            <w:tcBorders>
              <w:bottom w:val="single" w:sz="8" w:color="CCFFCC"/>
            </w:tcBorders>
            <w:shd w:val="clear" w:color="auto" w:fill="CCFFCC"/>
          </w:tcPr>
          <w:p>
            <w:pPr>
              <w:spacing w:after="0"/>
              <w:rPr>
                <w:sz w:val="19"/>
                <w:szCs w:val="19"/>
                <w:color w:val="auto"/>
              </w:rPr>
            </w:pPr>
          </w:p>
        </w:tc>
        <w:tc>
          <w:tcPr>
            <w:tcW w:w="100" w:type="dxa"/>
            <w:vAlign w:val="bottom"/>
            <w:tcBorders>
              <w:bottom w:val="single" w:sz="8" w:color="CCFFCC"/>
            </w:tcBorders>
            <w:shd w:val="clear" w:color="auto" w:fill="CCFFCC"/>
          </w:tcPr>
          <w:p>
            <w:pPr>
              <w:spacing w:after="0"/>
              <w:rPr>
                <w:sz w:val="19"/>
                <w:szCs w:val="19"/>
                <w:color w:val="auto"/>
              </w:rPr>
            </w:pPr>
          </w:p>
        </w:tc>
        <w:tc>
          <w:tcPr>
            <w:tcW w:w="200" w:type="dxa"/>
            <w:vAlign w:val="bottom"/>
            <w:tcBorders>
              <w:bottom w:val="single" w:sz="8" w:color="auto"/>
            </w:tcBorders>
            <w:shd w:val="clear" w:color="auto" w:fill="CCFFCC"/>
          </w:tcPr>
          <w:p>
            <w:pPr>
              <w:spacing w:after="0"/>
              <w:rPr>
                <w:sz w:val="19"/>
                <w:szCs w:val="19"/>
                <w:color w:val="auto"/>
              </w:rPr>
            </w:pPr>
          </w:p>
        </w:tc>
        <w:tc>
          <w:tcPr>
            <w:tcW w:w="8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151,872</w:t>
            </w:r>
          </w:p>
        </w:tc>
        <w:tc>
          <w:tcPr>
            <w:tcW w:w="100" w:type="dxa"/>
            <w:vAlign w:val="bottom"/>
            <w:tcBorders>
              <w:bottom w:val="single" w:sz="8" w:color="CCFFCC"/>
            </w:tcBorders>
            <w:shd w:val="clear" w:color="auto" w:fill="CCFFCC"/>
          </w:tcPr>
          <w:p>
            <w:pPr>
              <w:spacing w:after="0"/>
              <w:rPr>
                <w:sz w:val="19"/>
                <w:szCs w:val="19"/>
                <w:color w:val="auto"/>
              </w:rPr>
            </w:pPr>
          </w:p>
        </w:tc>
        <w:tc>
          <w:tcPr>
            <w:tcW w:w="560" w:type="dxa"/>
            <w:vAlign w:val="bottom"/>
          </w:tcPr>
          <w:p>
            <w:pPr>
              <w:spacing w:after="0"/>
              <w:rPr>
                <w:sz w:val="19"/>
                <w:szCs w:val="19"/>
                <w:color w:val="auto"/>
              </w:rPr>
            </w:pPr>
          </w:p>
        </w:tc>
      </w:tr>
      <w:tr>
        <w:trPr>
          <w:trHeight w:val="216"/>
        </w:trPr>
        <w:tc>
          <w:tcPr>
            <w:tcW w:w="34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Current assets of discontinued operations</w:t>
            </w:r>
          </w:p>
        </w:tc>
        <w:tc>
          <w:tcPr>
            <w:tcW w:w="39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2,927,199</w:t>
            </w:r>
          </w:p>
        </w:tc>
        <w:tc>
          <w:tcPr>
            <w:tcW w:w="30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4,478,242</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
        </w:trPr>
        <w:tc>
          <w:tcPr>
            <w:tcW w:w="34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10"/>
        </w:trPr>
        <w:tc>
          <w:tcPr>
            <w:tcW w:w="340" w:type="dxa"/>
            <w:vAlign w:val="bottom"/>
          </w:tcPr>
          <w:p>
            <w:pPr>
              <w:spacing w:after="0"/>
              <w:rPr>
                <w:sz w:val="18"/>
                <w:szCs w:val="18"/>
                <w:color w:val="auto"/>
              </w:rPr>
            </w:pPr>
          </w:p>
        </w:tc>
        <w:tc>
          <w:tcPr>
            <w:tcW w:w="4280" w:type="dxa"/>
            <w:vAlign w:val="bottom"/>
            <w:shd w:val="clear" w:color="auto" w:fill="CCFFCC"/>
          </w:tcPr>
          <w:p>
            <w:pPr>
              <w:spacing w:after="0"/>
              <w:rPr>
                <w:sz w:val="18"/>
                <w:szCs w:val="18"/>
                <w:color w:val="auto"/>
              </w:rPr>
            </w:pPr>
          </w:p>
        </w:tc>
        <w:tc>
          <w:tcPr>
            <w:tcW w:w="38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9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8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39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108,383</w:t>
            </w:r>
          </w:p>
        </w:tc>
        <w:tc>
          <w:tcPr>
            <w:tcW w:w="30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114,991</w:t>
            </w:r>
          </w:p>
        </w:tc>
        <w:tc>
          <w:tcPr>
            <w:tcW w:w="5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280" w:type="dxa"/>
            <w:vAlign w:val="bottom"/>
            <w:shd w:val="clear" w:color="auto" w:fill="CCFFCC"/>
          </w:tcPr>
          <w:p>
            <w:pPr>
              <w:spacing w:after="0"/>
              <w:rPr>
                <w:sz w:val="20"/>
                <w:szCs w:val="20"/>
                <w:color w:val="auto"/>
              </w:rPr>
            </w:pPr>
            <w:r>
              <w:rPr>
                <w:rFonts w:ascii="Arial" w:cs="Arial" w:eastAsia="Arial" w:hAnsi="Arial"/>
                <w:sz w:val="18"/>
                <w:szCs w:val="18"/>
                <w:color w:val="auto"/>
              </w:rPr>
              <w:t>Goodwill</w:t>
            </w:r>
          </w:p>
        </w:tc>
        <w:tc>
          <w:tcPr>
            <w:tcW w:w="38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5,704,000</w:t>
            </w:r>
          </w:p>
        </w:tc>
        <w:tc>
          <w:tcPr>
            <w:tcW w:w="10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8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5,704,000</w:t>
            </w:r>
          </w:p>
        </w:tc>
        <w:tc>
          <w:tcPr>
            <w:tcW w:w="100" w:type="dxa"/>
            <w:vAlign w:val="bottom"/>
            <w:shd w:val="clear" w:color="auto" w:fill="CCFFCC"/>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Other intangibles, net</w:t>
            </w:r>
          </w:p>
        </w:tc>
        <w:tc>
          <w:tcPr>
            <w:tcW w:w="3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408,505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456,564</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23"/>
        </w:trPr>
        <w:tc>
          <w:tcPr>
            <w:tcW w:w="340" w:type="dxa"/>
            <w:vAlign w:val="bottom"/>
          </w:tcPr>
          <w:p>
            <w:pPr>
              <w:spacing w:after="0"/>
              <w:rPr>
                <w:sz w:val="19"/>
                <w:szCs w:val="19"/>
                <w:color w:val="auto"/>
              </w:rPr>
            </w:pPr>
          </w:p>
        </w:tc>
        <w:tc>
          <w:tcPr>
            <w:tcW w:w="428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Other assets</w:t>
            </w:r>
          </w:p>
        </w:tc>
        <w:tc>
          <w:tcPr>
            <w:tcW w:w="3820" w:type="dxa"/>
            <w:vAlign w:val="bottom"/>
            <w:tcBorders>
              <w:bottom w:val="single" w:sz="8" w:color="CCFFCC"/>
            </w:tcBorders>
            <w:shd w:val="clear" w:color="auto" w:fill="CCFFCC"/>
          </w:tcPr>
          <w:p>
            <w:pPr>
              <w:spacing w:after="0"/>
              <w:rPr>
                <w:sz w:val="19"/>
                <w:szCs w:val="19"/>
                <w:color w:val="auto"/>
              </w:rPr>
            </w:pPr>
          </w:p>
        </w:tc>
        <w:tc>
          <w:tcPr>
            <w:tcW w:w="120" w:type="dxa"/>
            <w:vAlign w:val="bottom"/>
            <w:tcBorders>
              <w:bottom w:val="single" w:sz="8" w:color="auto"/>
            </w:tcBorders>
            <w:shd w:val="clear" w:color="auto" w:fill="CCFFCC"/>
          </w:tcPr>
          <w:p>
            <w:pPr>
              <w:spacing w:after="0"/>
              <w:rPr>
                <w:sz w:val="19"/>
                <w:szCs w:val="19"/>
                <w:color w:val="auto"/>
              </w:rPr>
            </w:pPr>
          </w:p>
        </w:tc>
        <w:tc>
          <w:tcPr>
            <w:tcW w:w="9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22,921</w:t>
            </w:r>
          </w:p>
        </w:tc>
        <w:tc>
          <w:tcPr>
            <w:tcW w:w="100" w:type="dxa"/>
            <w:vAlign w:val="bottom"/>
            <w:tcBorders>
              <w:bottom w:val="single" w:sz="8" w:color="CCFFCC"/>
            </w:tcBorders>
            <w:shd w:val="clear" w:color="auto" w:fill="CCFFCC"/>
          </w:tcPr>
          <w:p>
            <w:pPr>
              <w:spacing w:after="0"/>
              <w:rPr>
                <w:sz w:val="19"/>
                <w:szCs w:val="19"/>
                <w:color w:val="auto"/>
              </w:rPr>
            </w:pPr>
          </w:p>
        </w:tc>
        <w:tc>
          <w:tcPr>
            <w:tcW w:w="100" w:type="dxa"/>
            <w:vAlign w:val="bottom"/>
            <w:tcBorders>
              <w:bottom w:val="single" w:sz="8" w:color="CCFFCC"/>
            </w:tcBorders>
            <w:shd w:val="clear" w:color="auto" w:fill="CCFFCC"/>
          </w:tcPr>
          <w:p>
            <w:pPr>
              <w:spacing w:after="0"/>
              <w:rPr>
                <w:sz w:val="19"/>
                <w:szCs w:val="19"/>
                <w:color w:val="auto"/>
              </w:rPr>
            </w:pPr>
          </w:p>
        </w:tc>
        <w:tc>
          <w:tcPr>
            <w:tcW w:w="200" w:type="dxa"/>
            <w:vAlign w:val="bottom"/>
            <w:tcBorders>
              <w:bottom w:val="single" w:sz="8" w:color="auto"/>
            </w:tcBorders>
            <w:shd w:val="clear" w:color="auto" w:fill="CCFFCC"/>
          </w:tcPr>
          <w:p>
            <w:pPr>
              <w:spacing w:after="0"/>
              <w:rPr>
                <w:sz w:val="19"/>
                <w:szCs w:val="19"/>
                <w:color w:val="auto"/>
              </w:rPr>
            </w:pPr>
          </w:p>
        </w:tc>
        <w:tc>
          <w:tcPr>
            <w:tcW w:w="8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22,921</w:t>
            </w:r>
          </w:p>
        </w:tc>
        <w:tc>
          <w:tcPr>
            <w:tcW w:w="100" w:type="dxa"/>
            <w:vAlign w:val="bottom"/>
            <w:tcBorders>
              <w:bottom w:val="single" w:sz="8" w:color="CCFFCC"/>
            </w:tcBorders>
            <w:shd w:val="clear" w:color="auto" w:fill="CCFFCC"/>
          </w:tcPr>
          <w:p>
            <w:pPr>
              <w:spacing w:after="0"/>
              <w:rPr>
                <w:sz w:val="19"/>
                <w:szCs w:val="19"/>
                <w:color w:val="auto"/>
              </w:rPr>
            </w:pPr>
          </w:p>
        </w:tc>
        <w:tc>
          <w:tcPr>
            <w:tcW w:w="560" w:type="dxa"/>
            <w:vAlign w:val="bottom"/>
          </w:tcPr>
          <w:p>
            <w:pPr>
              <w:spacing w:after="0"/>
              <w:rPr>
                <w:sz w:val="19"/>
                <w:szCs w:val="19"/>
                <w:color w:val="auto"/>
              </w:rPr>
            </w:pPr>
          </w:p>
        </w:tc>
      </w:tr>
      <w:tr>
        <w:trPr>
          <w:trHeight w:val="216"/>
        </w:trPr>
        <w:tc>
          <w:tcPr>
            <w:tcW w:w="34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Non current assets of discontinued operations</w:t>
            </w:r>
          </w:p>
        </w:tc>
        <w:tc>
          <w:tcPr>
            <w:tcW w:w="39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6,243,809</w:t>
            </w:r>
          </w:p>
        </w:tc>
        <w:tc>
          <w:tcPr>
            <w:tcW w:w="30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6,298,476</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
        </w:trPr>
        <w:tc>
          <w:tcPr>
            <w:tcW w:w="34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10"/>
        </w:trPr>
        <w:tc>
          <w:tcPr>
            <w:tcW w:w="340" w:type="dxa"/>
            <w:vAlign w:val="bottom"/>
          </w:tcPr>
          <w:p>
            <w:pPr>
              <w:spacing w:after="0"/>
              <w:rPr>
                <w:sz w:val="18"/>
                <w:szCs w:val="18"/>
                <w:color w:val="auto"/>
              </w:rPr>
            </w:pPr>
          </w:p>
        </w:tc>
        <w:tc>
          <w:tcPr>
            <w:tcW w:w="4280" w:type="dxa"/>
            <w:vAlign w:val="bottom"/>
            <w:shd w:val="clear" w:color="auto" w:fill="CCFFCC"/>
          </w:tcPr>
          <w:p>
            <w:pPr>
              <w:spacing w:after="0"/>
              <w:rPr>
                <w:sz w:val="18"/>
                <w:szCs w:val="18"/>
                <w:color w:val="auto"/>
              </w:rPr>
            </w:pPr>
          </w:p>
        </w:tc>
        <w:tc>
          <w:tcPr>
            <w:tcW w:w="38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9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8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Accounts payable and accrued expenses</w:t>
            </w:r>
          </w:p>
        </w:tc>
        <w:tc>
          <w:tcPr>
            <w:tcW w:w="39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2,748,269</w:t>
            </w:r>
          </w:p>
        </w:tc>
        <w:tc>
          <w:tcPr>
            <w:tcW w:w="30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3,714,572</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280" w:type="dxa"/>
            <w:vAlign w:val="bottom"/>
            <w:shd w:val="clear" w:color="auto" w:fill="CCFFCC"/>
          </w:tcPr>
          <w:p>
            <w:pPr>
              <w:spacing w:after="0"/>
              <w:rPr>
                <w:sz w:val="20"/>
                <w:szCs w:val="20"/>
                <w:color w:val="auto"/>
              </w:rPr>
            </w:pPr>
            <w:r>
              <w:rPr>
                <w:rFonts w:ascii="Arial" w:cs="Arial" w:eastAsia="Arial" w:hAnsi="Arial"/>
                <w:sz w:val="18"/>
                <w:szCs w:val="18"/>
                <w:color w:val="auto"/>
              </w:rPr>
              <w:t>Accrued compensation</w:t>
            </w:r>
          </w:p>
        </w:tc>
        <w:tc>
          <w:tcPr>
            <w:tcW w:w="38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256,774</w:t>
            </w:r>
          </w:p>
        </w:tc>
        <w:tc>
          <w:tcPr>
            <w:tcW w:w="10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8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414,526</w:t>
            </w:r>
          </w:p>
        </w:tc>
        <w:tc>
          <w:tcPr>
            <w:tcW w:w="100" w:type="dxa"/>
            <w:vAlign w:val="bottom"/>
            <w:shd w:val="clear" w:color="auto" w:fill="CCFFCC"/>
          </w:tcPr>
          <w:p>
            <w:pPr>
              <w:spacing w:after="0"/>
              <w:rPr>
                <w:sz w:val="18"/>
                <w:szCs w:val="18"/>
                <w:color w:val="auto"/>
              </w:rPr>
            </w:pPr>
          </w:p>
        </w:tc>
        <w:tc>
          <w:tcPr>
            <w:tcW w:w="560" w:type="dxa"/>
            <w:vAlign w:val="bottom"/>
          </w:tcPr>
          <w:p>
            <w:pPr>
              <w:spacing w:after="0"/>
              <w:rPr>
                <w:sz w:val="18"/>
                <w:szCs w:val="18"/>
                <w:color w:val="auto"/>
              </w:rPr>
            </w:pPr>
          </w:p>
        </w:tc>
      </w:tr>
      <w:tr>
        <w:trPr>
          <w:trHeight w:val="223"/>
        </w:trPr>
        <w:tc>
          <w:tcPr>
            <w:tcW w:w="340" w:type="dxa"/>
            <w:vAlign w:val="bottom"/>
          </w:tcPr>
          <w:p>
            <w:pPr>
              <w:spacing w:after="0"/>
              <w:rPr>
                <w:sz w:val="19"/>
                <w:szCs w:val="19"/>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Deferred revenues and customer advances</w:t>
            </w:r>
          </w:p>
        </w:tc>
        <w:tc>
          <w:tcPr>
            <w:tcW w:w="38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1,234,171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1,622,227</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257"/>
        </w:trPr>
        <w:tc>
          <w:tcPr>
            <w:tcW w:w="340" w:type="dxa"/>
            <w:vAlign w:val="bottom"/>
          </w:tcPr>
          <w:p>
            <w:pPr>
              <w:spacing w:after="0"/>
              <w:rPr>
                <w:sz w:val="22"/>
                <w:szCs w:val="22"/>
                <w:color w:val="auto"/>
              </w:rPr>
            </w:pPr>
          </w:p>
        </w:tc>
        <w:tc>
          <w:tcPr>
            <w:tcW w:w="4280" w:type="dxa"/>
            <w:vAlign w:val="bottom"/>
            <w:shd w:val="clear" w:color="auto" w:fill="CCFFCC"/>
          </w:tcPr>
          <w:p>
            <w:pPr>
              <w:spacing w:after="0"/>
              <w:rPr>
                <w:sz w:val="20"/>
                <w:szCs w:val="20"/>
                <w:color w:val="auto"/>
              </w:rPr>
            </w:pPr>
            <w:r>
              <w:rPr>
                <w:rFonts w:ascii="Arial" w:cs="Arial" w:eastAsia="Arial" w:hAnsi="Arial"/>
                <w:sz w:val="18"/>
                <w:szCs w:val="18"/>
                <w:color w:val="auto"/>
              </w:rPr>
              <w:t>Current liabilities of discontinued operations</w:t>
            </w:r>
          </w:p>
        </w:tc>
        <w:tc>
          <w:tcPr>
            <w:tcW w:w="394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4,239,214</w:t>
            </w:r>
          </w:p>
        </w:tc>
        <w:tc>
          <w:tcPr>
            <w:tcW w:w="300" w:type="dxa"/>
            <w:vAlign w:val="bottom"/>
            <w:gridSpan w:val="2"/>
            <w:shd w:val="clear" w:color="auto" w:fill="CCFFCC"/>
          </w:tcPr>
          <w:p>
            <w:pPr>
              <w:ind w:left="10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5,751,325</w:t>
            </w:r>
          </w:p>
        </w:tc>
        <w:tc>
          <w:tcPr>
            <w:tcW w:w="100" w:type="dxa"/>
            <w:vAlign w:val="bottom"/>
            <w:shd w:val="clear" w:color="auto" w:fill="CCFFCC"/>
          </w:tcPr>
          <w:p>
            <w:pPr>
              <w:spacing w:after="0"/>
              <w:rPr>
                <w:sz w:val="22"/>
                <w:szCs w:val="22"/>
                <w:color w:val="auto"/>
              </w:rPr>
            </w:pPr>
          </w:p>
        </w:tc>
        <w:tc>
          <w:tcPr>
            <w:tcW w:w="560" w:type="dxa"/>
            <w:vAlign w:val="bottom"/>
          </w:tcPr>
          <w:p>
            <w:pPr>
              <w:spacing w:after="0"/>
              <w:rPr>
                <w:sz w:val="22"/>
                <w:szCs w:val="22"/>
                <w:color w:val="auto"/>
              </w:rPr>
            </w:pPr>
          </w:p>
        </w:tc>
      </w:tr>
      <w:tr>
        <w:trPr>
          <w:trHeight w:val="601"/>
        </w:trPr>
        <w:tc>
          <w:tcPr>
            <w:tcW w:w="340" w:type="dxa"/>
            <w:vAlign w:val="bottom"/>
          </w:tcPr>
          <w:p>
            <w:pPr>
              <w:spacing w:after="0"/>
              <w:rPr>
                <w:sz w:val="24"/>
                <w:szCs w:val="24"/>
                <w:color w:val="auto"/>
              </w:rPr>
            </w:pPr>
          </w:p>
        </w:tc>
        <w:tc>
          <w:tcPr>
            <w:tcW w:w="4280" w:type="dxa"/>
            <w:vAlign w:val="bottom"/>
            <w:tcBorders>
              <w:top w:val="single" w:sz="8" w:color="CCFFCC"/>
            </w:tcBorders>
          </w:tcPr>
          <w:p>
            <w:pPr>
              <w:spacing w:after="0"/>
              <w:rPr>
                <w:sz w:val="24"/>
                <w:szCs w:val="24"/>
                <w:color w:val="auto"/>
              </w:rPr>
            </w:pPr>
          </w:p>
        </w:tc>
        <w:tc>
          <w:tcPr>
            <w:tcW w:w="3820" w:type="dxa"/>
            <w:vAlign w:val="bottom"/>
            <w:tcBorders>
              <w:top w:val="single" w:sz="8" w:color="CCFFCC"/>
            </w:tcBorders>
          </w:tcPr>
          <w:p>
            <w:pPr>
              <w:jc w:val="right"/>
              <w:ind w:right="2530"/>
              <w:spacing w:after="0"/>
              <w:rPr>
                <w:sz w:val="20"/>
                <w:szCs w:val="20"/>
                <w:color w:val="auto"/>
              </w:rPr>
            </w:pPr>
            <w:r>
              <w:rPr>
                <w:rFonts w:ascii="Arial" w:cs="Arial" w:eastAsia="Arial" w:hAnsi="Arial"/>
                <w:sz w:val="18"/>
                <w:szCs w:val="18"/>
                <w:color w:val="auto"/>
              </w:rPr>
              <w:t>-7-</w:t>
            </w:r>
          </w:p>
        </w:tc>
        <w:tc>
          <w:tcPr>
            <w:tcW w:w="12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00" w:type="dxa"/>
            <w:vAlign w:val="bottom"/>
            <w:tcBorders>
              <w:top w:val="single" w:sz="8" w:color="CCFFCC"/>
            </w:tcBorders>
          </w:tcPr>
          <w:p>
            <w:pPr>
              <w:spacing w:after="0"/>
              <w:rPr>
                <w:sz w:val="24"/>
                <w:szCs w:val="24"/>
                <w:color w:val="auto"/>
              </w:rPr>
            </w:pPr>
          </w:p>
        </w:tc>
        <w:tc>
          <w:tcPr>
            <w:tcW w:w="100" w:type="dxa"/>
            <w:vAlign w:val="bottom"/>
            <w:tcBorders>
              <w:top w:val="single" w:sz="8" w:color="CCFFCC"/>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00" w:type="dxa"/>
            <w:vAlign w:val="bottom"/>
            <w:tcBorders>
              <w:top w:val="single" w:sz="8" w:color="CCFFCC"/>
            </w:tcBorders>
          </w:tcPr>
          <w:p>
            <w:pPr>
              <w:spacing w:after="0"/>
              <w:rPr>
                <w:sz w:val="24"/>
                <w:szCs w:val="24"/>
                <w:color w:val="auto"/>
              </w:rPr>
            </w:pPr>
          </w:p>
        </w:tc>
        <w:tc>
          <w:tcPr>
            <w:tcW w:w="560" w:type="dxa"/>
            <w:vAlign w:val="bottom"/>
          </w:tcPr>
          <w:p>
            <w:pPr>
              <w:spacing w:after="0"/>
              <w:rPr>
                <w:sz w:val="24"/>
                <w:szCs w:val="24"/>
                <w:color w:val="auto"/>
              </w:rPr>
            </w:pPr>
          </w:p>
        </w:tc>
      </w:tr>
      <w:tr>
        <w:trPr>
          <w:trHeight w:val="118"/>
        </w:trPr>
        <w:tc>
          <w:tcPr>
            <w:tcW w:w="340" w:type="dxa"/>
            <w:vAlign w:val="bottom"/>
            <w:tcBorders>
              <w:bottom w:val="single" w:sz="8" w:color="808080"/>
            </w:tcBorders>
          </w:tcPr>
          <w:p>
            <w:pPr>
              <w:spacing w:after="0"/>
              <w:rPr>
                <w:sz w:val="10"/>
                <w:szCs w:val="10"/>
                <w:color w:val="auto"/>
              </w:rPr>
            </w:pPr>
          </w:p>
        </w:tc>
        <w:tc>
          <w:tcPr>
            <w:tcW w:w="4280" w:type="dxa"/>
            <w:vAlign w:val="bottom"/>
            <w:tcBorders>
              <w:bottom w:val="single" w:sz="8" w:color="808080"/>
            </w:tcBorders>
          </w:tcPr>
          <w:p>
            <w:pPr>
              <w:spacing w:after="0"/>
              <w:rPr>
                <w:sz w:val="10"/>
                <w:szCs w:val="10"/>
                <w:color w:val="auto"/>
              </w:rPr>
            </w:pPr>
          </w:p>
        </w:tc>
        <w:tc>
          <w:tcPr>
            <w:tcW w:w="38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9" w:name="page10"/>
    <w:bookmarkEnd w:id="9"/>
    <w:tbl>
      <w:tblPr>
        <w:tblLayout w:type="fixed"/>
        <w:tblInd w:w="340" w:type="dxa"/>
        <w:tblCellMar>
          <w:top w:w="0" w:type="dxa"/>
          <w:left w:w="0" w:type="dxa"/>
          <w:bottom w:w="0" w:type="dxa"/>
          <w:right w:w="0" w:type="dxa"/>
        </w:tblCellMar>
      </w:tblPr>
      <w:tr>
        <w:trPr>
          <w:trHeight w:val="216"/>
        </w:trPr>
        <w:tc>
          <w:tcPr>
            <w:tcW w:w="7860" w:type="dxa"/>
            <w:vAlign w:val="bottom"/>
          </w:tcPr>
          <w:p>
            <w:pPr>
              <w:spacing w:after="0"/>
              <w:rPr>
                <w:sz w:val="20"/>
                <w:szCs w:val="20"/>
                <w:color w:val="auto"/>
              </w:rPr>
            </w:pPr>
            <w:r>
              <w:rPr>
                <w:rFonts w:ascii="Arial" w:cs="Arial" w:eastAsia="Arial" w:hAnsi="Arial"/>
                <w:sz w:val="18"/>
                <w:szCs w:val="18"/>
                <w:color w:val="auto"/>
              </w:rPr>
              <w:t>Discontinued Operations was as follows:</w:t>
            </w:r>
          </w:p>
        </w:tc>
        <w:tc>
          <w:tcPr>
            <w:tcW w:w="136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93"/>
              </w:rPr>
              <w:t>Three Months</w:t>
            </w:r>
          </w:p>
        </w:tc>
        <w:tc>
          <w:tcPr>
            <w:tcW w:w="130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1"/>
              </w:rPr>
              <w:t>Three Months</w:t>
            </w:r>
          </w:p>
        </w:tc>
      </w:tr>
      <w:tr>
        <w:trPr>
          <w:trHeight w:val="216"/>
        </w:trPr>
        <w:tc>
          <w:tcPr>
            <w:tcW w:w="7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0"/>
              </w:rPr>
              <w:t>Ended</w:t>
            </w:r>
          </w:p>
        </w:tc>
        <w:tc>
          <w:tcPr>
            <w:tcW w:w="220" w:type="dxa"/>
            <w:vAlign w:val="bottom"/>
          </w:tcPr>
          <w:p>
            <w:pPr>
              <w:spacing w:after="0"/>
              <w:rPr>
                <w:sz w:val="18"/>
                <w:szCs w:val="18"/>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Ended</w:t>
            </w:r>
          </w:p>
        </w:tc>
      </w:tr>
      <w:tr>
        <w:trPr>
          <w:trHeight w:val="241"/>
        </w:trPr>
        <w:tc>
          <w:tcPr>
            <w:tcW w:w="7860" w:type="dxa"/>
            <w:vAlign w:val="bottom"/>
          </w:tcPr>
          <w:p>
            <w:pPr>
              <w:spacing w:after="0"/>
              <w:rPr>
                <w:sz w:val="20"/>
                <w:szCs w:val="20"/>
                <w:color w:val="auto"/>
              </w:rPr>
            </w:pPr>
          </w:p>
        </w:tc>
        <w:tc>
          <w:tcPr>
            <w:tcW w:w="1360" w:type="dxa"/>
            <w:vAlign w:val="bottom"/>
            <w:gridSpan w:val="3"/>
          </w:tcPr>
          <w:p>
            <w:pPr>
              <w:spacing w:after="0"/>
              <w:rPr>
                <w:sz w:val="20"/>
                <w:szCs w:val="20"/>
                <w:color w:val="auto"/>
              </w:rPr>
            </w:pPr>
            <w:r>
              <w:rPr>
                <w:rFonts w:ascii="Arial" w:cs="Arial" w:eastAsia="Arial" w:hAnsi="Arial"/>
                <w:sz w:val="18"/>
                <w:szCs w:val="18"/>
                <w:b w:val="1"/>
                <w:bCs w:val="1"/>
                <w:color w:val="auto"/>
              </w:rPr>
              <w:t>March 31, 2009</w:t>
            </w:r>
          </w:p>
        </w:tc>
        <w:tc>
          <w:tcPr>
            <w:tcW w:w="1300" w:type="dxa"/>
            <w:vAlign w:val="bottom"/>
            <w:gridSpan w:val="3"/>
          </w:tcPr>
          <w:p>
            <w:pPr>
              <w:spacing w:after="0"/>
              <w:rPr>
                <w:sz w:val="20"/>
                <w:szCs w:val="20"/>
                <w:color w:val="auto"/>
              </w:rPr>
            </w:pPr>
            <w:r>
              <w:rPr>
                <w:rFonts w:ascii="Arial" w:cs="Arial" w:eastAsia="Arial" w:hAnsi="Arial"/>
                <w:sz w:val="18"/>
                <w:szCs w:val="18"/>
                <w:b w:val="1"/>
                <w:bCs w:val="1"/>
                <w:color w:val="auto"/>
                <w:w w:val="99"/>
              </w:rPr>
              <w:t>March 31, 2008</w:t>
            </w:r>
          </w:p>
        </w:tc>
      </w:tr>
      <w:tr>
        <w:trPr>
          <w:trHeight w:val="216"/>
        </w:trPr>
        <w:tc>
          <w:tcPr>
            <w:tcW w:w="78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860" w:type="dxa"/>
            <w:vAlign w:val="bottom"/>
            <w:shd w:val="clear" w:color="auto" w:fill="CCFFCC"/>
          </w:tcPr>
          <w:p>
            <w:pPr>
              <w:spacing w:after="0"/>
              <w:rPr>
                <w:sz w:val="20"/>
                <w:szCs w:val="20"/>
                <w:color w:val="auto"/>
              </w:rPr>
            </w:pPr>
            <w:r>
              <w:rPr>
                <w:rFonts w:ascii="Arial" w:cs="Arial" w:eastAsia="Arial" w:hAnsi="Arial"/>
                <w:sz w:val="18"/>
                <w:szCs w:val="18"/>
                <w:color w:val="auto"/>
              </w:rPr>
              <w:t>Revenues</w:t>
            </w:r>
          </w:p>
        </w:tc>
        <w:tc>
          <w:tcPr>
            <w:tcW w:w="200" w:type="dxa"/>
            <w:vAlign w:val="bottom"/>
            <w:shd w:val="clear" w:color="auto" w:fill="CCFFCC"/>
          </w:tcPr>
          <w:p>
            <w:pPr>
              <w:spacing w:after="0"/>
              <w:rPr>
                <w:sz w:val="20"/>
                <w:szCs w:val="20"/>
                <w:color w:val="auto"/>
              </w:rPr>
            </w:pPr>
            <w:r>
              <w:rPr>
                <w:rFonts w:ascii="Arial" w:cs="Arial" w:eastAsia="Arial" w:hAnsi="Arial"/>
                <w:sz w:val="18"/>
                <w:szCs w:val="18"/>
                <w:color w:val="auto"/>
              </w:rPr>
              <w:t>$</w:t>
            </w: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4,914,322</w:t>
            </w:r>
          </w:p>
        </w:tc>
        <w:tc>
          <w:tcPr>
            <w:tcW w:w="18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20"/>
                <w:szCs w:val="20"/>
                <w:color w:val="auto"/>
              </w:rPr>
            </w:pPr>
            <w:r>
              <w:rPr>
                <w:rFonts w:ascii="Arial" w:cs="Arial" w:eastAsia="Arial" w:hAnsi="Arial"/>
                <w:sz w:val="18"/>
                <w:szCs w:val="18"/>
                <w:color w:val="auto"/>
              </w:rPr>
              <w:t>$</w:t>
            </w: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5,013,562</w:t>
            </w:r>
          </w:p>
        </w:tc>
        <w:tc>
          <w:tcPr>
            <w:tcW w:w="100" w:type="dxa"/>
            <w:vAlign w:val="bottom"/>
            <w:shd w:val="clear" w:color="auto" w:fill="CCFFCC"/>
          </w:tcPr>
          <w:p>
            <w:pPr>
              <w:spacing w:after="0"/>
              <w:rPr>
                <w:sz w:val="18"/>
                <w:szCs w:val="18"/>
                <w:color w:val="auto"/>
              </w:rPr>
            </w:pPr>
          </w:p>
        </w:tc>
      </w:tr>
      <w:tr>
        <w:trPr>
          <w:trHeight w:val="216"/>
        </w:trPr>
        <w:tc>
          <w:tcPr>
            <w:tcW w:w="7860" w:type="dxa"/>
            <w:vAlign w:val="bottom"/>
          </w:tcPr>
          <w:p>
            <w:pPr>
              <w:spacing w:after="0"/>
              <w:rPr>
                <w:sz w:val="20"/>
                <w:szCs w:val="20"/>
                <w:color w:val="auto"/>
              </w:rPr>
            </w:pPr>
            <w:r>
              <w:rPr>
                <w:rFonts w:ascii="Arial" w:cs="Arial" w:eastAsia="Arial" w:hAnsi="Arial"/>
                <w:sz w:val="18"/>
                <w:szCs w:val="18"/>
                <w:color w:val="auto"/>
              </w:rPr>
              <w:t>Direct employee compensation and consultant expenses</w:t>
            </w: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3,733,143</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3,877,332</w:t>
            </w:r>
          </w:p>
        </w:tc>
        <w:tc>
          <w:tcPr>
            <w:tcW w:w="100" w:type="dxa"/>
            <w:vAlign w:val="bottom"/>
          </w:tcPr>
          <w:p>
            <w:pPr>
              <w:spacing w:after="0"/>
              <w:rPr>
                <w:sz w:val="18"/>
                <w:szCs w:val="18"/>
                <w:color w:val="auto"/>
              </w:rPr>
            </w:pPr>
          </w:p>
        </w:tc>
      </w:tr>
      <w:tr>
        <w:trPr>
          <w:trHeight w:val="216"/>
        </w:trPr>
        <w:tc>
          <w:tcPr>
            <w:tcW w:w="7860" w:type="dxa"/>
            <w:vAlign w:val="bottom"/>
            <w:shd w:val="clear" w:color="auto" w:fill="CCFFCC"/>
          </w:tcPr>
          <w:p>
            <w:pPr>
              <w:spacing w:after="0"/>
              <w:rPr>
                <w:sz w:val="20"/>
                <w:szCs w:val="20"/>
                <w:color w:val="auto"/>
              </w:rPr>
            </w:pPr>
            <w:r>
              <w:rPr>
                <w:rFonts w:ascii="Arial" w:cs="Arial" w:eastAsia="Arial" w:hAnsi="Arial"/>
                <w:sz w:val="18"/>
                <w:szCs w:val="18"/>
                <w:color w:val="auto"/>
              </w:rPr>
              <w:t>Selling, general and administrative expenses</w:t>
            </w:r>
          </w:p>
        </w:tc>
        <w:tc>
          <w:tcPr>
            <w:tcW w:w="200" w:type="dxa"/>
            <w:vAlign w:val="bottom"/>
            <w:shd w:val="clear" w:color="auto" w:fill="CCFFCC"/>
          </w:tcPr>
          <w:p>
            <w:pPr>
              <w:spacing w:after="0"/>
              <w:rPr>
                <w:sz w:val="18"/>
                <w:szCs w:val="18"/>
                <w:color w:val="auto"/>
              </w:rPr>
            </w:pP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899,351</w:t>
            </w:r>
          </w:p>
        </w:tc>
        <w:tc>
          <w:tcPr>
            <w:tcW w:w="18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829,838</w:t>
            </w:r>
          </w:p>
        </w:tc>
        <w:tc>
          <w:tcPr>
            <w:tcW w:w="100" w:type="dxa"/>
            <w:vAlign w:val="bottom"/>
            <w:shd w:val="clear" w:color="auto" w:fill="CCFFCC"/>
          </w:tcPr>
          <w:p>
            <w:pPr>
              <w:spacing w:after="0"/>
              <w:rPr>
                <w:sz w:val="18"/>
                <w:szCs w:val="18"/>
                <w:color w:val="auto"/>
              </w:rPr>
            </w:pPr>
          </w:p>
        </w:tc>
      </w:tr>
      <w:tr>
        <w:trPr>
          <w:trHeight w:val="216"/>
        </w:trPr>
        <w:tc>
          <w:tcPr>
            <w:tcW w:w="786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61,055</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73,896</w:t>
            </w:r>
          </w:p>
        </w:tc>
      </w:tr>
      <w:tr>
        <w:trPr>
          <w:trHeight w:val="223"/>
        </w:trPr>
        <w:tc>
          <w:tcPr>
            <w:tcW w:w="786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Interest expenses</w:t>
            </w:r>
          </w:p>
        </w:tc>
        <w:tc>
          <w:tcPr>
            <w:tcW w:w="200" w:type="dxa"/>
            <w:vAlign w:val="bottom"/>
            <w:tcBorders>
              <w:bottom w:val="single" w:sz="8" w:color="auto"/>
            </w:tcBorders>
            <w:shd w:val="clear" w:color="auto" w:fill="CCFFCC"/>
          </w:tcPr>
          <w:p>
            <w:pPr>
              <w:spacing w:after="0"/>
              <w:rPr>
                <w:sz w:val="19"/>
                <w:szCs w:val="19"/>
                <w:color w:val="auto"/>
              </w:rPr>
            </w:pPr>
          </w:p>
        </w:tc>
        <w:tc>
          <w:tcPr>
            <w:tcW w:w="9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22,527</w:t>
            </w:r>
          </w:p>
        </w:tc>
        <w:tc>
          <w:tcPr>
            <w:tcW w:w="180" w:type="dxa"/>
            <w:vAlign w:val="bottom"/>
            <w:tcBorders>
              <w:bottom w:val="single" w:sz="8" w:color="CCFFCC"/>
            </w:tcBorders>
            <w:shd w:val="clear" w:color="auto" w:fill="CCFFCC"/>
          </w:tcPr>
          <w:p>
            <w:pPr>
              <w:spacing w:after="0"/>
              <w:rPr>
                <w:sz w:val="19"/>
                <w:szCs w:val="19"/>
                <w:color w:val="auto"/>
              </w:rPr>
            </w:pPr>
          </w:p>
        </w:tc>
        <w:tc>
          <w:tcPr>
            <w:tcW w:w="220" w:type="dxa"/>
            <w:vAlign w:val="bottom"/>
            <w:tcBorders>
              <w:bottom w:val="single" w:sz="8" w:color="auto"/>
            </w:tcBorders>
            <w:shd w:val="clear" w:color="auto" w:fill="CCFFCC"/>
          </w:tcPr>
          <w:p>
            <w:pPr>
              <w:spacing w:after="0"/>
              <w:rPr>
                <w:sz w:val="19"/>
                <w:szCs w:val="19"/>
                <w:color w:val="auto"/>
              </w:rPr>
            </w:pPr>
          </w:p>
        </w:tc>
        <w:tc>
          <w:tcPr>
            <w:tcW w:w="9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8,961</w:t>
            </w:r>
          </w:p>
        </w:tc>
        <w:tc>
          <w:tcPr>
            <w:tcW w:w="100" w:type="dxa"/>
            <w:vAlign w:val="bottom"/>
            <w:tcBorders>
              <w:bottom w:val="single" w:sz="8" w:color="CCFFCC"/>
            </w:tcBorders>
            <w:shd w:val="clear" w:color="auto" w:fill="CCFFCC"/>
          </w:tcPr>
          <w:p>
            <w:pPr>
              <w:spacing w:after="0"/>
              <w:rPr>
                <w:sz w:val="19"/>
                <w:szCs w:val="19"/>
                <w:color w:val="auto"/>
              </w:rPr>
            </w:pPr>
          </w:p>
        </w:tc>
      </w:tr>
      <w:tr>
        <w:trPr>
          <w:trHeight w:val="216"/>
        </w:trPr>
        <w:tc>
          <w:tcPr>
            <w:tcW w:w="7860" w:type="dxa"/>
            <w:vAlign w:val="bottom"/>
          </w:tcPr>
          <w:p>
            <w:pPr>
              <w:spacing w:after="0"/>
              <w:rPr>
                <w:sz w:val="20"/>
                <w:szCs w:val="20"/>
                <w:color w:val="auto"/>
              </w:rPr>
            </w:pPr>
            <w:r>
              <w:rPr>
                <w:rFonts w:ascii="Arial" w:cs="Arial" w:eastAsia="Arial" w:hAnsi="Arial"/>
                <w:sz w:val="18"/>
                <w:szCs w:val="18"/>
                <w:color w:val="auto"/>
              </w:rPr>
              <w:t>Income from discontinued operations</w:t>
            </w:r>
          </w:p>
        </w:tc>
        <w:tc>
          <w:tcPr>
            <w:tcW w:w="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198,246</w:t>
            </w:r>
          </w:p>
        </w:tc>
        <w:tc>
          <w:tcPr>
            <w:tcW w:w="180" w:type="dxa"/>
            <w:vAlign w:val="bottom"/>
          </w:tcPr>
          <w:p>
            <w:pPr>
              <w:spacing w:after="0"/>
              <w:rPr>
                <w:sz w:val="18"/>
                <w:szCs w:val="18"/>
                <w:color w:val="auto"/>
              </w:rPr>
            </w:pPr>
          </w:p>
        </w:tc>
        <w:tc>
          <w:tcPr>
            <w:tcW w:w="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223,535</w:t>
            </w:r>
          </w:p>
        </w:tc>
        <w:tc>
          <w:tcPr>
            <w:tcW w:w="100" w:type="dxa"/>
            <w:vAlign w:val="bottom"/>
          </w:tcPr>
          <w:p>
            <w:pPr>
              <w:spacing w:after="0"/>
              <w:rPr>
                <w:sz w:val="18"/>
                <w:szCs w:val="18"/>
                <w:color w:val="auto"/>
              </w:rPr>
            </w:pPr>
          </w:p>
        </w:tc>
      </w:tr>
      <w:tr>
        <w:trPr>
          <w:trHeight w:val="21"/>
        </w:trPr>
        <w:tc>
          <w:tcPr>
            <w:tcW w:w="78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 did not allocate interest on its borrowings to discontinued operations and the interest expenses of discontinued operations represent interest expenses incurred by UCA directly.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DEBT FINANCINGS</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the three months ended March 31, 2009, the Company repaid all of the borrowings that were outstanding at December 31, 2008.The Company paid financing costs of $47,630 to third parties and lenders with respect to short term borrowing during the three months ended March 31, 2009 and this amount was amortized over the term of the borrowings.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220" w:type="dxa"/>
            <w:vAlign w:val="bottom"/>
            <w:gridSpan w:val="2"/>
          </w:tcPr>
          <w:p>
            <w:pPr>
              <w:spacing w:after="0"/>
              <w:rPr>
                <w:sz w:val="20"/>
                <w:szCs w:val="20"/>
                <w:color w:val="auto"/>
              </w:rPr>
            </w:pPr>
            <w:r>
              <w:rPr>
                <w:rFonts w:ascii="Arial" w:cs="Arial" w:eastAsia="Arial" w:hAnsi="Arial"/>
                <w:sz w:val="18"/>
                <w:szCs w:val="18"/>
                <w:color w:val="auto"/>
                <w:w w:val="98"/>
              </w:rPr>
              <w:t>Debt Financings consist of the following as of December 31, 2008:</w:t>
            </w:r>
          </w:p>
        </w:tc>
        <w:tc>
          <w:tcPr>
            <w:tcW w:w="2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520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89"/>
              </w:rPr>
              <w:t>2008</w:t>
            </w: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20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jc w:val="center"/>
              <w:ind w:right="240"/>
              <w:spacing w:after="0" w:line="201" w:lineRule="exact"/>
              <w:rPr>
                <w:sz w:val="20"/>
                <w:szCs w:val="20"/>
                <w:color w:val="auto"/>
              </w:rPr>
            </w:pPr>
            <w:r>
              <w:rPr>
                <w:rFonts w:ascii="Arial" w:cs="Arial" w:eastAsia="Arial" w:hAnsi="Arial"/>
                <w:sz w:val="18"/>
                <w:szCs w:val="18"/>
                <w:color w:val="auto"/>
                <w:w w:val="92"/>
              </w:rPr>
              <w:t>Unamortized</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20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ind w:left="100"/>
              <w:spacing w:after="0"/>
              <w:rPr>
                <w:sz w:val="20"/>
                <w:szCs w:val="20"/>
                <w:color w:val="auto"/>
              </w:rPr>
            </w:pPr>
            <w:r>
              <w:rPr>
                <w:rFonts w:ascii="Arial" w:cs="Arial" w:eastAsia="Arial" w:hAnsi="Arial"/>
                <w:sz w:val="18"/>
                <w:szCs w:val="18"/>
                <w:color w:val="auto"/>
              </w:rPr>
              <w:t>Principal</w:t>
            </w:r>
          </w:p>
        </w:tc>
        <w:tc>
          <w:tcPr>
            <w:tcW w:w="1280" w:type="dxa"/>
            <w:vAlign w:val="bottom"/>
            <w:gridSpan w:val="3"/>
          </w:tcPr>
          <w:p>
            <w:pPr>
              <w:jc w:val="center"/>
              <w:ind w:right="120"/>
              <w:spacing w:after="0"/>
              <w:rPr>
                <w:sz w:val="20"/>
                <w:szCs w:val="20"/>
                <w:color w:val="auto"/>
              </w:rPr>
            </w:pPr>
            <w:r>
              <w:rPr>
                <w:rFonts w:ascii="Arial" w:cs="Arial" w:eastAsia="Arial" w:hAnsi="Arial"/>
                <w:sz w:val="18"/>
                <w:szCs w:val="18"/>
                <w:color w:val="auto"/>
                <w:w w:val="89"/>
              </w:rPr>
              <w:t>debt discount</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ind w:left="200"/>
              <w:spacing w:after="0"/>
              <w:rPr>
                <w:sz w:val="20"/>
                <w:szCs w:val="20"/>
                <w:color w:val="auto"/>
              </w:rPr>
            </w:pPr>
            <w:r>
              <w:rPr>
                <w:rFonts w:ascii="Arial" w:cs="Arial" w:eastAsia="Arial" w:hAnsi="Arial"/>
                <w:sz w:val="18"/>
                <w:szCs w:val="18"/>
                <w:color w:val="auto"/>
              </w:rPr>
              <w:t>Net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0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00" w:type="dxa"/>
            <w:vAlign w:val="bottom"/>
            <w:shd w:val="clear" w:color="auto" w:fill="CCFFCC"/>
          </w:tcPr>
          <w:p>
            <w:pPr>
              <w:spacing w:after="0"/>
              <w:rPr>
                <w:sz w:val="20"/>
                <w:szCs w:val="20"/>
                <w:color w:val="auto"/>
              </w:rPr>
            </w:pPr>
            <w:r>
              <w:rPr>
                <w:rFonts w:ascii="Arial" w:cs="Arial" w:eastAsia="Arial" w:hAnsi="Arial"/>
                <w:sz w:val="18"/>
                <w:szCs w:val="18"/>
                <w:color w:val="auto"/>
              </w:rPr>
              <w:t>Laurus Revolving Note Due in March 2009</w:t>
            </w:r>
          </w:p>
        </w:tc>
        <w:tc>
          <w:tcPr>
            <w:tcW w:w="238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1,419,263</w:t>
            </w:r>
          </w:p>
        </w:tc>
        <w:tc>
          <w:tcPr>
            <w:tcW w:w="10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(35,006)</w:t>
            </w:r>
          </w:p>
        </w:tc>
        <w:tc>
          <w:tcPr>
            <w:tcW w:w="3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1,384,257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Laurus Convertible Note Due in February 2009</w:t>
            </w:r>
          </w:p>
        </w:tc>
        <w:tc>
          <w:tcPr>
            <w:tcW w:w="2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1,500,000</w:t>
            </w:r>
          </w:p>
        </w:tc>
        <w:tc>
          <w:tcPr>
            <w:tcW w:w="10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(56,856)</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1,443,144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FFCC"/>
          </w:tcPr>
          <w:p>
            <w:pPr>
              <w:spacing w:after="0"/>
              <w:rPr>
                <w:sz w:val="20"/>
                <w:szCs w:val="20"/>
                <w:color w:val="auto"/>
              </w:rPr>
            </w:pPr>
            <w:r>
              <w:rPr>
                <w:rFonts w:ascii="Arial" w:cs="Arial" w:eastAsia="Arial" w:hAnsi="Arial"/>
                <w:sz w:val="18"/>
                <w:szCs w:val="18"/>
                <w:color w:val="auto"/>
              </w:rPr>
              <w:t>Short term borrowings</w:t>
            </w:r>
          </w:p>
        </w:tc>
        <w:tc>
          <w:tcPr>
            <w:tcW w:w="22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0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950,000</w:t>
            </w:r>
          </w:p>
        </w:tc>
        <w:tc>
          <w:tcPr>
            <w:tcW w:w="2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1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950,000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200" w:type="dxa"/>
            <w:vAlign w:val="bottom"/>
            <w:shd w:val="clear" w:color="auto" w:fill="CCFFCC"/>
          </w:tcPr>
          <w:p>
            <w:pPr>
              <w:spacing w:after="0"/>
              <w:rPr>
                <w:sz w:val="2"/>
                <w:szCs w:val="2"/>
                <w:color w:val="auto"/>
              </w:rPr>
            </w:pPr>
          </w:p>
        </w:tc>
        <w:tc>
          <w:tcPr>
            <w:tcW w:w="2220" w:type="dxa"/>
            <w:vAlign w:val="bottom"/>
            <w:shd w:val="clear" w:color="auto" w:fill="CCFFCC"/>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40" w:type="dxa"/>
            <w:vAlign w:val="bottom"/>
            <w:shd w:val="clear" w:color="auto" w:fill="CCFFCC"/>
          </w:tcPr>
          <w:p>
            <w:pPr>
              <w:spacing w:after="0"/>
              <w:rPr>
                <w:sz w:val="2"/>
                <w:szCs w:val="2"/>
                <w:color w:val="auto"/>
              </w:rPr>
            </w:pPr>
          </w:p>
        </w:tc>
        <w:tc>
          <w:tcPr>
            <w:tcW w:w="80" w:type="dxa"/>
            <w:vAlign w:val="bottom"/>
            <w:shd w:val="clear" w:color="auto" w:fill="CCFFCC"/>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spacing w:after="0"/>
              <w:rPr>
                <w:sz w:val="18"/>
                <w:szCs w:val="18"/>
                <w:color w:val="auto"/>
              </w:rPr>
            </w:pPr>
          </w:p>
        </w:tc>
        <w:tc>
          <w:tcPr>
            <w:tcW w:w="23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3,869,263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(91,862)</w:t>
            </w: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3,777,401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2220" w:type="dxa"/>
            <w:vAlign w:val="bottom"/>
            <w:vMerge w:val="restart"/>
          </w:tcPr>
          <w:p>
            <w:pPr>
              <w:jc w:val="right"/>
              <w:ind w:right="1530"/>
              <w:spacing w:after="0"/>
              <w:rPr>
                <w:sz w:val="20"/>
                <w:szCs w:val="20"/>
                <w:color w:val="auto"/>
              </w:rPr>
            </w:pPr>
            <w:r>
              <w:rPr>
                <w:rFonts w:ascii="Arial" w:cs="Arial" w:eastAsia="Arial" w:hAnsi="Arial"/>
                <w:sz w:val="18"/>
                <w:szCs w:val="18"/>
                <w:color w:val="auto"/>
              </w:rPr>
              <w:t>-8-</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01"/>
        </w:trPr>
        <w:tc>
          <w:tcPr>
            <w:tcW w:w="20" w:type="dxa"/>
            <w:vAlign w:val="bottom"/>
          </w:tcPr>
          <w:p>
            <w:pPr>
              <w:spacing w:after="0"/>
              <w:rPr>
                <w:sz w:val="24"/>
                <w:szCs w:val="24"/>
                <w:color w:val="auto"/>
              </w:rPr>
            </w:pPr>
          </w:p>
        </w:tc>
        <w:tc>
          <w:tcPr>
            <w:tcW w:w="5200" w:type="dxa"/>
            <w:vAlign w:val="bottom"/>
          </w:tcPr>
          <w:p>
            <w:pPr>
              <w:spacing w:after="0"/>
              <w:rPr>
                <w:sz w:val="24"/>
                <w:szCs w:val="24"/>
                <w:color w:val="auto"/>
              </w:rPr>
            </w:pPr>
          </w:p>
        </w:tc>
        <w:tc>
          <w:tcPr>
            <w:tcW w:w="222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5200" w:type="dxa"/>
            <w:vAlign w:val="bottom"/>
            <w:tcBorders>
              <w:bottom w:val="single" w:sz="8" w:color="808080"/>
            </w:tcBorders>
          </w:tcPr>
          <w:p>
            <w:pPr>
              <w:spacing w:after="0"/>
              <w:rPr>
                <w:sz w:val="10"/>
                <w:szCs w:val="10"/>
                <w:color w:val="auto"/>
              </w:rPr>
            </w:pPr>
          </w:p>
        </w:tc>
        <w:tc>
          <w:tcPr>
            <w:tcW w:w="222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NOTE 6. STOCKHOLDERS' EQUITY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Outstanding warrant securities consist of the following at March 31, 2009:</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ind w:left="120"/>
              <w:spacing w:after="0"/>
              <w:rPr>
                <w:sz w:val="20"/>
                <w:szCs w:val="20"/>
                <w:color w:val="auto"/>
              </w:rPr>
            </w:pPr>
            <w:r>
              <w:rPr>
                <w:rFonts w:ascii="Arial" w:cs="Arial" w:eastAsia="Arial" w:hAnsi="Arial"/>
                <w:sz w:val="18"/>
                <w:szCs w:val="18"/>
                <w:color w:val="auto"/>
                <w:w w:val="92"/>
              </w:rPr>
              <w:t>Exercise</w:t>
            </w:r>
          </w:p>
        </w:tc>
        <w:tc>
          <w:tcPr>
            <w:tcW w:w="520" w:type="dxa"/>
            <w:vAlign w:val="bottom"/>
          </w:tcPr>
          <w:p>
            <w:pPr>
              <w:spacing w:after="0"/>
              <w:rPr>
                <w:sz w:val="18"/>
                <w:szCs w:val="18"/>
                <w:color w:val="auto"/>
              </w:rPr>
            </w:pPr>
          </w:p>
        </w:tc>
        <w:tc>
          <w:tcPr>
            <w:tcW w:w="4500" w:type="dxa"/>
            <w:vAlign w:val="bottom"/>
          </w:tcPr>
          <w:p>
            <w:pPr>
              <w:spacing w:after="0"/>
              <w:rPr>
                <w:sz w:val="18"/>
                <w:szCs w:val="18"/>
                <w:color w:val="auto"/>
              </w:rPr>
            </w:pPr>
          </w:p>
        </w:tc>
      </w:tr>
      <w:tr>
        <w:trPr>
          <w:trHeight w:val="230"/>
        </w:trPr>
        <w:tc>
          <w:tcPr>
            <w:tcW w:w="400" w:type="dxa"/>
            <w:vAlign w:val="bottom"/>
          </w:tcPr>
          <w:p>
            <w:pPr>
              <w:spacing w:after="0"/>
              <w:rPr>
                <w:sz w:val="20"/>
                <w:szCs w:val="20"/>
                <w:color w:val="auto"/>
              </w:rPr>
            </w:pPr>
          </w:p>
        </w:tc>
        <w:tc>
          <w:tcPr>
            <w:tcW w:w="39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ind w:left="120"/>
              <w:spacing w:after="0"/>
              <w:rPr>
                <w:sz w:val="20"/>
                <w:szCs w:val="20"/>
                <w:color w:val="auto"/>
              </w:rPr>
            </w:pPr>
            <w:r>
              <w:rPr>
                <w:rFonts w:ascii="Arial" w:cs="Arial" w:eastAsia="Arial" w:hAnsi="Arial"/>
                <w:sz w:val="18"/>
                <w:szCs w:val="18"/>
                <w:color w:val="auto"/>
              </w:rPr>
              <w:t>Price</w:t>
            </w:r>
          </w:p>
        </w:tc>
        <w:tc>
          <w:tcPr>
            <w:tcW w:w="520" w:type="dxa"/>
            <w:vAlign w:val="bottom"/>
          </w:tcPr>
          <w:p>
            <w:pPr>
              <w:spacing w:after="0"/>
              <w:rPr>
                <w:sz w:val="20"/>
                <w:szCs w:val="20"/>
                <w:color w:val="auto"/>
              </w:rPr>
            </w:pPr>
          </w:p>
        </w:tc>
        <w:tc>
          <w:tcPr>
            <w:tcW w:w="4500" w:type="dxa"/>
            <w:vAlign w:val="bottom"/>
          </w:tcPr>
          <w:p>
            <w:pPr>
              <w:ind w:left="60"/>
              <w:spacing w:after="0"/>
              <w:rPr>
                <w:sz w:val="20"/>
                <w:szCs w:val="20"/>
                <w:color w:val="auto"/>
              </w:rPr>
            </w:pPr>
            <w:r>
              <w:rPr>
                <w:rFonts w:ascii="Arial" w:cs="Arial" w:eastAsia="Arial" w:hAnsi="Arial"/>
                <w:sz w:val="18"/>
                <w:szCs w:val="18"/>
                <w:color w:val="auto"/>
              </w:rPr>
              <w:t>Expiration</w:t>
            </w:r>
          </w:p>
        </w:tc>
      </w:tr>
      <w:tr>
        <w:trPr>
          <w:trHeight w:val="216"/>
        </w:trPr>
        <w:tc>
          <w:tcPr>
            <w:tcW w:w="436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Laurus Warrants</w:t>
            </w:r>
          </w:p>
        </w:tc>
        <w:tc>
          <w:tcPr>
            <w:tcW w:w="12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554,282</w:t>
            </w:r>
          </w:p>
        </w:tc>
        <w:tc>
          <w:tcPr>
            <w:tcW w:w="780" w:type="dxa"/>
            <w:vAlign w:val="bottom"/>
            <w:shd w:val="clear" w:color="auto" w:fill="CCFFCC"/>
          </w:tcPr>
          <w:p>
            <w:pPr>
              <w:ind w:left="12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FFCC"/>
          </w:tcPr>
          <w:p>
            <w:pPr>
              <w:jc w:val="right"/>
              <w:spacing w:after="0"/>
              <w:rPr>
                <w:sz w:val="20"/>
                <w:szCs w:val="20"/>
                <w:color w:val="auto"/>
              </w:rPr>
            </w:pPr>
            <w:r>
              <w:rPr>
                <w:rFonts w:ascii="Arial" w:cs="Arial" w:eastAsia="Arial" w:hAnsi="Arial"/>
                <w:sz w:val="18"/>
                <w:szCs w:val="18"/>
                <w:color w:val="auto"/>
                <w:w w:val="97"/>
              </w:rPr>
              <w:t>0.001</w:t>
            </w:r>
          </w:p>
        </w:tc>
        <w:tc>
          <w:tcPr>
            <w:tcW w:w="4500" w:type="dxa"/>
            <w:vAlign w:val="bottom"/>
            <w:shd w:val="clear" w:color="auto" w:fill="CCFFCC"/>
          </w:tcPr>
          <w:p>
            <w:pPr>
              <w:ind w:left="60"/>
              <w:spacing w:after="0"/>
              <w:rPr>
                <w:sz w:val="20"/>
                <w:szCs w:val="20"/>
                <w:color w:val="auto"/>
              </w:rPr>
            </w:pPr>
            <w:r>
              <w:rPr>
                <w:rFonts w:ascii="Arial" w:cs="Arial" w:eastAsia="Arial" w:hAnsi="Arial"/>
                <w:sz w:val="18"/>
                <w:szCs w:val="18"/>
                <w:color w:val="auto"/>
              </w:rPr>
              <w:t>None</w:t>
            </w:r>
          </w:p>
        </w:tc>
      </w:tr>
      <w:tr>
        <w:trPr>
          <w:trHeight w:val="216"/>
        </w:trPr>
        <w:tc>
          <w:tcPr>
            <w:tcW w:w="400" w:type="dxa"/>
            <w:vAlign w:val="bottom"/>
          </w:tcPr>
          <w:p>
            <w:pPr>
              <w:spacing w:after="0"/>
              <w:rPr>
                <w:sz w:val="20"/>
                <w:szCs w:val="20"/>
                <w:color w:val="auto"/>
              </w:rPr>
            </w:pPr>
            <w:r>
              <w:rPr>
                <w:rFonts w:ascii="Arial" w:cs="Arial" w:eastAsia="Arial" w:hAnsi="Arial"/>
                <w:sz w:val="18"/>
                <w:szCs w:val="18"/>
                <w:color w:val="auto"/>
                <w:w w:val="94"/>
              </w:rPr>
              <w:t>2006</w:t>
            </w:r>
          </w:p>
        </w:tc>
        <w:tc>
          <w:tcPr>
            <w:tcW w:w="3960" w:type="dxa"/>
            <w:vAlign w:val="bottom"/>
          </w:tcPr>
          <w:p>
            <w:pPr>
              <w:ind w:left="20"/>
              <w:spacing w:after="0"/>
              <w:rPr>
                <w:sz w:val="20"/>
                <w:szCs w:val="20"/>
                <w:color w:val="auto"/>
              </w:rPr>
            </w:pPr>
            <w:r>
              <w:rPr>
                <w:rFonts w:ascii="Arial" w:cs="Arial" w:eastAsia="Arial" w:hAnsi="Arial"/>
                <w:sz w:val="18"/>
                <w:szCs w:val="18"/>
                <w:color w:val="auto"/>
              </w:rPr>
              <w:t>Private Placement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1,350,000</w:t>
            </w:r>
          </w:p>
        </w:tc>
        <w:tc>
          <w:tcPr>
            <w:tcW w:w="780" w:type="dxa"/>
            <w:vAlign w:val="bottom"/>
          </w:tcPr>
          <w:p>
            <w:pPr>
              <w:ind w:left="12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0.01</w:t>
            </w:r>
          </w:p>
        </w:tc>
        <w:tc>
          <w:tcPr>
            <w:tcW w:w="4500" w:type="dxa"/>
            <w:vAlign w:val="bottom"/>
          </w:tcPr>
          <w:p>
            <w:pPr>
              <w:ind w:left="60"/>
              <w:spacing w:after="0"/>
              <w:rPr>
                <w:sz w:val="20"/>
                <w:szCs w:val="20"/>
                <w:color w:val="auto"/>
              </w:rPr>
            </w:pPr>
            <w:r>
              <w:rPr>
                <w:rFonts w:ascii="Arial" w:cs="Arial" w:eastAsia="Arial" w:hAnsi="Arial"/>
                <w:sz w:val="18"/>
                <w:szCs w:val="18"/>
                <w:color w:val="auto"/>
              </w:rPr>
              <w:t>April to November 2009</w:t>
            </w:r>
          </w:p>
        </w:tc>
      </w:tr>
      <w:tr>
        <w:trPr>
          <w:trHeight w:val="216"/>
        </w:trPr>
        <w:tc>
          <w:tcPr>
            <w:tcW w:w="400" w:type="dxa"/>
            <w:vAlign w:val="bottom"/>
            <w:shd w:val="clear" w:color="auto" w:fill="CCFFCC"/>
          </w:tcPr>
          <w:p>
            <w:pPr>
              <w:spacing w:after="0"/>
              <w:rPr>
                <w:sz w:val="20"/>
                <w:szCs w:val="20"/>
                <w:color w:val="auto"/>
              </w:rPr>
            </w:pPr>
            <w:r>
              <w:rPr>
                <w:rFonts w:ascii="Arial" w:cs="Arial" w:eastAsia="Arial" w:hAnsi="Arial"/>
                <w:sz w:val="18"/>
                <w:szCs w:val="18"/>
                <w:color w:val="auto"/>
                <w:w w:val="94"/>
              </w:rPr>
              <w:t>2007</w:t>
            </w:r>
          </w:p>
        </w:tc>
        <w:tc>
          <w:tcPr>
            <w:tcW w:w="3960" w:type="dxa"/>
            <w:vAlign w:val="bottom"/>
            <w:shd w:val="clear" w:color="auto" w:fill="CCFFCC"/>
          </w:tcPr>
          <w:p>
            <w:pPr>
              <w:ind w:left="20"/>
              <w:spacing w:after="0"/>
              <w:rPr>
                <w:sz w:val="20"/>
                <w:szCs w:val="20"/>
                <w:color w:val="auto"/>
              </w:rPr>
            </w:pPr>
            <w:r>
              <w:rPr>
                <w:rFonts w:ascii="Arial" w:cs="Arial" w:eastAsia="Arial" w:hAnsi="Arial"/>
                <w:sz w:val="18"/>
                <w:szCs w:val="18"/>
                <w:color w:val="auto"/>
              </w:rPr>
              <w:t>Short Term Financing</w:t>
            </w:r>
          </w:p>
        </w:tc>
        <w:tc>
          <w:tcPr>
            <w:tcW w:w="12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890,000</w:t>
            </w:r>
          </w:p>
        </w:tc>
        <w:tc>
          <w:tcPr>
            <w:tcW w:w="780" w:type="dxa"/>
            <w:vAlign w:val="bottom"/>
            <w:shd w:val="clear" w:color="auto" w:fill="CCFFCC"/>
          </w:tcPr>
          <w:p>
            <w:pPr>
              <w:ind w:left="12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0.01</w:t>
            </w:r>
          </w:p>
        </w:tc>
        <w:tc>
          <w:tcPr>
            <w:tcW w:w="4500" w:type="dxa"/>
            <w:vAlign w:val="bottom"/>
            <w:shd w:val="clear" w:color="auto" w:fill="CCFFCC"/>
          </w:tcPr>
          <w:p>
            <w:pPr>
              <w:ind w:left="60"/>
              <w:spacing w:after="0"/>
              <w:rPr>
                <w:sz w:val="20"/>
                <w:szCs w:val="20"/>
                <w:color w:val="auto"/>
              </w:rPr>
            </w:pPr>
            <w:r>
              <w:rPr>
                <w:rFonts w:ascii="Arial" w:cs="Arial" w:eastAsia="Arial" w:hAnsi="Arial"/>
                <w:sz w:val="18"/>
                <w:szCs w:val="18"/>
                <w:color w:val="auto"/>
              </w:rPr>
              <w:t>April to November 2010</w:t>
            </w:r>
          </w:p>
        </w:tc>
      </w:tr>
      <w:tr>
        <w:trPr>
          <w:trHeight w:val="223"/>
        </w:trPr>
        <w:tc>
          <w:tcPr>
            <w:tcW w:w="4360" w:type="dxa"/>
            <w:vAlign w:val="bottom"/>
            <w:gridSpan w:val="2"/>
          </w:tcPr>
          <w:p>
            <w:pPr>
              <w:spacing w:after="0"/>
              <w:rPr>
                <w:sz w:val="20"/>
                <w:szCs w:val="20"/>
                <w:color w:val="auto"/>
              </w:rPr>
            </w:pPr>
            <w:r>
              <w:rPr>
                <w:rFonts w:ascii="Arial" w:cs="Arial" w:eastAsia="Arial" w:hAnsi="Arial"/>
                <w:sz w:val="18"/>
                <w:szCs w:val="18"/>
                <w:color w:val="auto"/>
              </w:rPr>
              <w:t>Others</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312,500</w:t>
            </w:r>
          </w:p>
        </w:tc>
        <w:tc>
          <w:tcPr>
            <w:tcW w:w="100" w:type="dxa"/>
            <w:vAlign w:val="bottom"/>
          </w:tcPr>
          <w:p>
            <w:pPr>
              <w:spacing w:after="0"/>
              <w:rPr>
                <w:sz w:val="19"/>
                <w:szCs w:val="19"/>
                <w:color w:val="auto"/>
              </w:rPr>
            </w:pPr>
          </w:p>
        </w:tc>
        <w:tc>
          <w:tcPr>
            <w:tcW w:w="780" w:type="dxa"/>
            <w:vAlign w:val="bottom"/>
          </w:tcPr>
          <w:p>
            <w:pPr>
              <w:ind w:left="12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0.82</w:t>
            </w:r>
          </w:p>
        </w:tc>
        <w:tc>
          <w:tcPr>
            <w:tcW w:w="4500" w:type="dxa"/>
            <w:vAlign w:val="bottom"/>
          </w:tcPr>
          <w:p>
            <w:pPr>
              <w:ind w:left="60"/>
              <w:spacing w:after="0"/>
              <w:rPr>
                <w:sz w:val="20"/>
                <w:szCs w:val="20"/>
                <w:color w:val="auto"/>
              </w:rPr>
            </w:pPr>
            <w:r>
              <w:rPr>
                <w:rFonts w:ascii="Arial" w:cs="Arial" w:eastAsia="Arial" w:hAnsi="Arial"/>
                <w:sz w:val="18"/>
                <w:szCs w:val="18"/>
                <w:color w:val="auto"/>
              </w:rPr>
              <w:t>June 2011</w:t>
            </w:r>
          </w:p>
        </w:tc>
      </w:tr>
      <w:tr>
        <w:trPr>
          <w:trHeight w:val="257"/>
        </w:trPr>
        <w:tc>
          <w:tcPr>
            <w:tcW w:w="400" w:type="dxa"/>
            <w:vAlign w:val="bottom"/>
            <w:tcBorders>
              <w:bottom w:val="single" w:sz="8" w:color="CCFFCC"/>
            </w:tcBorders>
            <w:shd w:val="clear" w:color="auto" w:fill="CCFFCC"/>
          </w:tcPr>
          <w:p>
            <w:pPr>
              <w:spacing w:after="0"/>
              <w:rPr>
                <w:sz w:val="22"/>
                <w:szCs w:val="22"/>
                <w:color w:val="auto"/>
              </w:rPr>
            </w:pPr>
          </w:p>
        </w:tc>
        <w:tc>
          <w:tcPr>
            <w:tcW w:w="3960" w:type="dxa"/>
            <w:vAlign w:val="bottom"/>
            <w:tcBorders>
              <w:bottom w:val="single" w:sz="8" w:color="CCFFCC"/>
            </w:tcBorders>
            <w:shd w:val="clear" w:color="auto" w:fill="CCFFCC"/>
          </w:tcPr>
          <w:p>
            <w:pPr>
              <w:spacing w:after="0"/>
              <w:rPr>
                <w:sz w:val="22"/>
                <w:szCs w:val="22"/>
                <w:color w:val="auto"/>
              </w:rPr>
            </w:pPr>
          </w:p>
        </w:tc>
        <w:tc>
          <w:tcPr>
            <w:tcW w:w="11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3,106,782</w:t>
            </w:r>
          </w:p>
        </w:tc>
        <w:tc>
          <w:tcPr>
            <w:tcW w:w="100" w:type="dxa"/>
            <w:vAlign w:val="bottom"/>
            <w:tcBorders>
              <w:bottom w:val="single" w:sz="8" w:color="CCFFCC"/>
            </w:tcBorders>
            <w:shd w:val="clear" w:color="auto" w:fill="CCFFCC"/>
          </w:tcPr>
          <w:p>
            <w:pPr>
              <w:spacing w:after="0"/>
              <w:rPr>
                <w:sz w:val="22"/>
                <w:szCs w:val="22"/>
                <w:color w:val="auto"/>
              </w:rPr>
            </w:pPr>
          </w:p>
        </w:tc>
        <w:tc>
          <w:tcPr>
            <w:tcW w:w="780" w:type="dxa"/>
            <w:vAlign w:val="bottom"/>
            <w:tcBorders>
              <w:bottom w:val="single" w:sz="8" w:color="CCFFCC"/>
            </w:tcBorders>
            <w:shd w:val="clear" w:color="auto" w:fill="CCFFCC"/>
          </w:tcPr>
          <w:p>
            <w:pPr>
              <w:spacing w:after="0"/>
              <w:rPr>
                <w:sz w:val="22"/>
                <w:szCs w:val="22"/>
                <w:color w:val="auto"/>
              </w:rPr>
            </w:pPr>
          </w:p>
        </w:tc>
        <w:tc>
          <w:tcPr>
            <w:tcW w:w="520" w:type="dxa"/>
            <w:vAlign w:val="bottom"/>
            <w:tcBorders>
              <w:bottom w:val="single" w:sz="8" w:color="CCFFCC"/>
            </w:tcBorders>
            <w:shd w:val="clear" w:color="auto" w:fill="CCFFCC"/>
          </w:tcPr>
          <w:p>
            <w:pPr>
              <w:spacing w:after="0"/>
              <w:rPr>
                <w:sz w:val="22"/>
                <w:szCs w:val="22"/>
                <w:color w:val="auto"/>
              </w:rPr>
            </w:pPr>
          </w:p>
        </w:tc>
        <w:tc>
          <w:tcPr>
            <w:tcW w:w="4500" w:type="dxa"/>
            <w:vAlign w:val="bottom"/>
            <w:tcBorders>
              <w:bottom w:val="single" w:sz="8" w:color="CCFFCC"/>
            </w:tcBorders>
            <w:shd w:val="clear" w:color="auto" w:fill="CCFFCC"/>
          </w:tcPr>
          <w:p>
            <w:pPr>
              <w:spacing w:after="0"/>
              <w:rPr>
                <w:sz w:val="22"/>
                <w:szCs w:val="22"/>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STOCK-BASED COMPENSATION</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Share-based compensation expense recognized for the three months ended March 31, 2009 and 2008 was $66,039 and $73,074, respectively. Share-based compensation expense recognized in the Company's condensed consolidated statements of operations includes compensation expense for share-based payment awards granted prior to, but not yet vested as of December 31, 2005, based on the grant-date fair value estimated in accordance with the provisions of ASC Topic 718</w:t>
      </w:r>
      <w:r>
        <w:rPr>
          <w:rFonts w:ascii="Arial" w:cs="Arial" w:eastAsia="Arial" w:hAnsi="Arial"/>
          <w:sz w:val="18"/>
          <w:szCs w:val="18"/>
          <w:b w:val="1"/>
          <w:bCs w:val="1"/>
          <w:color w:val="auto"/>
        </w:rPr>
        <w:t>:</w:t>
      </w:r>
      <w:r>
        <w:rPr>
          <w:rFonts w:ascii="Arial" w:cs="Arial" w:eastAsia="Arial" w:hAnsi="Arial"/>
          <w:sz w:val="18"/>
          <w:szCs w:val="18"/>
          <w:color w:val="auto"/>
        </w:rPr>
        <w:t xml:space="preserve"> Compensation</w:t>
      </w:r>
      <w:r>
        <w:rPr>
          <w:rFonts w:ascii="Arial" w:cs="Arial" w:eastAsia="Arial" w:hAnsi="Arial"/>
          <w:sz w:val="18"/>
          <w:szCs w:val="18"/>
          <w:b w:val="1"/>
          <w:bCs w:val="1"/>
          <w:color w:val="auto"/>
        </w:rPr>
        <w:t>-</w:t>
      </w:r>
      <w:r>
        <w:rPr>
          <w:rFonts w:ascii="Arial" w:cs="Arial" w:eastAsia="Arial" w:hAnsi="Arial"/>
          <w:sz w:val="18"/>
          <w:szCs w:val="18"/>
          <w:color w:val="auto"/>
        </w:rPr>
        <w:t>Stock Compensation</w:t>
      </w:r>
      <w:r>
        <w:rPr>
          <w:rFonts w:ascii="Arial" w:cs="Arial" w:eastAsia="Arial" w:hAnsi="Arial"/>
          <w:sz w:val="18"/>
          <w:szCs w:val="18"/>
          <w:b w:val="1"/>
          <w:bCs w:val="1"/>
          <w:color w:val="auto"/>
        </w:rPr>
        <w:t>.</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ITEM 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following discussion and analysis and results of operations should be read in conjunction with the unaudited condensed consolidated financial statements and accompanying notes and the other financial information appearing elsewhere in this report and reports included herein by reference. The following discussion contains forward-looking statements that reflect our plans, estimates and beliefs. Our actual results could differ materially from those discussed in the forward-looking statements.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HISTORY</w:t>
      </w:r>
    </w:p>
    <w:p>
      <w:pPr>
        <w:spacing w:after="0" w:line="25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were formerly known as Houston Operating Company and were incorporated in Delaware on August 31, 1989. On December 9, 2004, we entered into an Acquisition Agreement with all of the stockholders of NetFabric Corp., a Delaware corporation. NetFabric Corp. was incorporated in Delaware on December 17, 2002 and began operations in July 2003. At the closing, which occurred simultaneously with the execution of the Acquisition Agreement, we acquired all of the issued and outstanding capital stock of NetFabric Corp. from the stockholders in exchange for an aggregate of 32,137,032 newly-issued shares of our common stock. The acquisition was accounted for as a reverse merger whereby NetFabric Corp. was treated as the acquirer. On April 19, 2005, our name was changed from Houston Operating Company to NetFabric Holdings, Inc. and our stock symbol was changed from "HOOC" to "NFBH."</w:t>
      </w:r>
    </w:p>
    <w:p>
      <w:pPr>
        <w:spacing w:after="0" w:line="19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Prior to acquiring NetFabric Corp., Houston Operating Company did not have any operations, and we were a shell company whose primary business objective was to merge and become public. NetFabric Corp. was a provider of hardware and services to small to mid-sized businesses ("SMBs") that utilized the Internet for telephone communications or Voice over Internet Protocol ("VoIP"). It developed and marketed appliances or Customer Premises Equipment ("CPE") that simplified the integration of standard telephone systems with an IP infrastructure. In addition, NetFabric Corp resold transport services of a third party VoIP transport provider.</w:t>
      </w:r>
    </w:p>
    <w:p>
      <w:pPr>
        <w:spacing w:after="0" w:line="21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With minimal revenues from VoIP operations, we concluded that we could not implement our original business plan for VoIP operations within our resources or with the additional capital we could raise in the near term. On May 5, 2006, our Board of Directors decided that the Company should exit the hardware-based VoIP communications product line (including resale of transport services) that is targeted to SMBs.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UCA SERVICES, INC. ACQUISITION</w:t>
      </w:r>
    </w:p>
    <w:p>
      <w:pPr>
        <w:spacing w:after="0" w:line="25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May 20, 2005, we entered into and closed on a share exchange agreement, whereby we purchased all of the issued and outstanding shares of UCA Services, Inc., a New Jersey company (“UCA”) from its shareholders in exchange for the issuance of 24,096,154 shares of our common stock. UCA is an IT services and solutions company that serves the information needs of a wide range of Fortune 500 clients in the financial markets industry and the pharmaceutical, health care and hospitality sectors. UCA delivers a broad range of IT services in managed services, professional services, infrastructure building and maintenance, application development and maintenance areas. The acquisition was accounted for using the purchase method of accounting with UCA’s results of operations included in our consolidated financial statements from the date of acquisition.</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DISCONTINUED OPERATIONS</w:t>
      </w:r>
    </w:p>
    <w:p>
      <w:pPr>
        <w:spacing w:after="0" w:line="25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August 24, 2009, the Company along with its wholly-owned subsidiary, UCA and Fortify entered into Amendment No. 1 (“Amendment”) to the Option and Purchase Agreement (“Option Agreement”) in connection with the closing of Fortify’s purchase of all of the outstanding capital stock of UCA upon exercise of its option granted under the Option Agreement. Pursuant to the Amendment, among other things, the Secured Convertible Promissory Note in the principal amount of $5 million (including the related accrued interest) issued by UCA to Fortify was cancelled, releases of certain obligations of the parties were granted as specified in the Amendment, and the commencement date and measurement period for the earn-out and bonuses provided for in the Option Agreement were modified. Effective August 24, 2009, the Company transferred its ownership interest in UCA to Fortify.</w:t>
      </w:r>
    </w:p>
    <w:p>
      <w:pPr>
        <w:spacing w:after="0" w:line="20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accordance with FASB ASC 205-20-45-1 “Presentation of Financial Statements-Discontinued Operations-Other Presentation Matters” the Company has presented the results of UCA operations as discontinued operations in the accompanying consolidated balance sheet, statement of operations and statement of cash flows.</w:t>
      </w:r>
    </w:p>
    <w:p>
      <w:pPr>
        <w:spacing w:after="0" w:line="20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UCA derived revenues primarily from managed IT services, professional services, application development services and business process management services. Service arrangements with customers were generally on a time and material basis or fixed-price, fixed-timeframe revenue basis. UCA’s principal operating expenses were direct employee costs, consultant expenses and selling, general and administrative expenses. The principal components of selling, general and administrative expenses were salaries of sales and support personnel, and office rent. Direct employee costs and consultant expenses were comprised primarily of the costs of consultant labor, including employees, subcontractors and independent contractors, and related employee benefits. Approximately 50% of our consultants were employees and the remainder are subcontractors and independent contractors.</w:t>
      </w:r>
    </w:p>
    <w:p>
      <w:pPr>
        <w:spacing w:after="0" w:line="20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compensated most of our consultants only for the hours that we bill to our clients for projects undertaken, which allowed us to better match our labor costs with our revenue generation. With respect to our consultant employees, we were responsible for employment-related taxes, medical and health care costs and workers' compensation. Labor costs were sensitive to shifts in the supply and demand of IT professionals, as well as increases in the costs of benefits and taxes.</w:t>
      </w: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After the divesture of UCA, the Company does not have any operations. In the past, our operations was that of a holding company that housed the finance and administrative functions and was responsible for financing transactions and regulatory compliance activities.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Three Months Ended March 31, 2009 and 2008:</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selling, general and administrative expenses increased for the three months ended March 31, 2009 by $309,817, or 235.8%, to $441,184. The increase was due to bonus/ one-time payment to an officer and additional professions fees incurred in connection with UCA transaction.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Amortization of debt discount</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Amortization of debt discount for the three months March 31, 2009 decreased by $89,504 or 49.3%, from $181,366 to $91,862. The reduction was due to the maturity of Laurus debt and by the maturity all discount was amortized. The debt was repaid at the maturity in March 2009 from the Fortify transaction, and there were no additional borrowings incurred after the repayment.</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i w:val="1"/>
          <w:iCs w:val="1"/>
          <w:color w:val="auto"/>
        </w:rPr>
        <w:t>Debt issuance costs</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paid approximately $48,000 fees in connection with our short term borrowing during the three months ended March 31, 2009, which was charged to operation. In 2008, we incurred approximately $132,000 in fees during the three months ended March 31, 2008. The decrease was due to the repayment of short term borrowings from the Fortify transaction.</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25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For the three months ended March 31, 2009, interest expense decreased by $66,792, or 64.8%, to $36,271 from $103,063. The decrease due to the repayment of Laurus and other debt from the proceeds of the Fortify transaction in March 2009.</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Discontinued Operations</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August 24, 2009, we transferred our ownership interest in UCA to Fortify. In accordance with FASB ASC 205-20-45-1 “Presentation of Financial Statements-Discontinued Operations-Other Presentation Matters” we have presented the results of UCA operations as discontinued operations in the accompanying consolidated balance sheets, statement of operations and statement of cash flows.</w:t>
      </w:r>
    </w:p>
    <w:p>
      <w:pPr>
        <w:spacing w:after="0" w:line="20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the three months ended March 31, 2009, our income from discontinued operations was $198,246 compared to $223,535 in the comparable period of 2008. Decreased revenues in UCA due to non- renewal or termination of certain projects undertaken in 2008 resulted in decreased profits in 2009 compared to 2008.</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loss</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a result of the foregoing, for the three months ended March 31, 2009, net loss increased by $85, 090, or 25.5%, to a loss of $418,701, compared to a net loss of $333,611 during the three months ended March 31, 2008.</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March 31, 2009, our working capital deficiency was $6,510,323, compared to a working capital deficiency of $6,212,328 on December 31, 2008. The increase was due to the net loss incurred during the three months ended March 31, 2009. During the three months ended March 31, 2009, our operating activities from continuing operations used approximately $956,000 of cash, compared to approximately $518,000 used during the three months ended March 31, 2008.</w:t>
      </w:r>
    </w:p>
    <w:p>
      <w:pPr>
        <w:spacing w:after="0" w:line="21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During the three months ended March 31, 2009, our continuing operating losses, after adjusting for non-cash items, used approximately $411,000 of cash, and working capital items used approximately $545,000 of cash. The principal component of these working capital changes was a decrease in our accounts payable and accrued compensation. During the three months ended March 31, 2008, our continuing operating losses, after adjusting for non-cash items, utilized approximately $115,000 of cash, and working capital items used approximately $403,000 of cash.</w:t>
      </w:r>
    </w:p>
    <w:p>
      <w:pPr>
        <w:spacing w:after="0" w:line="19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On March 12, 2009, we, along with our wholly owned subsidiary, UCA entered into a Convertible Note Purchase Agreement dated March 12, 2009 with Fortify Infrastructure Services, Inc. (“Fortify). Pursuant to the Convertible Note Purchase Agreement, Fortify purchased a Secured Convertible Promissory Note (the “Note”) from UCA in the principal amount of $5 million with us Company being a guarantor for UCA’s borrowings.</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4" w:name="page15"/>
    <w:bookmarkEnd w:id="14"/>
    <w:p>
      <w:pPr>
        <w:jc w:val="both"/>
        <w:ind w:firstLine="55"/>
        <w:spacing w:after="0" w:line="259" w:lineRule="auto"/>
        <w:rPr>
          <w:sz w:val="20"/>
          <w:szCs w:val="20"/>
          <w:color w:val="auto"/>
        </w:rPr>
      </w:pPr>
      <w:r>
        <w:rPr>
          <w:rFonts w:ascii="Arial" w:cs="Arial" w:eastAsia="Arial" w:hAnsi="Arial"/>
          <w:sz w:val="18"/>
          <w:szCs w:val="18"/>
          <w:color w:val="auto"/>
        </w:rPr>
        <w:t>The Note had a six-month term, and with interest at 8% per annum, compounded annually. The Note was secured by (i) all of the assets of UCA and our Company and (ii) all of the equity securities of UCA then owned or thereafter acquired by us. At the exclusive option of Fortify, Fortify may convert the entire principal amount of and accrued and unpaid interest on the Note into shares of Series A Preferred Stock of UCA. The conversion price shall be at a price equal to the price per share reflecting a valuation of UCA equal to $5 million, on an as-converted basis.</w:t>
      </w:r>
    </w:p>
    <w:p>
      <w:pPr>
        <w:spacing w:after="0" w:line="21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Fortify, UCA and the Company also entered into an Option and Purchase Agreement (“Option Agreement”). Pursuant to the Option Agreement, Fortify has an option to acquire all of the outstanding shares of common stock of UCA. Upon effectiveness of the our Definitive Schedule 14 C Information Statement to be filed with the Securities and Exchange Commission (the “SEC”) in connection with certain actions taken by the written consent of holders of a majority of our outstanding common stock approving the terms of the Option Agreement, Fortify will exercise the option. Upon exercise of the Option, will be released from the guaranty obligations of the Note. Fortify will pay us $500,000 (“Fixed Payment”) one year from the date the option is exercised. In addition, Fortify will pay additional amounts to us (up to a maximum of $500,000) and certain employees of UCA based on UCA’s performance during the periods specified in the Option Agreement (“Performance Payment”).</w:t>
      </w:r>
    </w:p>
    <w:p>
      <w:pPr>
        <w:spacing w:after="0" w:line="21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holders of a majority of our outstanding common stock had previously approved the terms of the Option Agreement by a written consent as detailed in our Definitive Schedule 14 C Information Statement filed with the SEC on July 9, 2009.</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used approximately $3 million from the proceeds of the Note to repay all amounts owed to Laurus Master Fund. The balance of the proceeds was be used for repayment of debt, other payables and for working capital purposes.</w:t>
      </w:r>
    </w:p>
    <w:p>
      <w:pPr>
        <w:spacing w:after="0" w:line="19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August 24, 2009,we along with its wholly-owned subsidiary, UCA and Fortify entered into Amendment No. 1 (“Amendment”) to the Option and Purchase Agreement (“Option Agreement”) in connection with the closing of Fortify’s purchase of all of the outstanding capital stock of UCA upon exercise of its option granted under the Option Agreement. Pursuant to the Amendment, among other things, the Secured Convertible Promissory Note in the principal amount of $5 million (including the related accrued interest) issued by UCA to Fortify was cancelled, releases of certain obligations of the parties were granted as specified in the Amendment, and the commencement date and measurement period for the earn-out and bonuses provided for in the Option Agreement were modified. Effective August 24, 2009, we transferred our ownership interest in UCA to Fortify.</w:t>
      </w:r>
    </w:p>
    <w:p>
      <w:pPr>
        <w:spacing w:after="0" w:line="20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April 27, 2010,we entered into a Memorandum of Understanding (“MOU”) with Fortify and amended the Fixed Payment and Performance Payment previously agreed by them. Pursuant to Fortify agreeing to pay the amounts on accelerated basis unconditionally, we agreed to accept $850,000 in aggregate as the full settlement of Fixed Payment and Performance payments. This amount was received us in May 2010</w:t>
      </w:r>
    </w:p>
    <w:p>
      <w:pPr>
        <w:spacing w:after="0" w:line="208"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After the divesture of UCA, we do not have any operations. However, we are debt free. We will explore strategic alternatives including merger with another entity. Currently, we do not have any agreement or understanding with any entity and there is no assurance that such a transaction will ever be consummated.</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EVALUATION OF DISCLOSURE CONTROLS AND PROCEDURES:</w:t>
      </w:r>
    </w:p>
    <w:p>
      <w:pPr>
        <w:spacing w:after="0" w:line="25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Our disclosure controls and procedures are designed to ensure that information required to be disclosed in the reports filed or submitted under the Securities Exchange Act of 1934 (the "Exchange Act") is recorded, processed, summarized and reported, within the time period specified in the SEC's rules and forms. Disclosure controls and procedures include, without limitation, controls and procedures designed to ensure that information required to be disclosed in the reports filed under the Exchange Act are accumulated and communicated to management, including the Chief Executive Officer ("CEO"") and Chief Financial Officer ("CFO") , as appropriate, to allow timely decisions regarding required disclosure. As of the end of the period covered by this report, we carried out an evaluation, under the supervision and with participation of our management, including our CEO and CFO, of the effectiveness of the design and operation of our disclosure controls and procedures. Based upon and as of the date of that evaluation, the CEO and CFO concluded that our disclosure controls and procedures are effective to ensure that information required to be disclosed in the reports we file and submit under the Exchange Act are recorded, processed, summarized and reported as and when required.</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CHANGES IN INTERNAL CONTROL OVER FINANCIAL REPORTING:</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were no changes in our internal controls over financial reporting during the most recent fiscal quarter that have materially affected or are reasonably likely to materially affect our internal control over financial reporting.</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from time to time is involved in routine legal matters incidental to business. In the opinion of management, the ultimate resolution of such matters will not have a material adverse effect on the Company's financial position, results of operations or liquidity.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SUBMISSION OF MATTERS TO A VOTE OF SECURITY HOLDERS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ITEM 6. EXHIBITS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(a) Exhibits:</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31.1 Rule 13a-14(a)/15d-14(a) Certification (CEO)</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31.2 Rule 13a-14(a)/15d-14(a) Certification (CFO)</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32.1 Section 1350 Certification (CEO)</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32.2 Section 1350 Certification (CFO)</w:t>
      </w:r>
    </w:p>
    <w:p>
      <w:pPr>
        <w:spacing w:after="0" w:line="200" w:lineRule="exact"/>
        <w:rPr>
          <w:sz w:val="20"/>
          <w:szCs w:val="20"/>
          <w:color w:val="auto"/>
        </w:rPr>
      </w:pPr>
    </w:p>
    <w:p>
      <w:pPr>
        <w:spacing w:after="0" w:line="201" w:lineRule="exact"/>
        <w:rPr>
          <w:sz w:val="20"/>
          <w:szCs w:val="20"/>
          <w:color w:val="auto"/>
        </w:rPr>
      </w:pPr>
    </w:p>
    <w:p>
      <w:pPr>
        <w:jc w:val="right"/>
        <w:ind w:right="435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513" w:right="1440" w:bottom="1440" w:gutter="0" w:footer="0" w:header="0"/>
        </w:sectPr>
      </w:pPr>
    </w:p>
    <w:bookmarkStart w:id="17" w:name="page18"/>
    <w:bookmarkEnd w:id="17"/>
    <w:p>
      <w:pPr>
        <w:jc w:val="center"/>
        <w:ind w:right="-139"/>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accordance with the requirements of Section 13 or 15(d) of the Securities Exchange Act , the registrant has caused this report to be signed on its behalf by the undersigned, thereunto duly authorized.</w:t>
      </w:r>
    </w:p>
    <w:p>
      <w:pPr>
        <w:spacing w:after="0" w:line="197" w:lineRule="exact"/>
        <w:rPr>
          <w:sz w:val="20"/>
          <w:szCs w:val="20"/>
          <w:color w:val="auto"/>
        </w:rPr>
      </w:pPr>
    </w:p>
    <w:p>
      <w:pPr>
        <w:spacing w:after="0"/>
        <w:tabs>
          <w:tab w:leader="none" w:pos="5480" w:val="left"/>
          <w:tab w:leader="none" w:pos="6160" w:val="left"/>
        </w:tabs>
        <w:rPr>
          <w:sz w:val="20"/>
          <w:szCs w:val="20"/>
          <w:color w:val="auto"/>
        </w:rPr>
      </w:pPr>
      <w:r>
        <w:rPr>
          <w:rFonts w:ascii="Arial" w:cs="Arial" w:eastAsia="Arial" w:hAnsi="Arial"/>
          <w:sz w:val="18"/>
          <w:szCs w:val="18"/>
          <w:color w:val="auto"/>
        </w:rPr>
        <w:t>Date: August 13, 2010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Fahad Syed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14605</wp:posOffset>
            </wp:positionV>
            <wp:extent cx="332740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327400" cy="1714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 Fahad Syed</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Title: Chairman and Chief Executive Officer</w:t>
      </w:r>
    </w:p>
    <w:p>
      <w:pPr>
        <w:spacing w:after="0" w:line="211" w:lineRule="exact"/>
        <w:rPr>
          <w:sz w:val="20"/>
          <w:szCs w:val="20"/>
          <w:color w:val="auto"/>
        </w:rPr>
      </w:pPr>
    </w:p>
    <w:p>
      <w:pPr>
        <w:ind w:left="5500"/>
        <w:spacing w:after="0"/>
        <w:tabs>
          <w:tab w:leader="none" w:pos="61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Vasan Thatham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14605</wp:posOffset>
            </wp:positionV>
            <wp:extent cx="332740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327400" cy="1714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 Vasan Thatham</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Title: Principal Financial Officer and Vice President</w:t>
      </w:r>
    </w:p>
    <w:p>
      <w:pPr>
        <w:spacing w:after="0" w:line="38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513" w:right="37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EXHIBIT 31.1</w:t>
      </w:r>
    </w:p>
    <w:p>
      <w:pPr>
        <w:spacing w:after="0" w:line="252" w:lineRule="exact"/>
        <w:rPr>
          <w:sz w:val="20"/>
          <w:szCs w:val="20"/>
          <w:color w:val="auto"/>
        </w:rPr>
      </w:pPr>
    </w:p>
    <w:p>
      <w:pPr>
        <w:ind w:right="4040"/>
        <w:spacing w:after="0" w:line="282" w:lineRule="auto"/>
        <w:rPr>
          <w:sz w:val="20"/>
          <w:szCs w:val="20"/>
          <w:color w:val="auto"/>
        </w:rPr>
      </w:pPr>
      <w:r>
        <w:rPr>
          <w:rFonts w:ascii="Arial" w:cs="Arial" w:eastAsia="Arial" w:hAnsi="Arial"/>
          <w:sz w:val="18"/>
          <w:szCs w:val="18"/>
          <w:b w:val="1"/>
          <w:bCs w:val="1"/>
          <w:color w:val="auto"/>
        </w:rPr>
        <w:t xml:space="preserve">CERTIFICATION PURSUANT TO 18 U.S.C. SECTION 1350, AS ADOPTED PURSUANT TO </w:t>
      </w:r>
      <w:r>
        <w:rPr>
          <w:rFonts w:ascii="Arial" w:cs="Arial" w:eastAsia="Arial" w:hAnsi="Arial"/>
          <w:sz w:val="18"/>
          <w:szCs w:val="18"/>
          <w:color w:val="auto"/>
        </w:rPr>
        <w:t>SECTION 302 OF THE SARBANES OXLEY ACT OF 2002</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I, Fahad Syed certify that:</w:t>
      </w:r>
    </w:p>
    <w:p>
      <w:pPr>
        <w:spacing w:after="0" w:line="252" w:lineRule="exact"/>
        <w:rPr>
          <w:sz w:val="20"/>
          <w:szCs w:val="20"/>
          <w:color w:val="auto"/>
        </w:rPr>
      </w:pPr>
    </w:p>
    <w:p>
      <w:pPr>
        <w:ind w:left="180" w:hanging="172"/>
        <w:spacing w:after="0"/>
        <w:tabs>
          <w:tab w:leader="none" w:pos="180" w:val="left"/>
        </w:tabs>
        <w:numPr>
          <w:ilvl w:val="0"/>
          <w:numId w:val="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NetFabric Holdings, Inc. (the “ Company”).</w:t>
      </w:r>
    </w:p>
    <w:p>
      <w:pPr>
        <w:spacing w:after="0" w:line="252" w:lineRule="exact"/>
        <w:rPr>
          <w:rFonts w:ascii="Arial" w:cs="Arial" w:eastAsia="Arial" w:hAnsi="Arial"/>
          <w:sz w:val="18"/>
          <w:szCs w:val="18"/>
          <w:color w:val="auto"/>
        </w:rPr>
      </w:pPr>
    </w:p>
    <w:p>
      <w:pPr>
        <w:ind w:right="60" w:firstLine="8"/>
        <w:spacing w:after="0" w:line="264" w:lineRule="auto"/>
        <w:tabs>
          <w:tab w:leader="none" w:pos="180" w:val="left"/>
        </w:tabs>
        <w:numPr>
          <w:ilvl w:val="0"/>
          <w:numId w:val="2"/>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208" w:lineRule="exact"/>
        <w:rPr>
          <w:rFonts w:ascii="Arial" w:cs="Arial" w:eastAsia="Arial" w:hAnsi="Arial"/>
          <w:sz w:val="18"/>
          <w:szCs w:val="18"/>
          <w:color w:val="auto"/>
        </w:rPr>
      </w:pPr>
    </w:p>
    <w:p>
      <w:pPr>
        <w:ind w:right="40" w:firstLine="8"/>
        <w:spacing w:after="0" w:line="308" w:lineRule="auto"/>
        <w:tabs>
          <w:tab w:leader="none" w:pos="180" w:val="left"/>
        </w:tabs>
        <w:numPr>
          <w:ilvl w:val="0"/>
          <w:numId w:val="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quarterly report, fairly present in all material respects the financial condition, results of operations and cash flows of the Company as of, and for, the periods presented in this quarterly report;</w:t>
      </w:r>
    </w:p>
    <w:p>
      <w:pPr>
        <w:spacing w:after="0" w:line="173" w:lineRule="exact"/>
        <w:rPr>
          <w:rFonts w:ascii="Arial" w:cs="Arial" w:eastAsia="Arial" w:hAnsi="Arial"/>
          <w:sz w:val="17"/>
          <w:szCs w:val="17"/>
          <w:color w:val="auto"/>
        </w:rPr>
      </w:pPr>
    </w:p>
    <w:p>
      <w:pPr>
        <w:ind w:right="200" w:firstLine="8"/>
        <w:spacing w:after="0" w:line="277" w:lineRule="auto"/>
        <w:tabs>
          <w:tab w:leader="none" w:pos="1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Company's other certifying officer and I are responsible for establishing and maintaining disclosure controls and procedures (as defined in Exchange Act Rules 13a-15(e) and 15d-15(e)) for the Company and have:</w:t>
      </w:r>
    </w:p>
    <w:p>
      <w:pPr>
        <w:spacing w:after="0" w:line="197" w:lineRule="exact"/>
        <w:rPr>
          <w:sz w:val="20"/>
          <w:szCs w:val="20"/>
          <w:color w:val="auto"/>
        </w:rPr>
      </w:pPr>
    </w:p>
    <w:p>
      <w:pPr>
        <w:ind w:right="100" w:firstLine="8"/>
        <w:spacing w:after="0" w:line="264" w:lineRule="auto"/>
        <w:tabs>
          <w:tab w:leader="none" w:pos="185" w:val="left"/>
        </w:tabs>
        <w:numPr>
          <w:ilvl w:val="0"/>
          <w:numId w:val="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208" w:lineRule="exact"/>
        <w:rPr>
          <w:rFonts w:ascii="Arial" w:cs="Arial" w:eastAsia="Arial" w:hAnsi="Arial"/>
          <w:sz w:val="18"/>
          <w:szCs w:val="18"/>
          <w:color w:val="auto"/>
        </w:rPr>
      </w:pPr>
    </w:p>
    <w:p>
      <w:pPr>
        <w:jc w:val="both"/>
        <w:ind w:right="280" w:firstLine="8"/>
        <w:spacing w:after="0" w:line="264" w:lineRule="auto"/>
        <w:tabs>
          <w:tab w:leader="none" w:pos="195" w:val="left"/>
        </w:tabs>
        <w:numPr>
          <w:ilvl w:val="0"/>
          <w:numId w:val="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ind w:right="80" w:firstLine="8"/>
        <w:spacing w:after="0" w:line="277" w:lineRule="auto"/>
        <w:tabs>
          <w:tab w:leader="none" w:pos="185" w:val="left"/>
        </w:tabs>
        <w:numPr>
          <w:ilvl w:val="0"/>
          <w:numId w:val="3"/>
        </w:numPr>
        <w:rPr>
          <w:rFonts w:ascii="Arial" w:cs="Arial" w:eastAsia="Arial" w:hAnsi="Arial"/>
          <w:sz w:val="18"/>
          <w:szCs w:val="18"/>
          <w:color w:val="auto"/>
        </w:rPr>
      </w:pPr>
      <w:r>
        <w:rPr>
          <w:rFonts w:ascii="Arial" w:cs="Arial" w:eastAsia="Arial" w:hAnsi="Arial"/>
          <w:sz w:val="18"/>
          <w:szCs w:val="18"/>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97" w:lineRule="exact"/>
        <w:rPr>
          <w:rFonts w:ascii="Arial" w:cs="Arial" w:eastAsia="Arial" w:hAnsi="Arial"/>
          <w:sz w:val="18"/>
          <w:szCs w:val="18"/>
          <w:color w:val="auto"/>
        </w:rPr>
      </w:pPr>
    </w:p>
    <w:p>
      <w:pPr>
        <w:ind w:firstLine="8"/>
        <w:spacing w:after="0" w:line="277" w:lineRule="auto"/>
        <w:tabs>
          <w:tab w:leader="none" w:pos="195" w:val="left"/>
        </w:tabs>
        <w:numPr>
          <w:ilvl w:val="0"/>
          <w:numId w:val="3"/>
        </w:numPr>
        <w:rPr>
          <w:rFonts w:ascii="Arial" w:cs="Arial" w:eastAsia="Arial" w:hAnsi="Arial"/>
          <w:sz w:val="18"/>
          <w:szCs w:val="18"/>
          <w:color w:val="auto"/>
        </w:rPr>
      </w:pPr>
      <w:r>
        <w:rPr>
          <w:rFonts w:ascii="Arial" w:cs="Arial" w:eastAsia="Arial" w:hAnsi="Arial"/>
          <w:sz w:val="18"/>
          <w:szCs w:val="18"/>
          <w:color w:val="auto"/>
        </w:rPr>
        <w:t>Disclosed in this report any change in the Company's internal control over financial reporting that occurred during the Company's most recent fiscal quarter that has materially affected, or is reasonably likely to materially affect, the Company's internal control over financial reporting; and</w:t>
      </w:r>
    </w:p>
    <w:p>
      <w:pPr>
        <w:spacing w:after="0" w:line="197" w:lineRule="exact"/>
        <w:rPr>
          <w:sz w:val="20"/>
          <w:szCs w:val="20"/>
          <w:color w:val="auto"/>
        </w:rPr>
      </w:pPr>
    </w:p>
    <w:p>
      <w:pPr>
        <w:ind w:right="640" w:firstLine="8"/>
        <w:spacing w:after="0" w:line="308" w:lineRule="auto"/>
        <w:tabs>
          <w:tab w:leader="none" w:pos="18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spacing w:after="0" w:line="174" w:lineRule="exact"/>
        <w:rPr>
          <w:sz w:val="20"/>
          <w:szCs w:val="20"/>
          <w:color w:val="auto"/>
        </w:rPr>
      </w:pPr>
    </w:p>
    <w:p>
      <w:pPr>
        <w:ind w:right="200" w:firstLine="8"/>
        <w:spacing w:after="0" w:line="277" w:lineRule="auto"/>
        <w:tabs>
          <w:tab w:leader="none" w:pos="185" w:val="left"/>
        </w:tabs>
        <w:numPr>
          <w:ilvl w:val="0"/>
          <w:numId w:val="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controls over financial reporting which are reasonably likely to adversely affect the Company's ability to record, process, summarize and report financial information; and</w:t>
      </w:r>
    </w:p>
    <w:p>
      <w:pPr>
        <w:spacing w:after="0" w:line="197" w:lineRule="exact"/>
        <w:rPr>
          <w:rFonts w:ascii="Arial" w:cs="Arial" w:eastAsia="Arial" w:hAnsi="Arial"/>
          <w:sz w:val="18"/>
          <w:szCs w:val="18"/>
          <w:color w:val="auto"/>
        </w:rPr>
      </w:pPr>
    </w:p>
    <w:p>
      <w:pPr>
        <w:ind w:right="500" w:firstLine="8"/>
        <w:spacing w:after="0" w:line="277" w:lineRule="auto"/>
        <w:tabs>
          <w:tab w:leader="none" w:pos="195" w:val="left"/>
        </w:tabs>
        <w:numPr>
          <w:ilvl w:val="0"/>
          <w:numId w:val="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Company's internal control over financial reporting.</w:t>
      </w:r>
    </w:p>
    <w:p>
      <w:pPr>
        <w:spacing w:after="0" w:line="197" w:lineRule="exact"/>
        <w:rPr>
          <w:sz w:val="20"/>
          <w:szCs w:val="20"/>
          <w:color w:val="auto"/>
        </w:rPr>
      </w:pPr>
    </w:p>
    <w:p>
      <w:pPr>
        <w:spacing w:after="0"/>
        <w:tabs>
          <w:tab w:leader="none" w:pos="5480" w:val="left"/>
          <w:tab w:leader="none" w:pos="6160" w:val="left"/>
        </w:tabs>
        <w:rPr>
          <w:sz w:val="20"/>
          <w:szCs w:val="20"/>
          <w:color w:val="auto"/>
        </w:rPr>
      </w:pPr>
      <w:r>
        <w:rPr>
          <w:rFonts w:ascii="Arial" w:cs="Arial" w:eastAsia="Arial" w:hAnsi="Arial"/>
          <w:sz w:val="18"/>
          <w:szCs w:val="18"/>
          <w:color w:val="auto"/>
        </w:rPr>
        <w:t>August 13, 2010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Fahad Syed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14605</wp:posOffset>
            </wp:positionV>
            <wp:extent cx="332740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327400" cy="1714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 Fahad Syed</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Title: Chairman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321310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EXHIBIT 31.2</w:t>
      </w:r>
    </w:p>
    <w:p>
      <w:pPr>
        <w:spacing w:after="0" w:line="252" w:lineRule="exact"/>
        <w:rPr>
          <w:sz w:val="20"/>
          <w:szCs w:val="20"/>
          <w:color w:val="auto"/>
        </w:rPr>
      </w:pPr>
    </w:p>
    <w:p>
      <w:pPr>
        <w:ind w:right="4040"/>
        <w:spacing w:after="0" w:line="282" w:lineRule="auto"/>
        <w:rPr>
          <w:sz w:val="20"/>
          <w:szCs w:val="20"/>
          <w:color w:val="auto"/>
        </w:rPr>
      </w:pPr>
      <w:r>
        <w:rPr>
          <w:rFonts w:ascii="Arial" w:cs="Arial" w:eastAsia="Arial" w:hAnsi="Arial"/>
          <w:sz w:val="18"/>
          <w:szCs w:val="18"/>
          <w:b w:val="1"/>
          <w:bCs w:val="1"/>
          <w:color w:val="auto"/>
        </w:rPr>
        <w:t xml:space="preserve">CERTIFICATION PURSUANT TO 18 U.S.C. SECTION 1350, AS ADOPTED PURSUANT TO </w:t>
      </w:r>
      <w:r>
        <w:rPr>
          <w:rFonts w:ascii="Arial" w:cs="Arial" w:eastAsia="Arial" w:hAnsi="Arial"/>
          <w:sz w:val="18"/>
          <w:szCs w:val="18"/>
          <w:color w:val="auto"/>
        </w:rPr>
        <w:t>SECTION 302 OF THE SARBANES OXLEY ACT OF 2002</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I, Vasan Thatham certify that:</w:t>
      </w:r>
    </w:p>
    <w:p>
      <w:pPr>
        <w:spacing w:after="0" w:line="252" w:lineRule="exact"/>
        <w:rPr>
          <w:sz w:val="20"/>
          <w:szCs w:val="20"/>
          <w:color w:val="auto"/>
        </w:rPr>
      </w:pPr>
    </w:p>
    <w:p>
      <w:pPr>
        <w:ind w:left="180" w:hanging="172"/>
        <w:spacing w:after="0"/>
        <w:tabs>
          <w:tab w:leader="none" w:pos="180" w:val="left"/>
        </w:tabs>
        <w:numPr>
          <w:ilvl w:val="0"/>
          <w:numId w:val="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NetFabric Holdings, Inc. (the “ Company”).</w:t>
      </w:r>
    </w:p>
    <w:p>
      <w:pPr>
        <w:spacing w:after="0" w:line="252" w:lineRule="exact"/>
        <w:rPr>
          <w:rFonts w:ascii="Arial" w:cs="Arial" w:eastAsia="Arial" w:hAnsi="Arial"/>
          <w:sz w:val="18"/>
          <w:szCs w:val="18"/>
          <w:color w:val="auto"/>
        </w:rPr>
      </w:pPr>
    </w:p>
    <w:p>
      <w:pPr>
        <w:ind w:right="60" w:firstLine="8"/>
        <w:spacing w:after="0" w:line="264" w:lineRule="auto"/>
        <w:tabs>
          <w:tab w:leader="none" w:pos="180" w:val="left"/>
        </w:tabs>
        <w:numPr>
          <w:ilvl w:val="0"/>
          <w:numId w:val="6"/>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208" w:lineRule="exact"/>
        <w:rPr>
          <w:rFonts w:ascii="Arial" w:cs="Arial" w:eastAsia="Arial" w:hAnsi="Arial"/>
          <w:sz w:val="18"/>
          <w:szCs w:val="18"/>
          <w:color w:val="auto"/>
        </w:rPr>
      </w:pPr>
    </w:p>
    <w:p>
      <w:pPr>
        <w:ind w:right="40" w:firstLine="8"/>
        <w:spacing w:after="0" w:line="308" w:lineRule="auto"/>
        <w:tabs>
          <w:tab w:leader="none" w:pos="180" w:val="left"/>
        </w:tabs>
        <w:numPr>
          <w:ilvl w:val="0"/>
          <w:numId w:val="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quarterly report, fairly present in all material respects the financial condition, results of operations and cash flows of the Company as of, and for, the periods presented in this quarterly report;</w:t>
      </w:r>
    </w:p>
    <w:p>
      <w:pPr>
        <w:spacing w:after="0" w:line="173" w:lineRule="exact"/>
        <w:rPr>
          <w:rFonts w:ascii="Arial" w:cs="Arial" w:eastAsia="Arial" w:hAnsi="Arial"/>
          <w:sz w:val="17"/>
          <w:szCs w:val="17"/>
          <w:color w:val="auto"/>
        </w:rPr>
      </w:pPr>
    </w:p>
    <w:p>
      <w:pPr>
        <w:ind w:right="200" w:firstLine="8"/>
        <w:spacing w:after="0" w:line="277" w:lineRule="auto"/>
        <w:tabs>
          <w:tab w:leader="none" w:pos="1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Company's other certifying officer and I are responsible for establishing and maintaining disclosure controls and procedures (as defined in Exchange Act Rules 13a-15(e) and 15d-15(e)) for the Company and have:</w:t>
      </w:r>
    </w:p>
    <w:p>
      <w:pPr>
        <w:spacing w:after="0" w:line="197" w:lineRule="exact"/>
        <w:rPr>
          <w:sz w:val="20"/>
          <w:szCs w:val="20"/>
          <w:color w:val="auto"/>
        </w:rPr>
      </w:pPr>
    </w:p>
    <w:p>
      <w:pPr>
        <w:ind w:right="100" w:firstLine="8"/>
        <w:spacing w:after="0" w:line="264" w:lineRule="auto"/>
        <w:tabs>
          <w:tab w:leader="none" w:pos="185" w:val="left"/>
        </w:tabs>
        <w:numPr>
          <w:ilvl w:val="0"/>
          <w:numId w:val="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208" w:lineRule="exact"/>
        <w:rPr>
          <w:rFonts w:ascii="Arial" w:cs="Arial" w:eastAsia="Arial" w:hAnsi="Arial"/>
          <w:sz w:val="18"/>
          <w:szCs w:val="18"/>
          <w:color w:val="auto"/>
        </w:rPr>
      </w:pPr>
    </w:p>
    <w:p>
      <w:pPr>
        <w:jc w:val="both"/>
        <w:ind w:right="280" w:firstLine="8"/>
        <w:spacing w:after="0" w:line="264" w:lineRule="auto"/>
        <w:tabs>
          <w:tab w:leader="none" w:pos="195" w:val="left"/>
        </w:tabs>
        <w:numPr>
          <w:ilvl w:val="0"/>
          <w:numId w:val="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ind w:right="80" w:firstLine="8"/>
        <w:spacing w:after="0" w:line="277" w:lineRule="auto"/>
        <w:tabs>
          <w:tab w:leader="none" w:pos="185" w:val="left"/>
        </w:tabs>
        <w:numPr>
          <w:ilvl w:val="0"/>
          <w:numId w:val="7"/>
        </w:numPr>
        <w:rPr>
          <w:rFonts w:ascii="Arial" w:cs="Arial" w:eastAsia="Arial" w:hAnsi="Arial"/>
          <w:sz w:val="18"/>
          <w:szCs w:val="18"/>
          <w:color w:val="auto"/>
        </w:rPr>
      </w:pPr>
      <w:r>
        <w:rPr>
          <w:rFonts w:ascii="Arial" w:cs="Arial" w:eastAsia="Arial" w:hAnsi="Arial"/>
          <w:sz w:val="18"/>
          <w:szCs w:val="18"/>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97" w:lineRule="exact"/>
        <w:rPr>
          <w:rFonts w:ascii="Arial" w:cs="Arial" w:eastAsia="Arial" w:hAnsi="Arial"/>
          <w:sz w:val="18"/>
          <w:szCs w:val="18"/>
          <w:color w:val="auto"/>
        </w:rPr>
      </w:pPr>
    </w:p>
    <w:p>
      <w:pPr>
        <w:ind w:firstLine="8"/>
        <w:spacing w:after="0" w:line="277" w:lineRule="auto"/>
        <w:tabs>
          <w:tab w:leader="none" w:pos="195" w:val="left"/>
        </w:tabs>
        <w:numPr>
          <w:ilvl w:val="0"/>
          <w:numId w:val="7"/>
        </w:numPr>
        <w:rPr>
          <w:rFonts w:ascii="Arial" w:cs="Arial" w:eastAsia="Arial" w:hAnsi="Arial"/>
          <w:sz w:val="18"/>
          <w:szCs w:val="18"/>
          <w:color w:val="auto"/>
        </w:rPr>
      </w:pPr>
      <w:r>
        <w:rPr>
          <w:rFonts w:ascii="Arial" w:cs="Arial" w:eastAsia="Arial" w:hAnsi="Arial"/>
          <w:sz w:val="18"/>
          <w:szCs w:val="18"/>
          <w:color w:val="auto"/>
        </w:rPr>
        <w:t>Disclosed in this report any change in the Company's internal control over financial reporting that occurred during the Company's most recent fiscal quarter that has materially affected, or is reasonably likely to materially affect, the Company's internal control over financial reporting; and</w:t>
      </w:r>
    </w:p>
    <w:p>
      <w:pPr>
        <w:spacing w:after="0" w:line="197" w:lineRule="exact"/>
        <w:rPr>
          <w:sz w:val="20"/>
          <w:szCs w:val="20"/>
          <w:color w:val="auto"/>
        </w:rPr>
      </w:pPr>
    </w:p>
    <w:p>
      <w:pPr>
        <w:ind w:right="640" w:firstLine="8"/>
        <w:spacing w:after="0" w:line="308" w:lineRule="auto"/>
        <w:tabs>
          <w:tab w:leader="none" w:pos="18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spacing w:after="0" w:line="174" w:lineRule="exact"/>
        <w:rPr>
          <w:sz w:val="20"/>
          <w:szCs w:val="20"/>
          <w:color w:val="auto"/>
        </w:rPr>
      </w:pPr>
    </w:p>
    <w:p>
      <w:pPr>
        <w:ind w:right="200" w:firstLine="8"/>
        <w:spacing w:after="0" w:line="277" w:lineRule="auto"/>
        <w:tabs>
          <w:tab w:leader="none" w:pos="185" w:val="left"/>
        </w:tabs>
        <w:numPr>
          <w:ilvl w:val="0"/>
          <w:numId w:val="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controls over financial reporting which are reasonably likely to adversely affect the Company's ability to record, process, summarize and report financial information; and</w:t>
      </w:r>
    </w:p>
    <w:p>
      <w:pPr>
        <w:spacing w:after="0" w:line="197" w:lineRule="exact"/>
        <w:rPr>
          <w:rFonts w:ascii="Arial" w:cs="Arial" w:eastAsia="Arial" w:hAnsi="Arial"/>
          <w:sz w:val="18"/>
          <w:szCs w:val="18"/>
          <w:color w:val="auto"/>
        </w:rPr>
      </w:pPr>
    </w:p>
    <w:p>
      <w:pPr>
        <w:ind w:right="500" w:firstLine="8"/>
        <w:spacing w:after="0" w:line="277" w:lineRule="auto"/>
        <w:tabs>
          <w:tab w:leader="none" w:pos="195" w:val="left"/>
        </w:tabs>
        <w:numPr>
          <w:ilvl w:val="0"/>
          <w:numId w:val="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Company's internal control over financial reporting.</w:t>
      </w:r>
    </w:p>
    <w:p>
      <w:pPr>
        <w:spacing w:after="0" w:line="197" w:lineRule="exact"/>
        <w:rPr>
          <w:sz w:val="20"/>
          <w:szCs w:val="20"/>
          <w:color w:val="auto"/>
        </w:rPr>
      </w:pPr>
    </w:p>
    <w:p>
      <w:pPr>
        <w:spacing w:after="0"/>
        <w:tabs>
          <w:tab w:leader="none" w:pos="5480" w:val="left"/>
          <w:tab w:leader="none" w:pos="6160" w:val="left"/>
        </w:tabs>
        <w:rPr>
          <w:sz w:val="20"/>
          <w:szCs w:val="20"/>
          <w:color w:val="auto"/>
        </w:rPr>
      </w:pPr>
      <w:r>
        <w:rPr>
          <w:rFonts w:ascii="Arial" w:cs="Arial" w:eastAsia="Arial" w:hAnsi="Arial"/>
          <w:sz w:val="18"/>
          <w:szCs w:val="18"/>
          <w:color w:val="auto"/>
        </w:rPr>
        <w:t>August 13, 2010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Vasan Thatham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14605</wp:posOffset>
            </wp:positionV>
            <wp:extent cx="332740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327400" cy="1714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 Vasan Thatham</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Title: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321310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EXHIBIT 32.1</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AS ADOPTED PURSUANT TO</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SECTION 906 OF THE SARBANES-OXLEY ACT OF 2002</w:t>
      </w:r>
    </w:p>
    <w:p>
      <w:pPr>
        <w:spacing w:after="0" w:line="252"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In connection with the Quarterly Report of NetFabric Holdings, Inc. (the “ Company”) on Form 10-Q for the period ended March 31, 2009 as filed with the Securities and Exchange Commission on the date hereof (the “Report”), I, Fahad Syed certify, pursuant to 18 U.S.C. Section 1350, as adopted pursuant to Section 906 of the Sarbanes-Oxley Act of 2002, that, to my knowledge:</w:t>
      </w:r>
    </w:p>
    <w:p>
      <w:pPr>
        <w:spacing w:after="0" w:line="208" w:lineRule="exact"/>
        <w:rPr>
          <w:sz w:val="20"/>
          <w:szCs w:val="20"/>
          <w:color w:val="auto"/>
        </w:rPr>
      </w:pPr>
    </w:p>
    <w:p>
      <w:pPr>
        <w:ind w:left="260" w:hanging="252"/>
        <w:spacing w:after="0"/>
        <w:tabs>
          <w:tab w:leader="none" w:pos="2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left="260" w:hanging="252"/>
        <w:spacing w:after="0"/>
        <w:tabs>
          <w:tab w:leader="none" w:pos="2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 of operations of the Company.</w:t>
      </w:r>
    </w:p>
    <w:p>
      <w:pPr>
        <w:spacing w:after="0" w:line="264" w:lineRule="exact"/>
        <w:rPr>
          <w:sz w:val="20"/>
          <w:szCs w:val="20"/>
          <w:color w:val="auto"/>
        </w:rPr>
      </w:pPr>
    </w:p>
    <w:p>
      <w:pPr>
        <w:spacing w:after="0"/>
        <w:tabs>
          <w:tab w:leader="none" w:pos="5480" w:val="left"/>
          <w:tab w:leader="none" w:pos="6160" w:val="left"/>
        </w:tabs>
        <w:rPr>
          <w:sz w:val="20"/>
          <w:szCs w:val="20"/>
          <w:color w:val="auto"/>
        </w:rPr>
      </w:pPr>
      <w:r>
        <w:rPr>
          <w:rFonts w:ascii="Arial" w:cs="Arial" w:eastAsia="Arial" w:hAnsi="Arial"/>
          <w:sz w:val="18"/>
          <w:szCs w:val="18"/>
          <w:color w:val="auto"/>
        </w:rPr>
        <w:t>August 13, 2010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Fahad Syed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14605</wp:posOffset>
            </wp:positionV>
            <wp:extent cx="332740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327400" cy="1714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 Fahad Syed</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Title: Chairman and Chief Executive Officer</w:t>
      </w:r>
    </w:p>
    <w:p>
      <w:pPr>
        <w:spacing w:after="0" w:line="23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NetFabric Holdings, Inc. and will be retained by NetFabric Holdings, Inc.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295275</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EXHIBIT 32.2</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AS ADOPTED PURSUANT TO</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SECTION 906 OF THE SARBANES-OXLEY ACT OF 2002</w:t>
      </w:r>
    </w:p>
    <w:p>
      <w:pPr>
        <w:spacing w:after="0" w:line="252"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In connection with the Quarterly Report of NetFabric Holdings, Inc. (the “Company”) on Form 10-Q for the period ended March 31, 2009 as filed with the Securities and Exchange Commission on the date hereof (the “Report”), I, Vasan Thatham, certify, pursuant to 18 U.S.C. Section 1350, as adopted pursuant to Section 906 of the Sarbanes-Oxley Act of 2002, that, to my knowledge:</w:t>
      </w:r>
    </w:p>
    <w:p>
      <w:pPr>
        <w:spacing w:after="0" w:line="208" w:lineRule="exact"/>
        <w:rPr>
          <w:sz w:val="20"/>
          <w:szCs w:val="20"/>
          <w:color w:val="auto"/>
        </w:rPr>
      </w:pPr>
    </w:p>
    <w:p>
      <w:pPr>
        <w:ind w:left="260" w:hanging="252"/>
        <w:spacing w:after="0"/>
        <w:tabs>
          <w:tab w:leader="none" w:pos="2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left="260" w:hanging="252"/>
        <w:spacing w:after="0"/>
        <w:tabs>
          <w:tab w:leader="none" w:pos="2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 of operations of the Company.</w:t>
      </w:r>
    </w:p>
    <w:p>
      <w:pPr>
        <w:spacing w:after="0" w:line="264" w:lineRule="exact"/>
        <w:rPr>
          <w:sz w:val="20"/>
          <w:szCs w:val="20"/>
          <w:color w:val="auto"/>
        </w:rPr>
      </w:pPr>
    </w:p>
    <w:p>
      <w:pPr>
        <w:spacing w:after="0"/>
        <w:tabs>
          <w:tab w:leader="none" w:pos="5480" w:val="left"/>
          <w:tab w:leader="none" w:pos="6160" w:val="left"/>
        </w:tabs>
        <w:rPr>
          <w:sz w:val="20"/>
          <w:szCs w:val="20"/>
          <w:color w:val="auto"/>
        </w:rPr>
      </w:pPr>
      <w:r>
        <w:rPr>
          <w:rFonts w:ascii="Arial" w:cs="Arial" w:eastAsia="Arial" w:hAnsi="Arial"/>
          <w:sz w:val="18"/>
          <w:szCs w:val="18"/>
          <w:color w:val="auto"/>
        </w:rPr>
        <w:t>August 13, 2010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Vasan Thatham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14605</wp:posOffset>
            </wp:positionV>
            <wp:extent cx="332740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327400" cy="1714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 Vasan Thatham</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Title: Chief Financial Officer</w:t>
      </w:r>
    </w:p>
    <w:p>
      <w:pPr>
        <w:spacing w:after="0" w:line="23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NetFabric Holdings, Inc. and will be retained by NetFabric Holdings, Inc.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295275</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sectPr>
      <w:pgSz w:w="11900" w:h="16838" w:orient="portrait"/>
      <w:cols w:equalWidth="0" w:num="1">
        <w:col w:w="11400"/>
      </w:cols>
      <w:pgMar w:left="240" w:top="121"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x"/>
      <w:numFmt w:val="bullet"/>
      <w:start w:val="1"/>
    </w:lvl>
  </w:abstractNum>
  <w:abstractNum w:abstractNumId="1">
    <w:nsid w:val="2EB141F2"/>
    <w:multiLevelType w:val="hybridMultilevel"/>
    <w:lvl w:ilvl="0">
      <w:lvlJc w:val="left"/>
      <w:lvlText w:val="%1."/>
      <w:numFmt w:val="decimal"/>
      <w:start w:val="1"/>
    </w:lvl>
  </w:abstractNum>
  <w:abstractNum w:abstractNumId="2">
    <w:nsid w:val="41B71EFB"/>
    <w:multiLevelType w:val="hybridMultilevel"/>
    <w:lvl w:ilvl="0">
      <w:lvlJc w:val="left"/>
      <w:lvlText w:val="%1)"/>
      <w:numFmt w:val="lowerLetter"/>
      <w:start w:val="1"/>
    </w:lvl>
  </w:abstractNum>
  <w:abstractNum w:abstractNumId="3">
    <w:nsid w:val="79E2A9E3"/>
    <w:multiLevelType w:val="hybridMultilevel"/>
    <w:lvl w:ilvl="0">
      <w:lvlJc w:val="left"/>
      <w:lvlText w:val="%1."/>
      <w:numFmt w:val="decimal"/>
      <w:start w:val="5"/>
    </w:lvl>
  </w:abstractNum>
  <w:abstractNum w:abstractNumId="4">
    <w:nsid w:val="7545E146"/>
    <w:multiLevelType w:val="hybridMultilevel"/>
    <w:lvl w:ilvl="0">
      <w:lvlJc w:val="left"/>
      <w:lvlText w:val="%1)"/>
      <w:numFmt w:val="lowerLetter"/>
      <w:start w:val="1"/>
    </w:lvl>
  </w:abstractNum>
  <w:abstractNum w:abstractNumId="5">
    <w:nsid w:val="515F007C"/>
    <w:multiLevelType w:val="hybridMultilevel"/>
    <w:lvl w:ilvl="0">
      <w:lvlJc w:val="left"/>
      <w:lvlText w:val="%1."/>
      <w:numFmt w:val="decimal"/>
      <w:start w:val="1"/>
    </w:lvl>
  </w:abstractNum>
  <w:abstractNum w:abstractNumId="6">
    <w:nsid w:val="5BD062C2"/>
    <w:multiLevelType w:val="hybridMultilevel"/>
    <w:lvl w:ilvl="0">
      <w:lvlJc w:val="left"/>
      <w:lvlText w:val="%1)"/>
      <w:numFmt w:val="lowerLetter"/>
      <w:start w:val="1"/>
    </w:lvl>
  </w:abstractNum>
  <w:abstractNum w:abstractNumId="7">
    <w:nsid w:val="12200854"/>
    <w:multiLevelType w:val="hybridMultilevel"/>
    <w:lvl w:ilvl="0">
      <w:lvlJc w:val="left"/>
      <w:lvlText w:val="%1."/>
      <w:numFmt w:val="decimal"/>
      <w:start w:val="5"/>
    </w:lvl>
  </w:abstractNum>
  <w:abstractNum w:abstractNumId="8">
    <w:nsid w:val="4DB127F8"/>
    <w:multiLevelType w:val="hybridMultilevel"/>
    <w:lvl w:ilvl="0">
      <w:lvlJc w:val="left"/>
      <w:lvlText w:val="%1)"/>
      <w:numFmt w:val="lowerLetter"/>
      <w:start w:val="1"/>
    </w:lvl>
  </w:abstractNum>
  <w:abstractNum w:abstractNumId="9">
    <w:nsid w:val="216231B"/>
    <w:multiLevelType w:val="hybridMultilevel"/>
    <w:lvl w:ilvl="0">
      <w:lvlJc w:val="left"/>
      <w:lvlText w:val="(%1)"/>
      <w:numFmt w:val="decimal"/>
      <w:start w:val="1"/>
    </w:lvl>
  </w:abstractNum>
  <w:abstractNum w:abstractNumId="10">
    <w:nsid w:val="1F16E9E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2019-12-10T17:23:40Z</dcterms:created>
  <dcterms:modified xsi:type="dcterms:W3CDTF">2019-12-10T17:23:40Z</dcterms:modified>
</cp:coreProperties>
</file>