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60" w:right="179" w:hanging="10"/>
        <w:spacing w:after="0" w:line="282" w:lineRule="auto"/>
        <w:tabs>
          <w:tab w:leader="none" w:pos="3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wp:posOffset>
            </wp:positionH>
            <wp:positionV relativeFrom="paragraph">
              <wp:posOffset>-281940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60"/>
        <w:spacing w:after="0"/>
        <w:rPr>
          <w:sz w:val="20"/>
          <w:szCs w:val="20"/>
          <w:color w:val="auto"/>
        </w:rPr>
      </w:pPr>
      <w:r>
        <w:rPr>
          <w:rFonts w:ascii="Arial" w:cs="Arial" w:eastAsia="Arial" w:hAnsi="Arial"/>
          <w:sz w:val="16"/>
          <w:szCs w:val="16"/>
          <w:color w:val="auto"/>
        </w:rPr>
        <w:t>As of August 7, 2020, there were 19,231,040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638175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80645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149225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25"/>
        </w:trPr>
        <w:tc>
          <w:tcPr>
            <w:tcW w:w="82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5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Stockholders’ Equity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w:t>
              </w:r>
            </w:hyperlink>
          </w:p>
        </w:tc>
        <w:tc>
          <w:tcPr>
            <w:tcW w:w="7520" w:type="dxa"/>
            <w:vAlign w:val="bottom"/>
          </w:tcPr>
          <w:p>
            <w:pPr>
              <w:ind w:lef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w:t>
              </w:r>
            </w:hyperlink>
          </w:p>
        </w:tc>
        <w:tc>
          <w:tcPr>
            <w:tcW w:w="752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752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22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w:t>
              </w:r>
            </w:hyperlink>
          </w:p>
        </w:tc>
        <w:tc>
          <w:tcPr>
            <w:tcW w:w="752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w:t>
              </w:r>
            </w:hyperlink>
          </w:p>
        </w:tc>
        <w:tc>
          <w:tcPr>
            <w:tcW w:w="752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12"/>
        <w:spacing w:after="0" w:line="391" w:lineRule="auto"/>
        <w:rPr>
          <w:sz w:val="20"/>
          <w:szCs w:val="20"/>
          <w:color w:val="auto"/>
        </w:rPr>
      </w:pPr>
      <w:r>
        <w:rPr>
          <w:rFonts w:ascii="Arial" w:cs="Arial" w:eastAsia="Arial" w:hAnsi="Arial"/>
          <w:sz w:val="18"/>
          <w:szCs w:val="18"/>
          <w:b w:val="1"/>
          <w:bCs w:val="1"/>
          <w:color w:val="auto"/>
        </w:rPr>
        <w:t>PART 1.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6,543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10,622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14,645</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80"/>
              <w:spacing w:after="0" w:line="142"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3,866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108,815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111,095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122,853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137,498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8,022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15,231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Contingent obligation</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7,310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32,454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40,476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44,739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19,231,040 and 18,866,417 shares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June 30, 2020 and December 31, 2019, respectively</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102,180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101,736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(5,764)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96,435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98,096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98,452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137,498</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21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1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Net licensing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14,666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19,439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goods sold (sales)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benefits and employment taxes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Other design and marketing costs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w w:val="97"/>
              </w:rPr>
              <w:t>Government assistance - Paycheck Protection Program</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impairment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reduction of contingent obligation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other income</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Interest and finance expense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and other finance charges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interest and finance expense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(2,298)</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(2,174)</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income attributable to Xcel Brands, Inc.</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6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(1,300)</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(2,105)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1,979</w:t>
            </w: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(Loss) earnings per share attributable to Xcel Brands, Inc.</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60" w:type="dxa"/>
            <w:vAlign w:val="bottom"/>
          </w:tcPr>
          <w:p>
            <w:pPr>
              <w:ind w:left="100"/>
              <w:spacing w:after="0"/>
              <w:rPr>
                <w:sz w:val="20"/>
                <w:szCs w:val="20"/>
                <w:color w:val="auto"/>
              </w:rPr>
            </w:pPr>
            <w:r>
              <w:rPr>
                <w:rFonts w:ascii="Arial" w:cs="Arial" w:eastAsia="Arial" w:hAnsi="Arial"/>
                <w:sz w:val="18"/>
                <w:szCs w:val="18"/>
                <w:color w:val="auto"/>
              </w:rPr>
              <w:t>Basic net (loss)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 net (loss) income per share: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19,132,244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18,976,394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19,001,321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18,770,378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00"/>
              <w:spacing w:after="0"/>
              <w:rPr>
                <w:sz w:val="20"/>
                <w:szCs w:val="20"/>
                <w:color w:val="auto"/>
              </w:rPr>
            </w:pPr>
            <w:r>
              <w:rPr>
                <w:rFonts w:ascii="Arial" w:cs="Arial" w:eastAsia="Arial" w:hAnsi="Arial"/>
                <w:sz w:val="18"/>
                <w:szCs w:val="18"/>
                <w:color w:val="auto"/>
                <w:w w:val="99"/>
              </w:rPr>
              <w:t>Diluted weighted 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19,132,244</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18,977,051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19,001,321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18,771,053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900" w:type="dxa"/>
            <w:vAlign w:val="bottom"/>
            <w:tcBorders>
              <w:bottom w:val="single" w:sz="8" w:color="auto"/>
            </w:tcBorders>
            <w:gridSpan w:val="10"/>
          </w:tcPr>
          <w:p>
            <w:pPr>
              <w:jc w:val="center"/>
              <w:spacing w:after="0"/>
              <w:rPr>
                <w:sz w:val="20"/>
                <w:szCs w:val="20"/>
                <w:color w:val="auto"/>
              </w:rPr>
            </w:pPr>
            <w:r>
              <w:rPr>
                <w:rFonts w:ascii="Arial" w:cs="Arial" w:eastAsia="Arial" w:hAnsi="Arial"/>
                <w:sz w:val="13"/>
                <w:szCs w:val="13"/>
                <w:b w:val="1"/>
                <w:bCs w:val="1"/>
                <w:color w:val="auto"/>
                <w:w w:val="87"/>
              </w:rPr>
              <w:t>Xcel Brands, Inc. Stockholders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4"/>
              </w:rPr>
              <w:t>Retained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9"/>
              </w:rPr>
              <w:t>Paid-In</w:t>
            </w:r>
          </w:p>
        </w:tc>
        <w:tc>
          <w:tcPr>
            <w:tcW w:w="900" w:type="dxa"/>
            <w:vAlign w:val="bottom"/>
            <w:gridSpan w:val="3"/>
          </w:tcPr>
          <w:p>
            <w:pPr>
              <w:ind w:left="140"/>
              <w:spacing w:after="0" w:line="110" w:lineRule="exact"/>
              <w:rPr>
                <w:sz w:val="20"/>
                <w:szCs w:val="20"/>
                <w:color w:val="auto"/>
              </w:rPr>
            </w:pPr>
            <w:r>
              <w:rPr>
                <w:rFonts w:ascii="Arial" w:cs="Arial" w:eastAsia="Arial" w:hAnsi="Arial"/>
                <w:sz w:val="12"/>
                <w:szCs w:val="12"/>
                <w:b w:val="1"/>
                <w:bCs w:val="1"/>
                <w:color w:val="auto"/>
                <w:w w:val="93"/>
              </w:rPr>
              <w:t>(Accumulated</w:t>
            </w:r>
          </w:p>
        </w:tc>
        <w:tc>
          <w:tcPr>
            <w:tcW w:w="120" w:type="dxa"/>
            <w:vAlign w:val="bottom"/>
          </w:tcPr>
          <w:p>
            <w:pPr>
              <w:spacing w:after="0"/>
              <w:rPr>
                <w:sz w:val="9"/>
                <w:szCs w:val="9"/>
                <w:color w:val="auto"/>
              </w:rPr>
            </w:pPr>
          </w:p>
        </w:tc>
        <w:tc>
          <w:tcPr>
            <w:tcW w:w="8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2018</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18,138,616</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100,097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99,882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Issuance of common stock in connection with the acquisition of Halston Heritage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777,778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2019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18,916,394</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101,501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101,414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in connection with restricted stock grants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2019</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18,976,394</w:t>
            </w: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101,636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1,746</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2019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18,866,417</w:t>
            </w:r>
          </w:p>
        </w:tc>
        <w:tc>
          <w:tcPr>
            <w:tcW w:w="420" w:type="dxa"/>
            <w:vAlign w:val="bottom"/>
            <w:gridSpan w:val="2"/>
            <w:shd w:val="clear" w:color="auto" w:fill="CCEEFF"/>
          </w:tcPr>
          <w:p>
            <w:pPr>
              <w:jc w:val="right"/>
              <w:ind w:right="185"/>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19</w:t>
            </w:r>
          </w:p>
        </w:tc>
        <w:tc>
          <w:tcPr>
            <w:tcW w:w="220" w:type="dxa"/>
            <w:vAlign w:val="bottom"/>
            <w:gridSpan w:val="2"/>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101,736</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(3,659)</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Shares issued to executive in connection with stock grants for bonus payments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336,700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executive in exchange for withholding taxes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(155,556)</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19,047,561</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101,945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(4,464)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in connection with stock grants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270,728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employees in exchange for withholding taxes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(87,249)</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Additional investment in Longaberger Licensing, LLC by non-controlling interest</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holder</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19,231,040</w:t>
            </w: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102,180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(5,764)</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587</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Net (loss) income</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(2,174)</w:t>
            </w:r>
          </w:p>
        </w:tc>
        <w:tc>
          <w:tcPr>
            <w:tcW w:w="180" w:type="dxa"/>
            <w:vAlign w:val="bottom"/>
          </w:tcPr>
          <w:p>
            <w:pPr>
              <w:spacing w:after="0"/>
              <w:rPr>
                <w:sz w:val="12"/>
                <w:szCs w:val="12"/>
                <w:color w:val="auto"/>
              </w:rPr>
            </w:pP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and equipment impairment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finance costs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note discount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doubtful accounts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Gain on reduction of contingent obligation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3,396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2,381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consideration for acquisition of Halston Heritage assets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6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6,570</w:t>
            </w:r>
          </w:p>
        </w:tc>
        <w:tc>
          <w:tcPr>
            <w:tcW w:w="180" w:type="dxa"/>
            <w:vAlign w:val="bottom"/>
          </w:tcPr>
          <w:p>
            <w:pPr>
              <w:spacing w:after="0"/>
              <w:rPr>
                <w:sz w:val="16"/>
                <w:szCs w:val="16"/>
                <w:color w:val="auto"/>
              </w:rPr>
            </w:pP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6,570</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40" w:type="dxa"/>
            <w:vAlign w:val="bottom"/>
          </w:tcPr>
          <w:p>
            <w:pPr>
              <w:ind w:left="200"/>
              <w:spacing w:after="0" w:line="149" w:lineRule="exact"/>
              <w:rPr>
                <w:sz w:val="20"/>
                <w:szCs w:val="20"/>
                <w:color w:val="auto"/>
              </w:rPr>
            </w:pPr>
            <w:r>
              <w:rPr>
                <w:rFonts w:ascii="Arial" w:cs="Arial" w:eastAsia="Arial" w:hAnsi="Arial"/>
                <w:sz w:val="14"/>
                <w:szCs w:val="14"/>
                <w:color w:val="auto"/>
              </w:rPr>
              <w:t>Operating lease right-of-use asset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Operating lease obligation</w:t>
            </w: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0"/>
              <w:spacing w:after="0"/>
              <w:rPr>
                <w:sz w:val="20"/>
                <w:szCs w:val="20"/>
                <w:color w:val="auto"/>
              </w:rPr>
            </w:pPr>
            <w:r>
              <w:rPr>
                <w:rFonts w:ascii="Arial" w:cs="Arial" w:eastAsia="Arial" w:hAnsi="Arial"/>
                <w:sz w:val="14"/>
                <w:szCs w:val="14"/>
                <w:color w:val="auto"/>
              </w:rPr>
              <w:t>Accrued rent offset to operating lease right-of-use assets</w:t>
            </w:r>
          </w:p>
        </w:tc>
        <w:tc>
          <w:tcPr>
            <w:tcW w:w="6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Settlement of seller note through offset to receivable</w:t>
            </w: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0"/>
              <w:spacing w:after="0"/>
              <w:rPr>
                <w:sz w:val="20"/>
                <w:szCs w:val="20"/>
                <w:color w:val="auto"/>
              </w:rPr>
            </w:pPr>
            <w:r>
              <w:rPr>
                <w:rFonts w:ascii="Arial" w:cs="Arial" w:eastAsia="Arial" w:hAnsi="Arial"/>
                <w:sz w:val="14"/>
                <w:szCs w:val="14"/>
                <w:color w:val="auto"/>
              </w:rPr>
              <w:t>Settlement of contingent obligation through offset to note receivable</w:t>
            </w:r>
          </w:p>
        </w:tc>
        <w:tc>
          <w:tcPr>
            <w:tcW w:w="6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Issuance of common stock in connection with Halston Heritage assets acquisition</w:t>
            </w: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0"/>
              <w:spacing w:after="0"/>
              <w:rPr>
                <w:sz w:val="20"/>
                <w:szCs w:val="20"/>
                <w:color w:val="auto"/>
              </w:rPr>
            </w:pPr>
            <w:r>
              <w:rPr>
                <w:rFonts w:ascii="Arial" w:cs="Arial" w:eastAsia="Arial" w:hAnsi="Arial"/>
                <w:sz w:val="14"/>
                <w:szCs w:val="14"/>
                <w:color w:val="auto"/>
              </w:rPr>
              <w:t>Contingent obligation related to acquisition of Halston Heritage assets at fair value</w:t>
            </w:r>
          </w:p>
        </w:tc>
        <w:tc>
          <w:tcPr>
            <w:tcW w:w="6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Liability for equity-based bonuses</w:t>
            </w: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200"/>
              <w:spacing w:after="0"/>
              <w:rPr>
                <w:sz w:val="20"/>
                <w:szCs w:val="20"/>
                <w:color w:val="auto"/>
              </w:rPr>
            </w:pPr>
            <w:r>
              <w:rPr>
                <w:rFonts w:ascii="Arial" w:cs="Arial" w:eastAsia="Arial" w:hAnsi="Arial"/>
                <w:sz w:val="14"/>
                <w:szCs w:val="14"/>
                <w:color w:val="auto"/>
              </w:rPr>
              <w:t>Amount due from non-controlling interest for capital contribution</w:t>
            </w:r>
          </w:p>
        </w:tc>
        <w:tc>
          <w:tcPr>
            <w:tcW w:w="6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300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Cash paid during the period for interest</w:t>
            </w:r>
          </w:p>
        </w:tc>
        <w:tc>
          <w:tcPr>
            <w:tcW w:w="6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811</w:t>
            </w:r>
          </w:p>
        </w:tc>
        <w:tc>
          <w:tcPr>
            <w:tcW w:w="18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2019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2019, as filed with the SEC on April 14, 2020.</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is a media and consumer products company engaged in the design, production, marketing, wholesale distribution, and direct-to-consumer sales of branded apparel, footwear, accessories, jewelry, home goods and other consumer products, and the acquisition of dynamic consumer lifestyle brands. The Company has developed a design, production, and supply chain capability driven by its proprietary integrated technology platform. Currently, the Company’s brand portfolio consists of the Isaac Mizrahi brands (the "Isaac Mizrahi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designs, produces, markets, and distributes products, and in certain cases, licenses its brands to third parties, and generates licensing fees. The Company and its licensees distribute through a ubiquitous-channel retail sales strategy, which includes distribution through interactive television, the internet, and traditional brick-and-mortar retail channels.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firstLine="648"/>
        <w:spacing w:after="0" w:line="219" w:lineRule="exact"/>
        <w:rPr>
          <w:sz w:val="20"/>
          <w:szCs w:val="20"/>
          <w:color w:val="auto"/>
        </w:rPr>
      </w:pPr>
      <w:r>
        <w:rPr>
          <w:rFonts w:ascii="Arial" w:cs="Arial" w:eastAsia="Arial" w:hAnsi="Arial"/>
          <w:sz w:val="17"/>
          <w:szCs w:val="17"/>
          <w:color w:val="auto"/>
        </w:rPr>
        <w:t>The Company adopted Accounting Standards Update ("ASU") No. 2018</w:t>
      </w:r>
      <w:r>
        <w:rPr>
          <w:rFonts w:ascii="MS PGothic" w:cs="MS PGothic" w:eastAsia="MS PGothic" w:hAnsi="MS PGothic"/>
          <w:sz w:val="17"/>
          <w:szCs w:val="17"/>
          <w:color w:val="auto"/>
        </w:rPr>
        <w:t>‑</w:t>
      </w:r>
      <w:r>
        <w:rPr>
          <w:rFonts w:ascii="Arial" w:cs="Arial" w:eastAsia="Arial" w:hAnsi="Arial"/>
          <w:sz w:val="17"/>
          <w:szCs w:val="17"/>
          <w:color w:val="auto"/>
        </w:rPr>
        <w:t>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the Company’s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Trademarks and Other Intangibles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35,065</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108,815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jc w:val="center"/>
              <w:ind w:left="614"/>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Amortization expense for intangible assets was approximately $1.14 million for the three-month period ended June 30, 2020 (the "current quarter") and was approximately $0.83 million for the three-month period ended June 30, 2019 (the "prior year quarter"). Amortization expense for intangible assets was approximately $2.28 million for the six-month period ended June 30, 2020 (the “current six months”) and was approximately $1.60 million for the six-month period ended June 30, 2019 (the “prior year six months”).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January 1, 2020, the Company determined that the Ripka Brand, inclusive of all its trademarks, has a finite life of 15 years, and is amortized on a straight-line basis accordingly. Prior to January 1, 2020, the Ripka Brand trademarks were considered indefinite-lived assets.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Significant Contracts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w:t>
      </w:r>
    </w:p>
    <w:p>
      <w:pPr>
        <w:spacing w:after="0" w:line="184" w:lineRule="exact"/>
        <w:rPr>
          <w:sz w:val="20"/>
          <w:szCs w:val="20"/>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revenues from QVC totaled $4.04 million and $5.94 million for the current and prior year quarter, respectively, representing approximately 81% and 65% of the Company’s total net revenues for the current and prior year quarter, respectively.</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revenues from QVC totaled $8.74 million and $12.77 million for the current and prior year six months, respectively, representing approximately 60% and 66% of the Company’s total net revenues for the current and prior year six months, respectively.</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of June 30, 2020 and December 31, 2019, the Company had receivables from QVC of $3.94 million and $4.33 million, respectively, representing approximately 60% and 41% of the Company’s total receivables, respectively.</w:t>
      </w:r>
    </w:p>
    <w:p>
      <w:pPr>
        <w:spacing w:after="0" w:line="179" w:lineRule="exact"/>
        <w:rPr>
          <w:rFonts w:ascii="Arial" w:cs="Arial" w:eastAsia="Arial" w:hAnsi="Arial"/>
          <w:sz w:val="18"/>
          <w:szCs w:val="18"/>
          <w:color w:val="auto"/>
        </w:rPr>
      </w:pPr>
    </w:p>
    <w:p>
      <w:pPr>
        <w:ind w:left="240" w:hanging="190"/>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Accounts receivable are presented on the Company’s condensed consolidated balance sheets net of allowances of $793,000 and $155,000 as of June 30, 2020 and December 31, 2019, respectively. The Company recognized bad debt expense of $472,000 and $0 for the current quarter and prior year quarter, respectively, and recognized bad debt expense of $683,000 and $(144,000) for the current six months and prior year six months, respectively.</w:t>
      </w:r>
    </w:p>
    <w:p>
      <w:pPr>
        <w:spacing w:after="0" w:line="17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Included within these amounts, the current quarter and current six months reflect $472,000 and $586,000, respectively, of bad debt expense related to the bankruptcy of a large retail customer due to the novel coronavirus disease pandemic. The total allowance of $586,000 against such customer’s outstanding receivable balance of $1,172,000 million at June 30, 2020 represents management’s best estimate of collectibility, based on information currently available.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operating leases for its current office, former office, and certain equipment with a term of 12 months or less. The Company’s office leases have remaining lease terms of approximately 2 years to 8 years.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net income on a straight-line basis over the lease terms.</w:t>
      </w:r>
    </w:p>
    <w:p>
      <w:pPr>
        <w:spacing w:after="0" w:line="16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Operating lease ROU assets and lease liabilities are recognized at commencement date based on the present value of lease payments over the lease term. As most of the Company’s leases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that the Company will exercise that option. Lease expense for operating lease payments is recognized on a straight-line basis over the lease term.</w:t>
      </w:r>
    </w:p>
    <w:p>
      <w:pPr>
        <w:spacing w:after="0" w:line="17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For the current and prior year quarter, lease expense included in selling, general and administrative expenses on the Company’s unaudited condensed consolidated statements of operations was $0.4 million. For the current and prior year six months, lease expense included in selling, general and administrative expenses on the Company’s unaudited condensed consolidated statements of operations was $0.8 million.</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2020, the weighted average remaining operating lease term was 6.4 years and the weighted average discount rate for operating leases was 6.3%.</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Cash paid for amounts included in the measurement of operating lease liabilities was $0.6 million in the prior year quarter, $0.6 million in the current six months, and $1.2 million in the prior year six months. No such cash payments for operating lease liabilities were made during the current quarter, and the $0.6 million amount of such payments due to lessors are recorded as accounts payable in the Company’s unaudited condensed consolidated balance sheet at June 30, 2020. The Company intends to settle or otherwise satisfy such obligations in subsequent periods.</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2020, the maturities of lease liabilities, excluding the aforementioned amounts reflected as accounts payable,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6. Debt</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Economic Injury Disaster Loan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43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11, 2019, the Company entered into an amended loan agreement with Bank Hapoalim B.M. (“BHI”), which amended and restated the prior Xcel Term Loan. Immediately prior to February 11, 2019, the aggregate principal amount of the prior Xcel Term Loan was $14.5 million. Pursuant to the Xcel Term Loan agreement, the Lenders extended to Xcel an additional term loan in the amount of $7.5 million, such that, as of February 11, 2019, the aggregate outstanding balance of all the term loans extended by BHI to Xcel was $22.0 million, which amount was divided under the Xcel Term Loan agreement into two term loans: (1) a term loan in the amount of $7.3 million (“Term Loan A”) and (2) a term loan in the amount of $14.7 million (“Term Loan B” and, together with Term Loan A, the “Term Loans”).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terms and conditions of the Xcel Term Loan resulted in significantly different debt service payment requirements compared with the prior term debt with BHI. Management assessed and determined that this amendment resulted in a loss on extinguishment of debt and recognized a loss of $0.2 million (consisting of unamortized deferred finance costs) during the prior year quarter. Upon entering into the Xcel Term Loan, Xcel paid an upfront fee in the amount of $0.09 million to BHI.</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April 13, 2020, the Company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permitted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18, 2020, the Company further amended its Second Amended and Restated Loan and Security Agreement with BHI.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Xcel Term Loan shall terminate no later than one year following the date of issuance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principal balance of the Xcel Term Loan, as amended, outstanding at June 30, 2020 is payable in fixed installments as set forth in the following table, plus the variable payments as described below:</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460" w:type="dxa"/>
            <w:vAlign w:val="bottom"/>
            <w:tcBorders>
              <w:top w:val="single" w:sz="8" w:color="auto"/>
            </w:tcBorders>
            <w:gridSpan w:val="2"/>
          </w:tcPr>
          <w:p>
            <w:pPr>
              <w:ind w:left="28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Amount</w:t>
            </w: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2020 and December 31, 2020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 June 30, 2021, September 30, 2021, and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2022, June 30, 2022, September 30, 2022, and 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 June 30, 2023, September 30, 2023, and December 31,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20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$4.45 million as of March 31, 2022, any such shortfall must be repaid at that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Thus, the aggregate remaining annual scheduled principal payments under the Xcel Term Loan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Notwithstanding the above, Xcel may make a voluntary prepayment of up to $0.75 million without any early termination fees. Any such prepayment would be applied against the April 30, 2021 fixed installment payment and would be excluded from the computation of excess cash flows.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Xcel Term Loan,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Xcel Term Loan contains customary covenants, including reporting requirements, trademark preservation, and the following financial covenants of Xcel (on a consolidated basis with Xcel and the Guarantors under the Second Amended and Restated Loan and Security Agreement):</w:t>
      </w:r>
    </w:p>
    <w:p>
      <w:pPr>
        <w:spacing w:after="0" w:line="184" w:lineRule="exact"/>
        <w:rPr>
          <w:sz w:val="20"/>
          <w:szCs w:val="20"/>
          <w:color w:val="auto"/>
        </w:rPr>
      </w:pPr>
    </w:p>
    <w:p>
      <w:pPr>
        <w:ind w:left="1020" w:hanging="32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 assets of at least $3.0 million through December 31, 2020, at least $2.5 million for the fiscal quarters ending March 31, 2021 through September 30, 2021, at least $3.0 million for the fiscal quarter ending December 31, 2021, and at least $5.0 million thereafter;</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shall not be less than $5.0 million for the twelve fiscal month period ended March 31, 2020, $4.8 million for the twelve fiscal month period ending June 30, 2020, and $5.0 million for the twelve month fiscal period ending September 30, 2020;</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20" w:type="dxa"/>
            <w:vAlign w:val="bottom"/>
            <w:gridSpan w:val="2"/>
          </w:tcPr>
          <w:p>
            <w:pPr>
              <w:ind w:left="1760"/>
              <w:spacing w:after="0"/>
              <w:rPr>
                <w:sz w:val="20"/>
                <w:szCs w:val="20"/>
                <w:color w:val="auto"/>
              </w:rPr>
            </w:pPr>
            <w:r>
              <w:rPr>
                <w:rFonts w:ascii="Arial" w:cs="Arial" w:eastAsia="Arial" w:hAnsi="Arial"/>
                <w:sz w:val="14"/>
                <w:szCs w:val="14"/>
                <w:b w:val="1"/>
                <w:bCs w:val="1"/>
                <w:color w:val="auto"/>
              </w:rPr>
              <w:t>Fiscal Quarter End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195"/>
        </w:trPr>
        <w:tc>
          <w:tcPr>
            <w:tcW w:w="4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December 31, 2020, March 31, 2021, June 30, 2021, September</w:t>
            </w:r>
          </w:p>
        </w:tc>
        <w:tc>
          <w:tcPr>
            <w:tcW w:w="1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2021, and December 31, 2021</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 to 1.00</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March 31, 2022, and 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187" w:lineRule="exact"/>
        <w:rPr>
          <w:sz w:val="20"/>
          <w:szCs w:val="20"/>
          <w:color w:val="auto"/>
        </w:rPr>
      </w:pPr>
    </w:p>
    <w:p>
      <w:pPr>
        <w:jc w:val="both"/>
        <w:ind w:left="1020" w:right="79" w:hanging="322"/>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$1.6 million for the fiscal year ending December 31, 2020, and $0.7 million for any fiscal year beginning after December 31, 2020;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020" w:right="33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040" w:type="dxa"/>
            <w:vAlign w:val="bottom"/>
            <w:gridSpan w:val="2"/>
          </w:tcPr>
          <w:p>
            <w:pPr>
              <w:ind w:left="2040"/>
              <w:spacing w:after="0"/>
              <w:rPr>
                <w:sz w:val="20"/>
                <w:szCs w:val="20"/>
                <w:color w:val="auto"/>
              </w:rPr>
            </w:pPr>
            <w:r>
              <w:rPr>
                <w:rFonts w:ascii="Arial" w:cs="Arial" w:eastAsia="Arial" w:hAnsi="Arial"/>
                <w:sz w:val="14"/>
                <w:szCs w:val="14"/>
                <w:b w:val="1"/>
                <w:bCs w:val="1"/>
                <w:color w:val="auto"/>
              </w:rPr>
              <w:t>Fiscal Period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2020</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3.15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March 31, 2022 and each Fiscal Quarter end thereafter</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was in compliance with all applicable covenants as of June 30, 2020.</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For the current and prior year quarter, the Company incurred aggregate interest expense related to term loan debt of approximately $285,000 and $326,000, respectively. For the current six months and prior year six months, the Company incurred aggregate interest expense related to term loan debt of approximately $572,000 and $586,000, respectively. The effective interest rate related to term loan debt was approximately 6.6% for the current quarter and current six months, and approximately 6.8% for the prior year quarter and prior year six months.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April 20, 2020, the Company executed a promissory note (the “Promissory Note”) with Bank of America, N.A., which provides for an unsecured loan in the amount of $1.806 million (the “PPP Loan”), pursuant to the PPP under the CARES Act. The PPP Loan has a two-year term and bears interest at a fixed rate of 1.0% per annum. Monthly principal and interest payments are deferred for six months after the date of disbursement. The PPP Loan may be prepaid at any time prior to maturity with no prepayment penalties. The Promissory Note contains events of default and other provisions customary for a loan of this type. The PPP Loan was funded on April 23, 2020.</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PPP also provides that the PPP Loan may be partially or wholly forgiven if the funds are used for certain qualifying expenses as described in the CARES Act, and later amended by the Paycheck Protection Program Flexibility Act (the "Flexibility Act") signed into law on June 5, 2020. Such forgiveness will be determined, subject to limitations, based on the use of loan proceeds for payment of payroll costs and any payments of mortgage interest, rent, and utilities. While management believes that it is probable that the PPP Loan will be forgiven in full, no definite assurance can be provided that forgiveness for any portion of the PPP Loan will be obtained. Management's determination that full forgiveness is probable is based on qualification under the Flexibility Act.</w:t>
      </w:r>
    </w:p>
    <w:p>
      <w:pPr>
        <w:spacing w:after="0" w:line="17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Management evaluated the legal and contractual terms associated with the PPP Loan, and concluded that, although the legal form of the PPP Loan is debt, the PPP Loan represents in substance a government grant that is expected to be forgiven. Given the lack of definitive authoritative guidance under GAAP for accounting for government grants, the Company analogized to accounting guidance under International Accounting Standard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approximately $1,640,000 as a reduction to operating expenses in the current quarter. The remaining amount of $166,000 as of June 30, 2020 is recorded as a deferred credit within accounts payable, accrued expense and other current liabilities in the accompanying condensed consolidated balance sheets, and will be recognized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a reduction to operating expenses in the quarter ending September 30, 2020. No interest expense related to the PPP Loan has been recorded in the Company’s unaudited condensed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Injury Disaster Loan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May 4, 2020, the Company received a $10,000 loan through the U.S. Small Business Administration’s disaster assistance program. This loan has a thirty-year term and bears interest at a fixed rate of 3.75% per annum.</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accounts for non-employee awards in accordance with ASU 2018-07, “Compensation - Stock Compensation (Topic 718) - Improvements to Nonemployee Share-Based Payment Accounting.” Such awards are measured at the grant-date fair value of the equity instruments to be issued, and the Company recognizes compensation cost for grants to non-employees on a straight-line basis over the period of the grant.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7,222,625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443,500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June 30, 2020, and expected to vest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7,540,125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June 30, 2020</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2,939,625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January 1, 2020, the Company granted options to purchase 5,000 shares of stock to a board observer. The exercise price of the options is $4.00 per share, and 50% of the options vest on each of January 1, 2021 and January 1, 2022.</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January 31, 2020, the Company granted options to purchase 75,000 shares of stock to a consultant. The exercise price of the options is $1.57 per share, and all options vested immediately on the date of grant.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February 28, 2020, the Company granted options to purchase 50,000 shares of common stock to an employee. The exercise price is $1.40 per share, and the vesting of such options is dependent upon the Company achieving certain 12-month sales targets through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March 13, 2020, the Company granted options to purchase 50,000 shares of common stock to a certain key employee.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31, 2020, the Company granted options to purchase 50,000 shares of common stock to an employee. The exercise price of the options is $0.61 per share, and one-third of the options shall vest on each of March 31, 2021, March 31, 2021, and March 31,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2020, the Company granted options to purchase an aggregate of 200,000 shares of commons stock to non-management directors. The exercise price of the options is $0.50 per share, and 50% of the options shall vest on each of April 1, 2021 and April 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15, 2020, the Company granted options to purchase 13,500 shares of common stock to a consultant. The exercise price of the options is $3.00 per share. One-third of the options vested on June 30, 2020, and one-third of the options shall vest on each of September 30, 2020 and December 31, 2020.</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$45,000 and $73,000, respectively. Compensation expense related to stock options for the current six months and prior year six months was approximately $113,000 and $316,000,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Total unrecognized compensation expense related to unvested stock options at June 30, 2020 amounts to approximately $250,000 and is expected to be recognized over a weighted average period of approximately 1.50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443,500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six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June 30, 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current six months, prior year quarter, or prior year six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six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607,428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(1,057,218)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March 30, 2020, the Company issued 336,700 shares of stock to a member of senior management as payment for a performance bonus earned in 2019. These shares vested immediately.</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May 20, 2020, the Company issued an aggregate of 270,728 shares of stock to its employees. These shares vested immediately. The Company recognized approximately $265,000 of compensation expense in the current quarter and current six months related to this grant.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$10,000 and $104,000, respectively. Compensation expense related to restricted stock grants for the current six months and prior year six months was approximately $33,000 and $166,000, respectively.</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Total unrecognized compensation expense related to unvested restricted stock grants at June 30, 2020 amounts to approximately $32,000 and is expected to be recognized over a weighted average period of approximately 0.75 years.</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also recognized approximately $168,000 and $320,000 of compensation expense in the current quarter and current six months related to certain senior management bonuses payable in stock in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2020, there were 1,218,670 shares of common stock available for issuance under the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June 30, 2020, there were 9,338,610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436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43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19,132,244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18,976,394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19,001,321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18,770,378</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Effect of exercise of warrants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19,132,244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18,977,051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19,001,321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18,771,053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a result of the net loss presented for the current quarter and current six months, the Company calculated diluted earnings per share using basic weighted average shares outstanding for such period,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62"/>
        </w:trPr>
        <w:tc>
          <w:tcPr>
            <w:tcW w:w="4380" w:type="dxa"/>
            <w:vAlign w:val="bottom"/>
          </w:tcPr>
          <w:p>
            <w:pPr>
              <w:spacing w:after="0"/>
              <w:rPr>
                <w:sz w:val="14"/>
                <w:szCs w:val="14"/>
                <w:color w:val="auto"/>
              </w:rPr>
            </w:pPr>
          </w:p>
        </w:tc>
        <w:tc>
          <w:tcPr>
            <w:tcW w:w="130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8,119,940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8,408,386</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8,119,940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7,124,005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-49% and 37%, respectively, resulting in an income tax (benefit) provision of $0.43 million and $1.07 million, respectively.</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six months and prior year six months was approximately 5% and 37%, respectively, resulting in an income tax (benefit) provision of $(0.12) million and $1.14 million, respectively.</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the tax impact from the vesting of restricted shares of common stock, which was treated as a discrete item for tax purposes and decreased the effective rate by approximately 41%. The effective tax rate was also attributable to state taxes and recurring permanent differences, which decreased the effective tax rate by approximately 2% and 27%, respectively.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For the prior year quarter, the federal statutory rate differed from the effective tax rate primarily due to state taxes and recurring permanent differences, which increased the effective tax rate by approximately 9% and 6%, respectively.</w:t>
      </w:r>
    </w:p>
    <w:p>
      <w:pPr>
        <w:spacing w:after="0" w:line="14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For the current six months, the federal statutory rate differed from the effective tax rate primarily due to the tax impact from the vesting of restricted shares of common stock, which was treated as a discrete item for tax purposes and decreased the effect rate by approximately 16%. The effective rate was also attributable to state taxes and recurring permanent differences, which increased the effective tax rate by approximately 5% and decreased the effective tax rate by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approximately 8%, respectively. The effective tax rate was also affected by the tax impact of a potential federal net operating loss carryback due to the CARES Act; this item increased the effective rate by approximately 4%.</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For the prior year six months, the federal statutory rate differed from the effective tax rate primarily due to state taxes and recurring permanent differences, which increased the effective tax rate by approximately 9% and 6%, respectively.</w:t>
      </w:r>
    </w:p>
    <w:p>
      <w:pPr>
        <w:spacing w:after="0" w:line="12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March 27, 2020, the CARES Act was enacted and signed into law. The CARES Act includes certain provisions impacting businesses’ income taxes related to 2018, 2019, and 2020. Some of the significant tax law changes are to increase the limitation on deductible business interest expense for 2019 and 2020, allow for the five-year carryback of net operating losses for 2018-2020, suspend the 80% limitation of taxable income for net operating loss carryforwards for 2018-2020, provide for the acceleration of depreciation expense from 2018 and forward on qualified improvement property, and accelerate the ability to claim refunds of AMT credit carryforwards. The Company is required to recognize the effect of tax law changes on its financial statements in the period in which the law was enacted. At this time, the Company may avail itself of the ability to carry back net operating losses generated in 2018 and 2019 tax years for five years, resulting in an estimated income statement benefit of $98,000 and tax refund receivable of $203,000.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Benjamin Malka was a director of the Company from June 2014 through September 2019. Mr. Malka is also a 25% equity holder of House of Halston LLC (“HOH”), and is the former Chief Executive Officer of HOH. HOH is the parent company of the H Company IP, LLC (“HIP”).</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February 11, 2019, the Company and its wholly owned subsidiary, H Heritage Licensing, LLC, entered into an asset purchase agreement (the "Heritage Asset Purchase Agreement") with HIP and HOH, pursuant to which the Company acquired certain assets of HIP, including the "Halston," "Halston Heritage," and "Roy Frowick" trademarks (collectively, the "Halston Heritage Trademarks") and other intellectual property rights relating thereto.</w:t>
      </w:r>
    </w:p>
    <w:p>
      <w:pPr>
        <w:spacing w:after="0" w:line="17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$33,000 and $44,000 for the current quarter and prior year quarter, respectively. Mrs. D’Loren received compensation of $70,000 and $83,000 for the current six months and prior year six months,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40" w:hanging="390"/>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connection with the February 11, 2019 purchase of the Halston Heritage Trademarks from HIP, the Company agreed to pay HIP additional consideration (the “Halston Heritage Earn-Out”) of up to an aggregate of $6.0 million, based on royalties earned through December 31, 2022. The Halston Heritage Earn-Out of $0.9 million is recorded as a long-term liability at June 30, 2020 and December 31, 2019 in the accompanying condensed consolidated balance sheets, based on the difference between the fair value of the acquired assets of the Halston Heritage Trademarks and the total consideration paid. In accordance with Accounting Standards Codification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has resulted in a sudden and continuing decrease in sales for many of the Company’s products, resulting in order cancellations.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COVID-19 outbreak, there is significant uncertainty surrounding the potential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83"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6, 2020, the Company entered into an assignment and assumption agreement with the landlord and subtenant at its former office location at 475 Tenth Avenue, New York, NY. Under the terms of this agreement, in exchange for certain consideration totaling approximately $887,000, the landlord agreed to release the Company from all future obligations under the lease effective as of August 1, 2020, and all of the Company’s rights, title, and interest in and to the lease at 475 Tenth Avenue was assigned to the current subtenant in place.</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18, 2020, the Company further amended its Second Amended and Restated Loan and Security Agreement with BHI.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 See Note 6, “Debt,” for additional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2019.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Xcel Brands, Inc. (“Xcel,” the “Company,” “we,” “us,” or “our”) is a media and consumer products company engaged in the design, production, marketing, wholesale distribution,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and the C Wonder brands (the "C Wonder Brand”). The Company also owns and manages the Longaberger brand (the “Longaberger Brand”) through its controlling interest in Longaberger Licensing, LLC. The Company and its licensees distribute through a ubiquitous channel retail sales strategy which includes distribution through interactive television, the Internet and e-commerce, and traditional brick-and-mortar retail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70" w:lineRule="exact"/>
        <w:rPr>
          <w:sz w:val="20"/>
          <w:szCs w:val="20"/>
          <w:color w:val="auto"/>
        </w:rPr>
      </w:pPr>
    </w:p>
    <w:p>
      <w:pPr>
        <w:ind w:left="1020" w:right="79" w:hanging="322"/>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distribution and/or licensing of our brands for sale through interactive television (i.e. QVC, The Shopping Channel) whereby we design, manage production, merchandise the shows, and manage the on-air talent;</w:t>
      </w:r>
    </w:p>
    <w:p>
      <w:pPr>
        <w:spacing w:after="0" w:line="123" w:lineRule="exact"/>
        <w:rPr>
          <w:rFonts w:ascii="Arial" w:cs="Arial" w:eastAsia="Arial" w:hAnsi="Arial"/>
          <w:sz w:val="16"/>
          <w:szCs w:val="16"/>
          <w:color w:val="auto"/>
        </w:rPr>
      </w:pPr>
    </w:p>
    <w:p>
      <w:pPr>
        <w:jc w:val="both"/>
        <w:ind w:left="1020" w:right="79" w:hanging="322"/>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sites directly to the end consumer; and</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quickly integrate additional consumer brands into our operating platform and leverage our design, production, and marketing capabilities, and distribution relationships.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20" w:right="79" w:hanging="32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significant media and internet presence and distribution.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that our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380 million homes worldwide and hundreds of millions of social media followers.</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our design, production and supply chain platform provides significant competitive advantages compared with traditional wholesale apparel companies that design, manufacture, and distribute products. We focus on our core competencies of design, integrated technologies, design, production and supply chain platform,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and marketing capabilities, and distribution network.</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June 30, 2020 (the “current quarter”) compared with the three months ended June 30, 2019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quarter net revenue decreased approximately $4.0 million to $5.1 million from $9.1 million for the prior year quarter.</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licensing revenue decreased by approximately $2.3 million in the current quarter to $4.5 million, compared with $6.8 million in the prior year quarter. This decline was primarily driven by lower sales by our licensees as a result of government-ordered retail store closures as well as an overall slowdown in economic activity related to the COVID-19 pandemic. The decline was also partially attributable, to a lesser extent, to a reduction in guaranteed minimum revenues from one of our existing licensing arrangements upon renewal effective January 1, 2020.</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product sales decreased by approximately $1.8 million in the current quarter to $0.5 million, compared with $2.3 million in the prior year quarter. Similar to net licensing revenue, the decline in net product sales was primarily driven by lower sales as a result of government-ordered retail store closures as well as an overall slowdown in economic activity related to the COVID-19 pandemic.</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quarter cost of goods sold was $0.3 million, compared with $1.8 million for the prior year quarter due to lower volume of wholesale and e-commerce sales in the current quarter. Gross profit (net revenue less cost of goods sold) decreased approximately $2.7 million to $4.7 million from $7.4 million in the prior year quarter, primarily driven by the aforementioned decline in net licensing revenue.</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gross profit margin increased from 81% in the prior year quarter to 95% in the current quarter, reflecting the proportional shift of revenue mix towards licensing revenues in the current quarter. Gross profit margin from product sales increased from 24% in the prior year quarter to 54% in the current quarter as a result of achieving greater efficiencies and economies of scale.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Operating costs and expenses decreased approximately $1.6 million from $7.0 million in the prior year quarter to $5.4 million in the current quarter. This reduction was primarily due to government assistance received through the Paycheck Protection Program under the CARES Act, for which the Company recognized $1.6 million as a reduction to current quarter expenses. Lower operating costs were also partially attributable to various cost reduction actions taken by management in response to the COVID-19 pandemic, including temporary reductions of employee compensation and cutting non-essential costs. Partially offsetting these decreases in operating costs and expenses was higher depreciation and amortization expense, primarily due to the change in estimated life for the Judith Ripka trademarks. The current quarter also includes $0.5 million of bad debt expense related to the bankruptcy of a large retail customer due to the COVID-19 pandemic. The total allowance of $0.6 million against such customer’s outstanding receivable balance of $1.2 million at June 30, 2020 represents management’s best estimate of collectibility, based on information currently available.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prior year quarter, we recognized a $2.9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Interest and finance expense for the current quarter was $0.30 million, compared with $0.35 million for the prior year quarter. The decrease from the prior year quarter is primarily attributable to principal payments made on term loan debt, resulting in a lower outstanding principal balance as compared with the prior year quarter.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-49% and 37%, respectively, resulting in an income tax provision of $0.43 million and $1.07 million, respectively.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the tax impact from the vesting of restricted shares of common stock, which was treated as a discrete item for tax purposes and decreased the effective rate by approximately 41%. The effective tax rate was also attributable to state taxes and recurring permanent differences, which decreased the effective tax rate by approximately 2% and 27%, respectively.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For the prior year quarter, the federal statutory rate differed from the effective tax rate primarily due to state taxes and recurring permanent differences, which increased the effective tax rate by approximately 9% and 6%,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net loss of $(1.34) million for the current quarter, compared with net income of $1.85 million for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had non-GAAP net income of approximately $1.2 million, or $0.06 per diluted share (“non-GAAP diluted EPS”), for the current quarter and $1.0 million, or $0.05 per diluted share, for the prior year quarter. Non-GAAP net income is a non-GAAP unaudited term, which we define as net income (loss), exclusive of amortization of trademarks, stock-based compensation, non-cash interest and finance expense from discounted debt related to acquired assets, loss on extinguishment of debt, gain on reduction of contingent obligations, costs in connection with potential acquisitions, certain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adjustments to allowances for doubtful accounts, asset impairments, and deferred income taxes. Non-GAAP net income and non-GAAP diluted EPS measures do not include the tax effect of the aforementioned adjusting items, due to the nature of these items and the Company’s tax strategy. Prior to 2019, the Company did not adjust non-GAAP net income and non-GAAP EPS for the amortization of trademarks or costs in connection with potential acquisitions.</w:t>
      </w:r>
    </w:p>
    <w:p>
      <w:pPr>
        <w:spacing w:after="0" w:line="17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had Adjusted EBITDA of $1.7 million for the current quarter, compared with Adjusted EBITDA of $1.6 million for the prior year quarter. Adjusted EBITDA is a non-GAAP unaudited measure, which we define as net income (loss) before depreciation and amortization, interest and finance expenses (including loss on extinguishment of debt, if any), income taxes, other state and local franchise taxes, stock-based compensation, gain on reduction of contingent obligations, costs in connection with potential acquisitions, asset impairments, and certain adjustments to allowances for doubtful accounts.</w:t>
      </w:r>
    </w:p>
    <w:p>
      <w:pPr>
        <w:spacing w:after="0" w:line="16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The Company has incurred certain costs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Adjusted EBITDA is the measure used to calculate compliance with the EBITDA covenant under the Xcel Term Loan.</w:t>
      </w:r>
    </w:p>
    <w:p>
      <w:pPr>
        <w:spacing w:after="0" w:line="18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income tax provision</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earnings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3"/>
          </w:tcPr>
          <w:p>
            <w:pPr>
              <w:jc w:val="right"/>
              <w:ind w:right="107"/>
              <w:spacing w:after="0" w:line="149" w:lineRule="exact"/>
              <w:rPr>
                <w:sz w:val="20"/>
                <w:szCs w:val="20"/>
                <w:color w:val="auto"/>
              </w:rPr>
            </w:pPr>
            <w:r>
              <w:rPr>
                <w:rFonts w:ascii="Arial" w:cs="Arial" w:eastAsia="Arial" w:hAnsi="Arial"/>
                <w:sz w:val="14"/>
                <w:szCs w:val="14"/>
                <w:b w:val="1"/>
                <w:bCs w:val="1"/>
                <w:color w:val="auto"/>
              </w:rPr>
              <w:t>June 30,</w:t>
            </w: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provision</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19,192,353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18,977,051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350"/>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Certain adjustments to allowances for doubtful accounts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reduction of contingent obligation</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Both non-GAAP net income and Adjusted EBITDA for the current quarter include certain adjustments to net (loss) income including allowances for doubtful accounts for account debtors that have filed for bankruptcy protection triggered by the impact of COVID-19. In addition, net loss for the current quarter includes $1.6 million of PPP Benefit, which was recognized as a reduction to current quarter expenses for which the program was intended to compensate. As such, this amount is included in net (loss) income in accordance with GAAP. The expense reduction from the PPP is not considered a reconciling item for purposes of the computation of non-GAAP net income and Adjusted EBITDA due to the fact that the</w:t>
      </w:r>
    </w:p>
    <w:p>
      <w:pPr>
        <w:spacing w:after="0" w:line="4" w:lineRule="exact"/>
        <w:rPr>
          <w:sz w:val="20"/>
          <w:szCs w:val="20"/>
          <w:color w:val="auto"/>
        </w:rPr>
      </w:pPr>
    </w:p>
    <w:p>
      <w:pPr>
        <w:ind w:left="60" w:right="59" w:hanging="10"/>
        <w:spacing w:after="0" w:line="323" w:lineRule="auto"/>
        <w:tabs>
          <w:tab w:leader="none" w:pos="4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Benefit represents a cash benefit and is directly related to the Company’s operating expenses incurred. Such treatment is also consistent with the calculation of EBITDA for financial covenant compliance purposes under the Xcel Term Loan.</w:t>
      </w:r>
    </w:p>
    <w:p>
      <w:pPr>
        <w:spacing w:after="0" w:line="138"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Six months ended June 30, 2020 (the “current six months”) compared with the six months ended June 30, 2019 (the “prior year six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Current six months net revenue decreased approximately $4.8 million to $14.6 million from $19.4 million for the prior year six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licensing revenue decreased by approximately $4.6 million in the current six months to $10.1 million, compared with $14.7 million in the prior year six months. This decline was primarily driven by a combination of (i) lower customer sales by our licensees as a result of government-ordered retail store closures as well as an overall slowdown in economic activity related to the COVID-19 pandemic, (ii) revenues from one of our existing licensing arrangements changing from guaranteed minimum amounts to sales-based royalties effective April 1, 2019, and (iii) a reduction in guaranteed minimum revenues from another of our existing licensing arrangements upon renewal effective January 1, 2020.</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product sales decreased by approximately $0.3 million in the current six months to $4.4 million, compared with approximately $4.7 million in the prior year six months. The decline in net product sales was primarily driven by lower sales as a result of government-ordered retail store closures as well as an overall slowdown in economic activity during the related to the COVID-19 pandemic during the second quarter of 2020, partially offset by volume growth in our apparel wholesale business in the first quarter of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six months cost of goods sold was $2.7 million, compared with $3.6 million for the prior year six months due to lower overall volume of wholesale and e-commerce sales in the current six months. Gross profit (net revenue less cost of goods sold) decreased approximately $4.0 million to $11.8 million from $15.8 million in the prior year six months, primarily driven by the aforementioned decline in net licensing revenue.</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Total gross profit margin was 81% in the prior year six months and 82% in the current six months, essentially flat. Gross profit margin from product sales increased from 25% in the prior year six months to 40% in the current six months as a result of achieving greater efficiencies and economies of scale in our wholesale business operations.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Operating costs and expenses decreased approximately $1.1 million from $14.7 million in the prior year six months to $13.6 million in the current six months. This reduction was primarily due to government assistance received through the Paycheck Protection Program under the CARES Act, for which the Company recognized $1.6 million as a reduction to current six months expenses, as well as various cost reduction actions taken by management in response to the COVID-19 pandemic, including temporary reductions of employee compensation and cutting non-essential costs. Partially offsetting these reductions was higher depreciation and amortization expense, primarily due to the change in estimated life for the Judith Ripka trademarks. The current six months also includes $0.6 million of bad debt expense related to the bankruptcy of a large retail customer due to the COVID-19 pandemic. The total allowance of $0.6 million against such customer’s outstanding receivable balance of $1.2 million at June 30, 2020 represents management’s best estimate of collectibility, based on information currently available.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prior year six months, we recognized a $2.9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and finance expense for the current six months was $0.59 million, compared with $0.83 million for the prior year six months. This decrease is primarily attributable to the fact that the prior year six months includes a $0.19 million loss on extinguishment of debt as a result of the February 11, 2019 term loan amendment, with no such comparable extinguishment loss in the current six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six months and the prior year six months was approximately 5% and 37%, respectively, resulting in an income tax (benefit) provision of $(0.12) million and $1.14 million, respectively.</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For the current six months, the federal statutory rate differed from the effective tax rate primarily due to the tax impact from the vesting of restricted shares of common stock, which was treated as a discrete item for tax purposes and decreased the effect rate by approximately 16%. The effective rate was also attributable to state taxes and recurring permanent differences, which increased the effective tax rate by approximately 5% and decreased the effective tax rate by approximately 8%, respectively. The effective tax rate was also affected by the tax impact of a potential federal net operating loss carryback due to the CARES Act; this item increased the effective rate by approximately 4%.</w:t>
      </w:r>
    </w:p>
    <w:p>
      <w:pPr>
        <w:spacing w:after="0" w:line="17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For the prior year six months, the federal statutory rate differed from the effective tax rate primarily due to state taxes and recurring permanent differences, which increased the effective tax rate by approximately 9% and 6%,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$(2.17) million for the current six months, compared with net income of $1.98 million for the prior year six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had non-GAAP net income of approximately $1.4 million, or $0.07 per diluted share (“non-GAAP diluted EPS”), for the current six months and $2.5 million, or $0.13 per diluted share, for the prior year six months. We had Adjusted EBITDA of $2.5 million for the current six months, compared with Adjusted EBITDA of $3.7 million for the prior year six months.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16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interest and finance expense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 provision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earnings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right"/>
              <w:ind w:right="267"/>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and finance expense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19,001,842</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18,771,053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60" w:type="dxa"/>
            <w:vAlign w:val="bottom"/>
            <w:gridSpan w:val="3"/>
          </w:tcPr>
          <w:p>
            <w:pPr>
              <w:jc w:val="right"/>
              <w:ind w:right="307"/>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in connection with potential acquisition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Both non-GAAP net income and Adjusted EBITDA for the current six months include certain adjustment to net (loss) income including allowances for doubtful accounts for account debtors that have filed for bankruptcy protection triggered by the impact of COVID-19. In addition, net loss for the current six months includes $1.6 million of government assistance received through the Paycheck Protection Program under the CARES Act, which was recognized as a reduction to current six months expenses for which the program was intended to compensate. As such, the PPP Benefit is included in net (loss) income in accordance with GAAP. Such treatment is also consistent with the calculation of EBITDA for financial covenant compliance purposes under the Xcel Term Loan.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June 30, 2020 and December 31, 2019, our cash and cash equivalents were $5.5 million and $4.6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Restricted cash at June 30, 2020 and at December 31, 2019 consisted of $1.1 million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23, 2020, we received $1.8 million from Bank of America through the PPP. We used the proceeds primarily to pay for payroll costs, and we believe it is probable that the loan will be forgiven under the terms of the PPP.</w:t>
      </w:r>
    </w:p>
    <w:p>
      <w:pPr>
        <w:spacing w:after="0" w:line="14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$8.5 million and $9.5 million as of June 30, 2020 and December 31, 2019, respectively. Working capital decreased by approximately $1.0 million during the first six months of 2020 primarily due to the increase in the current portion of long-term debt.</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Commentary on the components of our cash flows for the current six months as compared with the prior year six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cash provided by operating activities was approximately $2.38 million in the current six months, compared with approximately $1.98 million in the prior year six months.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current six months cash provided by operating activities was primarily attributable to the combination of the net loss of $(2.17) million plus non-cash expenses of approximately $4.05 million and the net change in operating assets and liabilities of approximately $0.50 million. The net loss of $(2.17) million includes $1.64 million of government assistance received through the PPP under the CARES Act, which was recognized as a reduction to current six months expenses for which the program was intended to compensate. Non-cash net expenses were primarily comprised of $2.63 million of depreciation and amortization, $0.73 million of stock-based compensation, $0.68 million of bad debt expense, and deferred income tax benefit of $(0.12) million. The net change in operating assets and liabilities includes a decrease in accounts receivable of $3.40 million and a decrease in accounts payable, accrued expenses and other current liabilities of $(2.71) million, and cash paid in excess of rent expense of $(0.18) million. The net change in accounts receivable is attributable to a combination of the timing of collections, and lower revenues recognized as a result of the COVID-19 pandemic. The net change in accounts payable, accrued expenses and other current liabilities is due to timing of payments, as well as actions taken by management in response to the COVID-19 pandemic to conserve cash.</w:t>
      </w:r>
    </w:p>
    <w:p>
      <w:pPr>
        <w:spacing w:after="0" w:line="16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prior year six months cash provided by operating activities was primarily attributable to the combination of net income of $1.98 million plus non-cash expenses of approximately $0.86 million and net change in operating assets and liabilities of approximately $(0.86) million. Non-cash net expenses primarily consisted of $0.48 million of stock-based compensation, $1.95 million of depreciation and amortization, loss on extinguishment of debt of $0.19 million, deferred income tax provision of $1.14 million, and gain on reduction of contingent obligations of $(2.85) million. The net change from operating assets and liabilities included a decrease in accounts receivable of $2.29 million, a decrease in inventory of approximately $1.11 million, an increase in prepaid expenses and other assets of $(0.29) million, a decrease in accounts payable, accrued expenses and other current liabilities of $(3.54) million, and a decrease in other liabilities of $(0.20) million, all of which are primarily due to timing of collections and payments, and cash paid in excess of rent expense of $(0.24) million.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Net cash used in investing activities for the current six months was approximately $0.63 million, compared with approximately $9.4 million in the prior year six months. Cash used in investing activities for in the current six months was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primarily attributable to capital expenditures, a substantial portion of which relates to the implementation of our ERP system, while cash used in investing activities for the prior year six months was primarily related to cash consideration paid to acquire the Halston Heritage Brands.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used in financing activities for the current six months was approximately $(0.93) million, and was primarily attributable to payments made on long-term debt obligations of $(0.75) million, and $(0.19) million of shares repurchased related to vested restricted stock in exchange for withholding taxes.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cash provided by financing activities for the prior year six months was approximately $4.5 million, primarily attributable to proceeds received from long-term debt of $7.5 million, partially offset by payments made on long-term debt obligations of $(2.74) million, and payment of $(0.29) million of deferred finance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transitioned our department store business from a licensing model to a wholesale model, and continue to work towards expanding our Judith Ripka Fine Jewelry wholesale and e-commerce business. Our strategy is to manage our working capital needs by utilizing back-to-back sales and purchase orders and minimizing inventory risk. This change should, on a long-term basis, increase our revenues as compared to the licensing model. We expect to develop a core licensing business for the Longaberger brand, in addition to a direct-to-consumer business.</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However,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pandemic has affected the financial health of certain of our customers, and the bankruptcy of certain other customers, including Lord &amp; Taylor and Le Tote, from which we had an aggregate of $1,172,000 of accounts receivable due at June 30, 2020. As a result, we have recognized an allowance for doubtful accounts of $586,000 for the six months ended June 30,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any effects on our results for the remainder of 2020. However, as of the date of this filing, we expect our results for 2020 and potentially 2021 to be significantly affected.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Please refer to our Annual Report on Form 10-K for the year ended December 31, 2019, filed with the SEC on April 14, 2020, for a discussion of our critical accounting policies. During the three and six months ended June 30, 2020, there were no material changes to our accounting policies.</w:t>
      </w:r>
    </w:p>
    <w:p>
      <w:pPr>
        <w:spacing w:after="0" w:line="396"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37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2020, the end of the period covered by this report. Based on, and as of the date of such evaluation, the Chief Executive Officer and the Chief Financial Officer have concluded that our disclosure controls and procedures were effective as of June 30, 2020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June 30, 2020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Risk Factors set forth in Part I, Item 1A, “Risk Factors” of our Annual Report on Form 10-K for the year ended December 31, 2019,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2019 are not the only risks we face. Additional risks and uncertainties not currently known to us or that we currently deem to be immaterial also may materially adversely affect our financial condition and/or operating results.</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could result in a delisting of our common stock, which could negatively impact the market price and liquidity of our common stock and our ability to access the capital markets.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6, 2020,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letter also states that pursuant to Nasdaq Listing Rules 5810(c)(3)(A), we will be provided 180 calendar days to regain compliance with the minimum bid price requirement, or until February 2, 2021.</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can regain compliance if, at any time during the Tolling Period or such 180-day period, the closing bid price of our common stock is at least $1.00 for a minimum period of 10 consecutive business days. If by February 2, 2021, we do not regain compliance with the Nasdaq Listing Rules, we may be eligible for additional time to regain compliance pursuant to Nasdaq Listing Rule 5810(c)(3)(A)(ii). To qualify, we would need to submit a transfer application and a $5,000 application fee. We would also need to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 able to cure this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regain compliance within the allotted compliance period, including any extensions that may be granted by Nasdaq, Nasdaq will provide notice that our shares of common stock will be subject to delisting from the Nasdaq Global Select Market. At such time, we may appeal the delisting determination to a hearings panel.</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intend to monitor our common stock closing bid price between now and February 2, 2021, and will consider available options to resolve the Company’s noncompliance with the minimum bid price requirement, as may be necessary. There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can be no assurance that the Company will be able to regain compliance with the minimum bid price requirement or will otherwise be in compliance with other Nasdaq listing criteria.</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is having a material adverse impact on our business, operating results, and financial condition.</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 pandemic or outbreak of disease or similar public health threat, such as the COVID-19 pandemic, or fear of such an event, could have a material adverse impact on our business, operating results, and financial condition. The current COVID-19 pandemic has caused a disruption to our business, beginning in March 2020.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pandemic has affected the financial health of certain of our customers, and the bankruptcy of certain other customers, including Lord &amp; Taylor and Le Tote, from which we had an aggregate of $1,172,000 of accounts receivable due at June 30, 2020. As a result, we have recognized an allowance for doubtful accounts of $586,000 for the six months ended June 30,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may have on our operating results could result in our inability to comply with certain debt covenants and require BHI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2020 results. However, as of the date of this filing, we expect our results for 2020 and potentially 2021 to be significantly affected.</w:t>
      </w:r>
    </w:p>
    <w:p>
      <w:pPr>
        <w:spacing w:after="0" w:line="17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 or could result in damage to our reputation.</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received an unsecured loan in the amount of $1,805,856 (the “PPP Loan”) pursuant to the Paycheck Protection Program (the “PPP”)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Promissory Note contains events of default and other provisions customary for a loan of this type. The Paycheck Protection Program provides that the PPP Loan may be partially or wholly forgiven if the funds are used for certain qualifying expenses as described in the CARES Act. Such forgiveness will be determined, subject to limitations, based on the use of loan proceeds for payment of payroll costs and any payments of mortgage interest, rent, and utilities. However, no assurance is provided that forgiveness for any portion of the PPP Loan will be obtained.</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of the CARES Act. The certification described above did not contain any objective criteria and is subject to interpretation. However, on April 23, 2020, the U.S. Small Business Administration (“SBA”) issued guidance stating that it is unlikely that a public company with substantial market value and access to capital markets will be able to make the required certification in good faith. The lack of clarity regarding loan eligibility under the PPP has resulted in significant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media coverage and controversy with respect to public companies applying for and receiving loans. If, despite our good-faith belief that we satisfied all eligible requirements for the PPP Loan, we or any company that we may acquire in the future which received a loan under the PPP, are later determined to have violated any of the laws or governmental regulations that apply to us or such acquiree in connection with the PPP Loan or another loan under the PPP, respectively, such as the False Claims Act, or it is otherwise determined that we or such acquiree were ineligible to receive the PPP Loan or such other loan under the PPP, respectively, we or such acquiree may be subject to penalties, including significant civil, criminal and administrative penalties, and could be required to repay the PPP Loan or such other loan under the PPP, respectively, in its entirety. In addition, our receipt of the PPP Loan or any company that we may acquire in the future which received a loan under the PPP may result in adverse publicity and damage to our reputation, and a review or audit by the SBA or other government entity or claims under the False Claims Act could consume significant financial and management resources.</w:t>
      </w:r>
    </w:p>
    <w:p>
      <w:pPr>
        <w:spacing w:after="0" w:line="39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were no sales of unregistered or registered securities during the three and six months ended June 30, 2020.</w:t>
      </w:r>
    </w:p>
    <w:p>
      <w:pPr>
        <w:spacing w:after="0" w:line="23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252" w:lineRule="exact"/>
        <w:rPr>
          <w:sz w:val="20"/>
          <w:szCs w:val="20"/>
          <w:color w:val="auto"/>
        </w:rPr>
      </w:pPr>
    </w:p>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31.1 Rule 13a-14(a)/15d-14(a)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31.2 Rule 13a-14(a)/15d-14(a) Certification (CFO)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32.1 Section 1350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32.2 Section 1350 Certification (CFO)</w:t>
        </w:r>
      </w:hyperlink>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ind w:left="40"/>
              <w:spacing w:after="0"/>
              <w:rPr>
                <w:sz w:val="20"/>
                <w:szCs w:val="20"/>
                <w:color w:val="auto"/>
              </w:rPr>
            </w:pPr>
            <w:r>
              <w:rPr>
                <w:rFonts w:ascii="Arial" w:cs="Arial" w:eastAsia="Arial" w:hAnsi="Arial"/>
                <w:sz w:val="18"/>
                <w:szCs w:val="18"/>
                <w:color w:val="auto"/>
              </w:rPr>
              <w:t>Date: August 19, 2020</w:t>
            </w:r>
          </w:p>
        </w:tc>
        <w:tc>
          <w:tcPr>
            <w:tcW w:w="2060" w:type="dxa"/>
            <w:vAlign w:val="bottom"/>
          </w:tcPr>
          <w:p>
            <w:pPr>
              <w:ind w:left="16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020" w:type="dxa"/>
            <w:vAlign w:val="bottom"/>
          </w:tcPr>
          <w:p>
            <w:pPr>
              <w:spacing w:after="0"/>
              <w:rPr>
                <w:sz w:val="24"/>
                <w:szCs w:val="24"/>
                <w:color w:val="auto"/>
              </w:rPr>
            </w:pPr>
          </w:p>
        </w:tc>
        <w:tc>
          <w:tcPr>
            <w:tcW w:w="2060" w:type="dxa"/>
            <w:vAlign w:val="bottom"/>
          </w:tcPr>
          <w:p>
            <w:pPr>
              <w:ind w:left="16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864"/>
        </w:trPr>
        <w:tc>
          <w:tcPr>
            <w:tcW w:w="3020" w:type="dxa"/>
            <w:vAlign w:val="bottom"/>
          </w:tcPr>
          <w:p>
            <w:pPr>
              <w:spacing w:after="0"/>
              <w:rPr>
                <w:sz w:val="24"/>
                <w:szCs w:val="24"/>
                <w:color w:val="auto"/>
              </w:rPr>
            </w:pP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3840" w:type="dxa"/>
            <w:vAlign w:val="bottom"/>
          </w:tcPr>
          <w:p>
            <w:pPr>
              <w:spacing w:after="0"/>
              <w:rPr>
                <w:sz w:val="24"/>
                <w:szCs w:val="24"/>
                <w:color w:val="auto"/>
              </w:rPr>
            </w:pPr>
          </w:p>
        </w:tc>
      </w:tr>
      <w:tr>
        <w:trPr>
          <w:trHeight w:val="561"/>
        </w:trPr>
        <w:tc>
          <w:tcPr>
            <w:tcW w:w="3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2020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20" w:firstLine="8"/>
        <w:spacing w:after="0" w:line="263" w:lineRule="auto"/>
        <w:tabs>
          <w:tab w:leader="none" w:pos="1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August 19, 2020</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2020 of Xcel Brands, Inc. (the “Company”).</w:t>
      </w:r>
    </w:p>
    <w:p>
      <w:pPr>
        <w:spacing w:after="0" w:line="196" w:lineRule="exact"/>
        <w:rPr>
          <w:rFonts w:ascii="Arial" w:cs="Arial" w:eastAsia="Arial" w:hAnsi="Arial"/>
          <w:sz w:val="17"/>
          <w:szCs w:val="17"/>
          <w:color w:val="auto"/>
        </w:rPr>
      </w:pPr>
    </w:p>
    <w:p>
      <w:pPr>
        <w:ind w:right="200" w:firstLine="8"/>
        <w:spacing w:after="0" w:line="26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00" w:firstLine="8"/>
        <w:spacing w:after="0" w:line="263" w:lineRule="auto"/>
        <w:tabs>
          <w:tab w:leader="none" w:pos="1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80" w:type="dxa"/>
            <w:vAlign w:val="bottom"/>
          </w:tcPr>
          <w:p>
            <w:pPr>
              <w:ind w:left="20"/>
              <w:spacing w:after="0"/>
              <w:rPr>
                <w:sz w:val="20"/>
                <w:szCs w:val="20"/>
                <w:color w:val="auto"/>
              </w:rPr>
            </w:pPr>
            <w:r>
              <w:rPr>
                <w:rFonts w:ascii="Arial" w:cs="Arial" w:eastAsia="Arial" w:hAnsi="Arial"/>
                <w:sz w:val="20"/>
                <w:szCs w:val="20"/>
                <w:color w:val="auto"/>
              </w:rPr>
              <w:t>August 19, 2020</w:t>
            </w:r>
          </w:p>
        </w:tc>
        <w:tc>
          <w:tcPr>
            <w:tcW w:w="6440" w:type="dxa"/>
            <w:vAlign w:val="bottom"/>
            <w:gridSpan w:val="2"/>
          </w:tcPr>
          <w:p>
            <w:pPr>
              <w:ind w:left="2120"/>
              <w:spacing w:after="0"/>
              <w:rPr>
                <w:sz w:val="20"/>
                <w:szCs w:val="20"/>
                <w:color w:val="auto"/>
              </w:rPr>
            </w:pPr>
            <w:r>
              <w:rPr>
                <w:rFonts w:ascii="Arial" w:cs="Arial" w:eastAsia="Arial" w:hAnsi="Arial"/>
                <w:sz w:val="20"/>
                <w:szCs w:val="20"/>
                <w:color w:val="auto"/>
              </w:rPr>
              <w:t>By: /s/ James Haran</w:t>
            </w:r>
          </w:p>
        </w:tc>
      </w:tr>
      <w:tr>
        <w:trPr>
          <w:trHeight w:val="238"/>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James Haran</w:t>
            </w:r>
          </w:p>
        </w:tc>
      </w:tr>
      <w:tr>
        <w:trPr>
          <w:trHeight w:val="243"/>
        </w:trPr>
        <w:tc>
          <w:tcPr>
            <w:tcW w:w="34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20"/>
                <w:szCs w:val="20"/>
                <w:color w:val="auto"/>
              </w:rPr>
              <w:t>Title: Chief Financial Officer and Vice</w:t>
            </w:r>
          </w:p>
        </w:tc>
      </w:tr>
      <w:tr>
        <w:trPr>
          <w:trHeight w:val="250"/>
        </w:trPr>
        <w:tc>
          <w:tcPr>
            <w:tcW w:w="34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20"/>
                <w:szCs w:val="20"/>
                <w:color w:val="auto"/>
              </w:rPr>
              <w:t>President</w:t>
            </w:r>
          </w:p>
        </w:tc>
      </w:tr>
      <w:tr>
        <w:trPr>
          <w:trHeight w:val="786"/>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2020 as filed with the Securities and Exchange Commission on the date hereof (the “Report”), I, Robert W. D’Loren,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ind w:left="20"/>
              <w:spacing w:after="0"/>
              <w:rPr>
                <w:sz w:val="20"/>
                <w:szCs w:val="20"/>
                <w:color w:val="auto"/>
              </w:rPr>
            </w:pPr>
            <w:r>
              <w:rPr>
                <w:rFonts w:ascii="Arial" w:cs="Arial" w:eastAsia="Arial" w:hAnsi="Arial"/>
                <w:sz w:val="20"/>
                <w:szCs w:val="20"/>
                <w:color w:val="auto"/>
              </w:rPr>
              <w:t>August 19, 2020</w:t>
            </w:r>
          </w:p>
        </w:tc>
        <w:tc>
          <w:tcPr>
            <w:tcW w:w="6560" w:type="dxa"/>
            <w:vAlign w:val="bottom"/>
            <w:gridSpan w:val="3"/>
          </w:tcPr>
          <w:p>
            <w:pPr>
              <w:ind w:left="2000"/>
              <w:spacing w:after="0"/>
              <w:rPr>
                <w:sz w:val="20"/>
                <w:szCs w:val="20"/>
                <w:color w:val="auto"/>
              </w:rPr>
            </w:pPr>
            <w:r>
              <w:rPr>
                <w:rFonts w:ascii="Arial" w:cs="Arial" w:eastAsia="Arial" w:hAnsi="Arial"/>
                <w:sz w:val="20"/>
                <w:szCs w:val="20"/>
                <w:color w:val="auto"/>
              </w:rPr>
              <w:t>By:   /s/ Robert W. D’Loren</w:t>
            </w:r>
          </w:p>
        </w:tc>
      </w:tr>
      <w:tr>
        <w:trPr>
          <w:trHeight w:val="240"/>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Robert W. D’Loren</w:t>
            </w:r>
          </w:p>
        </w:tc>
        <w:tc>
          <w:tcPr>
            <w:tcW w:w="220" w:type="dxa"/>
            <w:vAlign w:val="bottom"/>
          </w:tcPr>
          <w:p>
            <w:pPr>
              <w:spacing w:after="0"/>
              <w:rPr>
                <w:sz w:val="20"/>
                <w:szCs w:val="20"/>
                <w:color w:val="auto"/>
              </w:rPr>
            </w:pPr>
          </w:p>
        </w:tc>
      </w:tr>
      <w:tr>
        <w:trPr>
          <w:trHeight w:val="250"/>
        </w:trPr>
        <w:tc>
          <w:tcPr>
            <w:tcW w:w="33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060" w:type="dxa"/>
            <w:vAlign w:val="bottom"/>
            <w:gridSpan w:val="2"/>
          </w:tcPr>
          <w:p>
            <w:pPr>
              <w:ind w:left="20"/>
              <w:spacing w:after="0"/>
              <w:rPr>
                <w:sz w:val="20"/>
                <w:szCs w:val="20"/>
                <w:color w:val="auto"/>
              </w:rPr>
            </w:pPr>
            <w:r>
              <w:rPr>
                <w:rFonts w:ascii="Arial" w:cs="Arial" w:eastAsia="Arial" w:hAnsi="Arial"/>
                <w:sz w:val="20"/>
                <w:szCs w:val="20"/>
                <w:color w:val="auto"/>
              </w:rPr>
              <w:t>Title: Chairman and Chief Executive Officer</w:t>
            </w:r>
          </w:p>
        </w:tc>
      </w:tr>
      <w:tr>
        <w:trPr>
          <w:trHeight w:val="786"/>
        </w:trPr>
        <w:tc>
          <w:tcPr>
            <w:tcW w:w="3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June 30, 2020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ind w:left="20"/>
              <w:spacing w:after="0"/>
              <w:rPr>
                <w:sz w:val="20"/>
                <w:szCs w:val="20"/>
                <w:color w:val="auto"/>
              </w:rPr>
            </w:pPr>
            <w:r>
              <w:rPr>
                <w:rFonts w:ascii="Arial" w:cs="Arial" w:eastAsia="Arial" w:hAnsi="Arial"/>
                <w:sz w:val="20"/>
                <w:szCs w:val="20"/>
                <w:color w:val="auto"/>
              </w:rPr>
              <w:t>August 19, 2020</w:t>
            </w:r>
          </w:p>
        </w:tc>
        <w:tc>
          <w:tcPr>
            <w:tcW w:w="7480" w:type="dxa"/>
            <w:vAlign w:val="bottom"/>
            <w:gridSpan w:val="3"/>
          </w:tcPr>
          <w:p>
            <w:pPr>
              <w:ind w:left="1100"/>
              <w:spacing w:after="0"/>
              <w:rPr>
                <w:sz w:val="20"/>
                <w:szCs w:val="20"/>
                <w:color w:val="auto"/>
              </w:rPr>
            </w:pPr>
            <w:r>
              <w:rPr>
                <w:rFonts w:ascii="Arial" w:cs="Arial" w:eastAsia="Arial" w:hAnsi="Arial"/>
                <w:sz w:val="20"/>
                <w:szCs w:val="20"/>
                <w:color w:val="auto"/>
              </w:rPr>
              <w:t>By:  /s/ James Haran</w:t>
            </w:r>
          </w:p>
        </w:tc>
      </w:tr>
      <w:tr>
        <w:trPr>
          <w:trHeight w:val="240"/>
        </w:trPr>
        <w:tc>
          <w:tcPr>
            <w:tcW w:w="2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James Haran</w:t>
            </w:r>
          </w:p>
        </w:tc>
        <w:tc>
          <w:tcPr>
            <w:tcW w:w="1900" w:type="dxa"/>
            <w:vAlign w:val="bottom"/>
          </w:tcPr>
          <w:p>
            <w:pPr>
              <w:spacing w:after="0"/>
              <w:rPr>
                <w:sz w:val="20"/>
                <w:szCs w:val="20"/>
                <w:color w:val="auto"/>
              </w:rPr>
            </w:pPr>
          </w:p>
        </w:tc>
      </w:tr>
      <w:tr>
        <w:trPr>
          <w:trHeight w:val="250"/>
        </w:trPr>
        <w:tc>
          <w:tcPr>
            <w:tcW w:w="2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960" w:type="dxa"/>
            <w:vAlign w:val="bottom"/>
            <w:gridSpan w:val="2"/>
          </w:tcPr>
          <w:p>
            <w:pPr>
              <w:ind w:left="20"/>
              <w:spacing w:after="0"/>
              <w:rPr>
                <w:sz w:val="20"/>
                <w:szCs w:val="20"/>
                <w:color w:val="auto"/>
              </w:rPr>
            </w:pPr>
            <w:r>
              <w:rPr>
                <w:rFonts w:ascii="Arial" w:cs="Arial" w:eastAsia="Arial" w:hAnsi="Arial"/>
                <w:sz w:val="20"/>
                <w:szCs w:val="20"/>
                <w:color w:val="auto"/>
              </w:rPr>
              <w:t>Title: Chief Financial Officer and Vice President</w:t>
            </w:r>
          </w:p>
        </w:tc>
      </w:tr>
      <w:tr>
        <w:trPr>
          <w:trHeight w:val="786"/>
        </w:trPr>
        <w:tc>
          <w:tcPr>
            <w:tcW w:w="2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3"/>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2"/>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upperLetter"/>
      <w:start w:val="68"/>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2020-08-19T15:25:53Z</dcterms:created>
  <dcterms:modified xsi:type="dcterms:W3CDTF">2020-08-19T15:25:53Z</dcterms:modified>
</cp:coreProperties>
</file>