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89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Weinswig Deborah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XCel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XCEL BRANDS,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 SEVENTH AVENUE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-2015490</wp:posOffset>
            </wp:positionV>
            <wp:extent cx="29210" cy="2020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pursuant to a restricted stock agreement, which vests as to 50% of the shares on each of April 1, 2027 and April 1, 2028, provided that the reporting person may extend the vesting date as to all or a portion of the shares, one or more times, in six month increments, at her sole discretion.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to 50% of the shares on each of April 1, 2027 and April 1, 2028.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Deborah Weinswig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04/22/2026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6888" TargetMode="External"/><Relationship Id="rId14" Type="http://schemas.openxmlformats.org/officeDocument/2006/relationships/hyperlink" Target="http://www.sec.gov/cgi-bin/browse-edgar?action=getcompany&amp;CIK=0001083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2026-04-22T18:20:14Z</dcterms:created>
  <dcterms:modified xsi:type="dcterms:W3CDTF">2026-04-22T18:20:14Z</dcterms:modified>
</cp:coreProperties>
</file>