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4640" w:right="2140" w:hanging="2283"/>
        <w:spacing w:after="0" w:line="286" w:lineRule="auto"/>
        <w:tabs>
          <w:tab w:leader="none" w:pos="27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UNDER SECTION 13 OR 15 (D) OF THE SECURITIES EXCHANGE ACT OF 1934</w:t>
      </w:r>
    </w:p>
    <w:p>
      <w:pPr>
        <w:spacing w:after="0" w:line="15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2014</w:t>
      </w:r>
    </w:p>
    <w:p>
      <w:pPr>
        <w:spacing w:after="0" w:line="22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COMMISSION FILE NUMBER: 0-31553</w:t>
      </w:r>
    </w:p>
    <w:p>
      <w:pPr>
        <w:spacing w:after="0" w:line="22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XCEL BRANDS, INC.</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240" w:top="468" w:right="439" w:bottom="1440" w:gutter="0" w:footer="0" w:header="0"/>
        </w:sectPr>
      </w:pPr>
    </w:p>
    <w:p>
      <w:pPr>
        <w:spacing w:after="0" w:line="207"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76-0307819</w:t>
      </w:r>
    </w:p>
    <w:p>
      <w:pPr>
        <w:spacing w:after="0" w:line="27"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16" w:lineRule="exact"/>
        <w:rPr>
          <w:sz w:val="24"/>
          <w:szCs w:val="24"/>
          <w:color w:val="auto"/>
        </w:rPr>
      </w:pPr>
    </w:p>
    <w:p>
      <w:pPr>
        <w:sectPr>
          <w:pgSz w:w="11900" w:h="16838" w:orient="portrait"/>
          <w:cols w:equalWidth="0" w:num="2">
            <w:col w:w="6600" w:space="720"/>
            <w:col w:w="3900"/>
          </w:cols>
          <w:pgMar w:left="240" w:top="468" w:right="439" w:bottom="1440" w:gutter="0" w:footer="0" w:header="0"/>
          <w:type w:val="continuous"/>
        </w:sectPr>
      </w:pPr>
    </w:p>
    <w:p>
      <w:pPr>
        <w:spacing w:after="0" w:line="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475 Tenth Ave, 4th Floor</w:t>
      </w:r>
    </w:p>
    <w:p>
      <w:pPr>
        <w:spacing w:after="0" w:line="2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u w:val="single" w:color="auto"/>
          <w:color w:val="auto"/>
        </w:rPr>
        <w:t>New York, NY 10018</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(347)-727-2474</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(Issuer's Telephone Number, Including Area Code)</w:t>
      </w:r>
    </w:p>
    <w:p>
      <w:pPr>
        <w:spacing w:after="0" w:line="20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Check whether the issuer (1) filed all reports required to be filed by Section 13 or 15 (d) of the Exchange Act during the past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ind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 reporting company.</w:t>
      </w:r>
    </w:p>
    <w:p>
      <w:pPr>
        <w:sectPr>
          <w:pgSz w:w="11900" w:h="16838" w:orient="portrait"/>
          <w:cols w:equalWidth="0" w:num="1">
            <w:col w:w="11220"/>
          </w:cols>
          <w:pgMar w:left="240" w:top="468" w:right="439" w:bottom="1440" w:gutter="0" w:footer="0" w:header="0"/>
          <w:type w:val="continuous"/>
        </w:sect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1620" w:space="100"/>
            <w:col w:w="3280" w:space="720"/>
            <w:col w:w="1200" w:space="100"/>
            <w:col w:w="4200"/>
          </w:cols>
          <w:pgMar w:left="240" w:top="468" w:right="4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1580" w:space="80"/>
            <w:col w:w="3340" w:space="720"/>
            <w:col w:w="1840" w:space="120"/>
            <w:col w:w="3540"/>
          </w:cols>
          <w:pgMar w:left="240" w:top="468" w:right="439" w:bottom="1440" w:gutter="0" w:footer="0" w:header="0"/>
          <w:type w:val="continuous"/>
        </w:sectPr>
      </w:pPr>
    </w:p>
    <w:p>
      <w:pPr>
        <w:spacing w:after="0" w:line="207" w:lineRule="exact"/>
        <w:tabs>
          <w:tab w:leader="none" w:pos="8980" w:val="left"/>
        </w:tabs>
        <w:rPr>
          <w:sz w:val="20"/>
          <w:szCs w:val="20"/>
          <w:color w:val="auto"/>
        </w:rPr>
      </w:pPr>
      <w:r>
        <w:rPr>
          <w:rFonts w:ascii="Times New Roman" w:cs="Times New Roman" w:eastAsia="Times New Roman" w:hAnsi="Times New Roman"/>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8, 2014 12,025,704 shares of common stock, $.001 par value per share, of the issuer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468"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0" w:type="dxa"/>
            <w:vAlign w:val="bottom"/>
            <w:gridSpan w:val="7"/>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9"/>
              </w:rPr>
              <w:t>XCEL BRANDS, INC.</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Times New Roman" w:cs="Times New Roman" w:eastAsia="Times New Roman" w:hAnsi="Times New Roman"/>
                <w:sz w:val="18"/>
                <w:szCs w:val="18"/>
                <w:color w:val="auto"/>
                <w:w w:val="99"/>
              </w:rPr>
              <w:t>INDEX</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97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17"/>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 Condensed Consolidated Balance Sheets</w:t>
              </w:r>
            </w:hyperlink>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17"/>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Condensed Consolidated Statements of Operations</w:t>
              </w:r>
            </w:hyperlink>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17"/>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 of Stockholders’ Equity</w:t>
              </w:r>
            </w:hyperlink>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17"/>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Condensed Consolidated Statements of Cash Flows</w:t>
              </w:r>
            </w:hyperlink>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17"/>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Unaudited Condensed Consolidated Financial Statements</w:t>
              </w:r>
            </w:hyperlink>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Controls and Procedures</w:t>
              </w:r>
            </w:hyperlink>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970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OTHER INFORMATION</w:t>
              </w:r>
            </w:hyperlink>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Legal Proceedings</w:t>
              </w:r>
            </w:hyperlink>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Risk Factors</w:t>
              </w:r>
            </w:hyperlink>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Unregistered sales of equity securities and use of proceeds</w:t>
              </w:r>
            </w:hyperlink>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Defaults upon senior securities</w:t>
              </w:r>
            </w:hyperlink>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Mine Safety Disclosures</w:t>
              </w:r>
            </w:hyperlink>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70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Other information</w:t>
              </w:r>
            </w:hyperlink>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0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Exhibits</w:t>
              </w:r>
            </w:hyperlink>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Signatures</w:t>
              </w:r>
            </w:hyperlink>
          </w:p>
        </w:tc>
        <w:tc>
          <w:tcPr>
            <w:tcW w:w="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66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32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June 30, 2014</w:t>
            </w:r>
          </w:p>
        </w:tc>
        <w:tc>
          <w:tcPr>
            <w:tcW w:w="17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20" w:type="dxa"/>
            <w:vAlign w:val="bottom"/>
            <w:tcBorders>
              <w:top w:val="single" w:sz="8" w:color="CCEEFF"/>
            </w:tcBorders>
            <w:gridSpan w:val="3"/>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ind w:right="110"/>
              <w:spacing w:after="0" w:line="170" w:lineRule="exact"/>
              <w:rPr>
                <w:sz w:val="20"/>
                <w:szCs w:val="20"/>
                <w:color w:val="auto"/>
              </w:rPr>
            </w:pPr>
            <w:r>
              <w:rPr>
                <w:rFonts w:ascii="Times New Roman" w:cs="Times New Roman" w:eastAsia="Times New Roman" w:hAnsi="Times New Roman"/>
                <w:sz w:val="18"/>
                <w:szCs w:val="18"/>
                <w:b w:val="1"/>
                <w:bCs w:val="1"/>
                <w:color w:val="auto"/>
              </w:rPr>
              <w:t>(See Note 1)</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5,107,000</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4,769,000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520,000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Leasehold improvements, furniture and equipment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2,370,000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987,000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Trademarks and other intangibles, net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69,826,000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45,308,000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12,371,000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finance costs, net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305,000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other assets</w:t>
            </w:r>
          </w:p>
        </w:tc>
        <w:tc>
          <w:tcPr>
            <w:tcW w:w="2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82,906,000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95,125,000</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70,924,000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2,245,000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919,000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2,361,000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1,875,000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7,400,000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39,120,000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8,105,000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52,000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47,277,000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54,677,000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35,547,000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31" w:lineRule="exact"/>
        <w:rPr>
          <w:sz w:val="20"/>
          <w:szCs w:val="20"/>
          <w:color w:val="auto"/>
        </w:rPr>
      </w:pPr>
    </w:p>
    <w:p>
      <w:pPr>
        <w:ind w:left="140" w:right="880"/>
        <w:spacing w:after="0" w:line="250" w:lineRule="auto"/>
        <w:rPr>
          <w:sz w:val="20"/>
          <w:szCs w:val="20"/>
          <w:color w:val="auto"/>
        </w:rPr>
      </w:pPr>
      <w:r>
        <w:rPr>
          <w:rFonts w:ascii="Times New Roman" w:cs="Times New Roman" w:eastAsia="Times New Roman" w:hAnsi="Times New Roman"/>
          <w:sz w:val="18"/>
          <w:szCs w:val="18"/>
          <w:color w:val="auto"/>
        </w:rPr>
        <w:t>Preferred stock, $.001 par value, 1,000,000 shares authorized, none issued and outstanding Common stock, $.001 par value, 25,000,000 shares authorized, 12,000,704 and 10,005,509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issued and outstanding at June 30, 2014 and December 31, 2013, respectively</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both"/>
        <w:ind w:left="1180"/>
        <w:spacing w:after="0"/>
        <w:tabs>
          <w:tab w:leader="none" w:pos="2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40"/>
        <w:spacing w:after="0"/>
        <w:tabs>
          <w:tab w:leader="none" w:pos="2500" w:val="left"/>
        </w:tabs>
        <w:rPr>
          <w:sz w:val="20"/>
          <w:szCs w:val="20"/>
          <w:color w:val="auto"/>
        </w:rPr>
      </w:pPr>
      <w:r>
        <w:rPr>
          <w:rFonts w:ascii="Times New Roman" w:cs="Times New Roman" w:eastAsia="Times New Roman" w:hAnsi="Times New Roman"/>
          <w:sz w:val="18"/>
          <w:szCs w:val="18"/>
          <w:color w:val="auto"/>
        </w:rPr>
        <w:t>12,000</w:t>
      </w:r>
      <w:r>
        <w:rPr>
          <w:sz w:val="20"/>
          <w:szCs w:val="20"/>
          <w:color w:val="auto"/>
        </w:rPr>
        <w:tab/>
      </w:r>
      <w:r>
        <w:rPr>
          <w:rFonts w:ascii="Times New Roman" w:cs="Times New Roman" w:eastAsia="Times New Roman" w:hAnsi="Times New Roman"/>
          <w:sz w:val="18"/>
          <w:szCs w:val="18"/>
          <w:color w:val="auto"/>
        </w:rPr>
        <w:t>10,000</w:t>
      </w:r>
    </w:p>
    <w:p>
      <w:pPr>
        <w:spacing w:after="0" w:line="27" w:lineRule="exact"/>
        <w:rPr>
          <w:sz w:val="20"/>
          <w:szCs w:val="20"/>
          <w:color w:val="auto"/>
        </w:rPr>
      </w:pPr>
    </w:p>
    <w:p>
      <w:pPr>
        <w:jc w:val="both"/>
        <w:ind w:left="440"/>
        <w:spacing w:after="0"/>
        <w:tabs>
          <w:tab w:leader="none" w:pos="2180" w:val="left"/>
        </w:tabs>
        <w:rPr>
          <w:sz w:val="20"/>
          <w:szCs w:val="20"/>
          <w:color w:val="auto"/>
        </w:rPr>
      </w:pPr>
      <w:r>
        <w:rPr>
          <w:rFonts w:ascii="Times New Roman" w:cs="Times New Roman" w:eastAsia="Times New Roman" w:hAnsi="Times New Roman"/>
          <w:sz w:val="18"/>
          <w:szCs w:val="18"/>
          <w:color w:val="auto"/>
        </w:rPr>
        <w:t>36,458,000</w:t>
      </w:r>
      <w:r>
        <w:rPr>
          <w:sz w:val="20"/>
          <w:szCs w:val="20"/>
          <w:color w:val="auto"/>
        </w:rPr>
        <w:tab/>
      </w:r>
      <w:r>
        <w:rPr>
          <w:rFonts w:ascii="Times New Roman" w:cs="Times New Roman" w:eastAsia="Times New Roman" w:hAnsi="Times New Roman"/>
          <w:sz w:val="18"/>
          <w:szCs w:val="18"/>
          <w:color w:val="auto"/>
        </w:rPr>
        <w:t>30,843,000</w:t>
      </w:r>
    </w:p>
    <w:p>
      <w:pPr>
        <w:spacing w:after="0" w:line="9" w:lineRule="exact"/>
        <w:rPr>
          <w:sz w:val="20"/>
          <w:szCs w:val="20"/>
          <w:color w:val="auto"/>
        </w:rPr>
      </w:pPr>
    </w:p>
    <w:p>
      <w:pPr>
        <w:jc w:val="both"/>
        <w:ind w:left="520"/>
        <w:spacing w:after="0"/>
        <w:tabs>
          <w:tab w:leader="none" w:pos="2280" w:val="left"/>
        </w:tabs>
        <w:rPr>
          <w:sz w:val="20"/>
          <w:szCs w:val="20"/>
          <w:color w:val="auto"/>
        </w:rPr>
      </w:pPr>
      <w:r>
        <w:rPr>
          <w:rFonts w:ascii="Times New Roman" w:cs="Times New Roman" w:eastAsia="Times New Roman" w:hAnsi="Times New Roman"/>
          <w:sz w:val="18"/>
          <w:szCs w:val="18"/>
          <w:color w:val="auto"/>
        </w:rPr>
        <w:t>3,978,000</w:t>
      </w:r>
      <w:r>
        <w:rPr>
          <w:sz w:val="20"/>
          <w:szCs w:val="20"/>
          <w:color w:val="auto"/>
        </w:rPr>
        <w:tab/>
      </w:r>
      <w:r>
        <w:rPr>
          <w:rFonts w:ascii="Times New Roman" w:cs="Times New Roman" w:eastAsia="Times New Roman" w:hAnsi="Times New Roman"/>
          <w:sz w:val="18"/>
          <w:szCs w:val="18"/>
          <w:color w:val="auto"/>
        </w:rPr>
        <w:t>4,524,000</w:t>
      </w:r>
    </w:p>
    <w:p>
      <w:pPr>
        <w:spacing w:after="0" w:line="23" w:lineRule="exact"/>
        <w:rPr>
          <w:sz w:val="20"/>
          <w:szCs w:val="20"/>
          <w:color w:val="auto"/>
        </w:rPr>
      </w:pPr>
    </w:p>
    <w:p>
      <w:pPr>
        <w:jc w:val="both"/>
        <w:ind w:left="440"/>
        <w:spacing w:after="0"/>
        <w:tabs>
          <w:tab w:leader="none" w:pos="2180" w:val="left"/>
        </w:tabs>
        <w:rPr>
          <w:sz w:val="20"/>
          <w:szCs w:val="20"/>
          <w:color w:val="auto"/>
        </w:rPr>
      </w:pPr>
      <w:r>
        <w:rPr>
          <w:rFonts w:ascii="Times New Roman" w:cs="Times New Roman" w:eastAsia="Times New Roman" w:hAnsi="Times New Roman"/>
          <w:sz w:val="18"/>
          <w:szCs w:val="18"/>
          <w:color w:val="auto"/>
        </w:rPr>
        <w:t>40,448,000</w:t>
      </w:r>
      <w:r>
        <w:rPr>
          <w:sz w:val="20"/>
          <w:szCs w:val="20"/>
          <w:color w:val="auto"/>
        </w:rPr>
        <w:tab/>
      </w:r>
      <w:r>
        <w:rPr>
          <w:rFonts w:ascii="Times New Roman" w:cs="Times New Roman" w:eastAsia="Times New Roman" w:hAnsi="Times New Roman"/>
          <w:sz w:val="18"/>
          <w:szCs w:val="18"/>
          <w:color w:val="auto"/>
        </w:rPr>
        <w:t>35,377,000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912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41" w:lineRule="exact"/>
        <w:rPr>
          <w:sz w:val="20"/>
          <w:szCs w:val="20"/>
          <w:color w:val="auto"/>
        </w:rPr>
      </w:pPr>
    </w:p>
    <w:p>
      <w:pPr>
        <w:spacing w:after="0"/>
        <w:tabs>
          <w:tab w:leader="none" w:pos="420" w:val="left"/>
          <w:tab w:leader="none" w:pos="1540" w:val="left"/>
          <w:tab w:leader="none" w:pos="2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95,125,000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70,924,000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912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80" w:space="720"/>
            <w:col w:w="3120"/>
          </w:cols>
          <w:pgMar w:left="240" w:top="873" w:right="239" w:bottom="1440" w:gutter="0" w:footer="0" w:header="0"/>
          <w:type w:val="continuous"/>
        </w:sectPr>
      </w:pP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Unaudited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120" w:type="dxa"/>
            <w:vAlign w:val="bottom"/>
          </w:tcPr>
          <w:p>
            <w:pPr>
              <w:spacing w:after="0"/>
              <w:rPr>
                <w:sz w:val="19"/>
                <w:szCs w:val="19"/>
                <w:color w:val="auto"/>
              </w:rPr>
            </w:pPr>
          </w:p>
        </w:tc>
        <w:tc>
          <w:tcPr>
            <w:tcW w:w="292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licensing revenue</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5,626,000</w:t>
            </w:r>
          </w:p>
        </w:tc>
        <w:tc>
          <w:tcPr>
            <w:tcW w:w="34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2,885,000</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8,729,000</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Design and service fee revenue</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438,000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875,000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retail sales</w:t>
            </w:r>
          </w:p>
        </w:tc>
        <w:tc>
          <w:tcPr>
            <w:tcW w:w="28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120,000</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6,184,000</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79,000</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6,105,000</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Salaries, benefits and employment taxes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1,502,000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4,722,000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design and marketing costs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181,000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2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856,000</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1,599,000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2,292,000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3,387,000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256,000</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491,000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5,733,000</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reduction of contingent obligation</w:t>
            </w:r>
          </w:p>
        </w:tc>
        <w:tc>
          <w:tcPr>
            <w:tcW w:w="2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(600,000)</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340" w:type="dxa"/>
            <w:vAlign w:val="bottom"/>
            <w:tcBorders>
              <w:top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972,000</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(1,463,000)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(924,000)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 term debt</w:t>
            </w:r>
          </w:p>
        </w:tc>
        <w:tc>
          <w:tcPr>
            <w:tcW w:w="2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226,000</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interest and finance charges</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183,000</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interest and finance expense</w:t>
            </w: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409,000</w:t>
            </w:r>
          </w:p>
        </w:tc>
        <w:tc>
          <w:tcPr>
            <w:tcW w:w="3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563,000</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(1,983,000)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(964,000)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(1,962,000)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8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154,000</w:t>
            </w: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(787,000)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(779,000)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409,000</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(1,196,000)</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(546,000)</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(1,183,000)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3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11,713,813</w:t>
            </w: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9,138,085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11,274,503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8,243,999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12,710,184</w:t>
            </w:r>
          </w:p>
        </w:tc>
        <w:tc>
          <w:tcPr>
            <w:tcW w:w="34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9,138,085</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11,274,503</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8,243,999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Stockholders’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24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9"/>
                <w:szCs w:val="19"/>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Paid - in</w:t>
            </w:r>
          </w:p>
        </w:tc>
        <w:tc>
          <w:tcPr>
            <w:tcW w:w="18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2014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10,005,509</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30,843,000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4,524,000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to employees and directors in</w:t>
            </w: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 restricted stock grants, net of</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1,428,850</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acquisition</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571,429</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2,285,000</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Compensation expense in connection with</w:t>
            </w: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warrant and restricted stock</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3,387,000</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repurchased on vesting of restricted</w:t>
            </w: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(15,750)</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(63,000)</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on exercise of stock options</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10,666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873" w:right="239" w:bottom="1440" w:gutter="0" w:footer="0" w:header="0"/>
        </w:sectPr>
      </w:pPr>
    </w:p>
    <w:p>
      <w:pPr>
        <w:spacing w:after="0" w:line="282" w:lineRule="auto"/>
        <w:rPr>
          <w:sz w:val="20"/>
          <w:szCs w:val="20"/>
          <w:color w:val="auto"/>
        </w:rPr>
      </w:pPr>
      <w:r>
        <w:rPr>
          <w:rFonts w:ascii="Times New Roman" w:cs="Times New Roman" w:eastAsia="Times New Roman" w:hAnsi="Times New Roman"/>
          <w:sz w:val="18"/>
          <w:szCs w:val="18"/>
          <w:color w:val="auto"/>
        </w:rPr>
        <w:t>Net loss for the six months ended June 30, 2014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June 30, 2014</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520" w:type="dxa"/>
        <w:tblCellMar>
          <w:top w:w="0" w:type="dxa"/>
          <w:left w:w="0" w:type="dxa"/>
          <w:bottom w:w="0" w:type="dxa"/>
          <w:right w:w="0" w:type="dxa"/>
        </w:tblCellMar>
      </w:tblPr>
      <w:tr>
        <w:trPr>
          <w:trHeight w:val="248"/>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(546,000)</w:t>
            </w:r>
          </w:p>
        </w:tc>
        <w:tc>
          <w:tcPr>
            <w:tcW w:w="2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(546,000)</w:t>
            </w:r>
          </w:p>
        </w:tc>
      </w:tr>
      <w:tr>
        <w:trPr>
          <w:trHeight w:val="20"/>
        </w:trPr>
        <w:tc>
          <w:tcPr>
            <w:tcW w:w="1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12,000,704</w:t>
            </w:r>
          </w:p>
        </w:tc>
        <w:tc>
          <w:tcPr>
            <w:tcW w:w="34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36,458,000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3,978,000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40,448,000</w:t>
            </w:r>
          </w:p>
        </w:tc>
        <w:tc>
          <w:tcPr>
            <w:tcW w:w="60" w:type="dxa"/>
            <w:vAlign w:val="bottom"/>
          </w:tcPr>
          <w:p>
            <w:pPr>
              <w:spacing w:after="0"/>
              <w:rPr>
                <w:sz w:val="24"/>
                <w:szCs w:val="24"/>
                <w:color w:val="auto"/>
              </w:rPr>
            </w:pP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-608330</wp:posOffset>
            </wp:positionV>
            <wp:extent cx="7246620"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-179705</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ectPr>
          <w:pgSz w:w="11900" w:h="16838" w:orient="portrait"/>
          <w:cols w:equalWidth="0" w:num="2">
            <w:col w:w="3060" w:space="80"/>
            <w:col w:w="8280"/>
          </w:cols>
          <w:pgMar w:left="240" w:top="873"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For the Six Months Ended 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(546,000)</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deferred finance 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seller notes discount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senior note discount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(812,000)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reduction of contingent obligations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(1,228,000)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consideration for the acquisition of the Ripka Brand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(12,363,000)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Increase in long-term security deposit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(12,811,000</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(223,000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financing activities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term debt related to the Ripka Brand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on exercise of stock options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repurchased on vesting of restricted 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contingent obligation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deferred finance 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expenses related to issuance of Common Stock</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lease obligation</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8,389,000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(2,354,000)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3,929,000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5,107,000</w:t>
            </w:r>
          </w:p>
        </w:tc>
        <w:tc>
          <w:tcPr>
            <w:tcW w:w="200" w:type="dxa"/>
            <w:vAlign w:val="bottom"/>
          </w:tcPr>
          <w:p>
            <w:pPr>
              <w:spacing w:after="0"/>
              <w:rPr>
                <w:sz w:val="24"/>
                <w:szCs w:val="24"/>
                <w:color w:val="auto"/>
              </w:rPr>
            </w:pP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8,319,000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Notes payable as partial consideration in the acquisition of the Ripka Brand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of debt discount - see Note 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4,165,000</w:t>
            </w:r>
          </w:p>
        </w:tc>
        <w:tc>
          <w:tcPr>
            <w:tcW w:w="2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Issuance of Common Stock in connection with the acquisition of the Ripka Brand</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2,286,000</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20" w:type="dxa"/>
            <w:vAlign w:val="bottom"/>
            <w:tcBorders>
              <w:bottom w:val="single" w:sz="8" w:color="CCEEFF"/>
            </w:tcBorders>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Contingent obligations relating to the acquisition of the Ripka Brand</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3,786,000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58,000</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20" w:type="dxa"/>
            <w:vAlign w:val="bottom"/>
            <w:tcBorders>
              <w:top w:val="single" w:sz="8" w:color="CCEEFF"/>
              <w:bottom w:val="single" w:sz="8" w:color="CCEEFF"/>
            </w:tcBorders>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auto"/>
              </w:rPr>
              <w:t>Cash paid during the period for interest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343,000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562,000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076"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1160" w:hanging="1030"/>
        <w:spacing w:after="0"/>
        <w:tabs>
          <w:tab w:leader="none" w:pos="11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for interim financial information and with the instructions to Form 10-Q and Article 10-01 of Regulation S-X. Accordingly, they do not include all the information and footnotes required by generally accepted accounting principles for complete financial statements. In the opinion of management of Xcel Brands, Inc., (“Xcel”, the "Company", “we”, “us”, or “our”), all adjustments (consisting primarily of normal recurring accruals) considered necessary for a fair presentation have been included. The Condensed Consolidated Balance Sheet as of December 31, 2013 has been derived from audited consolidated financial statements. Operating results for the three months (the “Current Quarter”) and six months (the “Current Six Months”) ended June 30, 2014 are not necessarily indicative of the results that may be expected for a full fiscal year.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engages in the design, licensing, marketing and retail sales of consumer brands, including the Isaac Mizrahi Brand and certain rights of the Liz Claiborne New York Brand (“LCNY”) and the Judith Ripka Brand (the “Ripka Brand”), which we acquired on April 3, 2014. The Company operates in two segments – (1) Design and Licensing and (2) our Retail Business.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Design and Licensing business operates in a “working capital light” business model, wherein we license our brands to third parties, provide certain design services, and generate royalty and design and service fee revenues through licensing and other agreements with wholesale manufacturers, sourcing and design companies, and retailers. This includes licensing our own brands for promotion and distribution through an Omnichannel retail sales strategy including distribution through Direct-Response Television (i.e. QVC, Inc. (“QVC”) and The Shopping Channel), the internet, and traditional bricks-and-mortar retail channels. The Isaac Mizrahi Brand and LCNY brand are licensed through our wholly-owned subsidiary IM Brands, LLC (“IM Brands”) (the “Isaac Mizrahi Business”) and the Ripka Brand is licensed through our wholly-owned subsidiary, JR Licensing, LLC (“JR Licensing”).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Retail Business operates through its wholly-owned subsidiary, IMNY Retail Management, LLC (“Retail Management”), and was launched in June 2013 opening the Company’s first retail store located in Southampton, New York (the “Southampton Store”). The Company opened its second retail store, an outlet store, located near Atlanta, GA (the “Georgia Store”), on March 2, 2014. Also, Retail Management launched its e-commerce platform in May 2014.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refer to the consolidated financial statements and footnotes thereto included in the Company’s Annual Report on Form 10-K for the year ended December 31, 2013.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the prior period condensed consolidated financial statements to conform to the current period presentation.</w:t>
      </w:r>
    </w:p>
    <w:p>
      <w:pPr>
        <w:spacing w:after="0" w:line="221" w:lineRule="exact"/>
        <w:rPr>
          <w:sz w:val="20"/>
          <w:szCs w:val="20"/>
          <w:color w:val="auto"/>
        </w:rPr>
      </w:pPr>
    </w:p>
    <w:p>
      <w:pPr>
        <w:ind w:left="1160" w:hanging="1030"/>
        <w:spacing w:after="0"/>
        <w:tabs>
          <w:tab w:leader="none" w:pos="11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No. 2014-09, “Revenue from Contracts with Customers” (ASU 201-09). ASU 201-09 provides guidance for revenue recognition and affects any entity that either enters into contracts with customers to transfer goods or services or enters into contracts for the transfer of nonfinancial assets and supersedes the revenue recognition requirements in Topic 605, “Revenue Recognition,” and most industry-specific guidance. The core principle of ASU 2014-09 is the recognition of revenue when a company transfers promised goods or services to customers in an amount that reflects the consideration to which the company expects to be entitled in exchange for those goods or services. ASU 2014-09 defines a five-step process to achieve this core principle and, in doing so, companies will need to use more judgment and make more estimates than under the current guidance. These may include identifying performance obligations in the contract, estimating the amount of variable consideration to include in the transaction price and allocating the transaction price to each separate performance obligation. ASU 2014-09 is effective for fiscal years beginning after December 15, 2016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Early adoption is not permitted. The Company is currently evaluating the method and impact the adoption of ASU 2014-09 will have on the Company’s condensed consolidated financial statements and disclosures.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2014, the FASB issued ASU No. 2014-12, “Compensation - Stock Compensation” (Topic 718): Accounting for Share-Based Payments When the Terms of an Award Provide That a Performance Target Could be Achieved after the Requisite Service Period (“ASU 2014-12”). ASU 2014-12 affects entities that grant their employees share-based payments in which terms of the award provide that a performance target that affects vesting could be achieved after the requisite service period. The amendments in ASU 2014-12 require that a performance target that affects vesting and that could be achieved after the requisite service period be treated as a performance condition. ASU 2014-12 is effective for fiscal years beginning after December 15, 2015. Early adoption is permitted. The Company is currently evaluating the method and impact the adoption of ASU 2014-12 will have on the Company’s condensed consolidated financial statements and disclosures.</w:t>
      </w:r>
    </w:p>
    <w:p>
      <w:pPr>
        <w:spacing w:after="0" w:line="185" w:lineRule="exact"/>
        <w:rPr>
          <w:sz w:val="20"/>
          <w:szCs w:val="20"/>
          <w:color w:val="auto"/>
        </w:rPr>
      </w:pPr>
    </w:p>
    <w:p>
      <w:pPr>
        <w:ind w:left="1160" w:hanging="1030"/>
        <w:spacing w:after="0"/>
        <w:tabs>
          <w:tab w:leader="none" w:pos="11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the Judith Ripka Trademarks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3, 2014, JR Licensing entered into an asset purchase agreement dated April 1, 2014 (the “Purchase Agreement”) with Judith Ripka Berk (“Ms. Ripka”), an individual, and certain companies owned by Ms. Ripka including Judith Ripka Creations (collectively “Ripka”), pursuant to which JR Licensing purchased from Ripka, the Ripka Brand, including the Judith Ripka and Judith Ripka Sterling trademarks and other intellectual property rights. On April 3, 2014, the closing date of the acquisition, the Company paid Ripka $12.0 million in cash, $6.0 million through the issuance of interest free notes payable (the “JR Seller Notes”) (see Note 6) and the issuance of 571,429 shares of the Company’s stock. The Company is also obligated to pay to Ripka $1.0 million and $1.2 million in cash or shares of the Company’s Common Stock on October 1, 2014 and April 1, 2015, respectively. In addition, the Company agreed to pay Ripka additional contingent consideration of up to $5 million in aggregate, payable in cash or shares of the Company’s Common Stock (see Note 6).</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Concurrent with the acquisition of the Ripka Brand, the Company entered into (i) a license agreement with QVC that provides for a royalty to be paid to the Company by QVC based on net sales of products under the Ripka Brand (the “QVC Ripka Agreement”), and (ii) a license with an affiliate of Ripka that will design, source, market, and promote products under the Ripka Brand to wholesale accounts, through an e-commerce site which Xcel will operate, and through Ripka owned retail stores (the “Wholesale Business”). The license with the Wholesale Business provides for a royalty payable to the Company based on its wholesale sale of products under the Ripka Brand. The Company issued to QVC a warrant (the “QVC Warrant”) to purchase a number of shares of our Common Stock equal to (i) 4.75% of the number of shares of common stock of Xcel issued and outstanding on the date the QVC Warrant becomes exercisable less (ii) 571,429 shares of our Common Stock (subject to adjustment in the event of a stock split, combination, or stock dividend). The QVC Warrant is exercisable at a price of $.001 per share and becomes exercisable only upon Ms. Ripka becoming obligated to make a specified payment to QVC under the QVC Ripka Agreement and remains exercisable until such obligation is satisfied in full. Management has determined that the probability of the warrants becoming exercisable is highly unlikely and, therefore, no value was assigned to them as of June 30, 2014.</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Concurrent with the acquisition of the Ripka Brand, JR Licensing entered into a $9 million, 5-year term loan with Bank of Hapoalim (“BHI”) and amended the existing IM Term Loan, as more fully described in Note 6.</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 2014, the Company entered into a three-year employment agreement with Ms. Ripka such that she will serve as the Chief Design Officer of the Judith Ripka brand and perform duties and obligations under agreements with the Company’s licensees or any other third party pursuant to which Ms. Ripka has agreed to, and is obligated to, perform personal services. Thereafter, the agreement will renew automatically for one-year periods, unless either party gives written notice of intent to terminate at least 30 days prior to such termination. Ms. Ripka’s base salary is $750,000 per annum, and Ms. Ripka is entitled to other benefits including (a) non-accountable expenses of $114,000 per year, (b) $1,000 per month for rent for her Florida office, (c) the employment of a personal assistant, and (d) first class travel expenses.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Ms. Ripka is also eligible to receive an annual cash bonus for each calendar year during the term of her employment (or any partial fiscal year during the term), equal to ten percent (10%) of the direct response television royalty income during such calendar year in excess of $6 million.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Ripka Brand acquisition was accounted for as an asset purchase. The aggregate purchase price was allocated to the following assets based on the fair market value of the assets on the date of acquisition:</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Allocated to:</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Trademarks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24,600,000</w:t>
            </w:r>
          </w:p>
        </w:tc>
        <w:tc>
          <w:tcPr>
            <w:tcW w:w="40" w:type="dxa"/>
            <w:vAlign w:val="bottom"/>
          </w:tcPr>
          <w:p>
            <w:pPr>
              <w:spacing w:after="0"/>
              <w:rPr>
                <w:sz w:val="18"/>
                <w:szCs w:val="18"/>
                <w:color w:val="auto"/>
              </w:rPr>
            </w:pPr>
          </w:p>
        </w:tc>
      </w:tr>
      <w:tr>
        <w:trPr>
          <w:trHeight w:val="230"/>
        </w:trPr>
        <w:tc>
          <w:tcPr>
            <w:tcW w:w="6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Copyrights &amp; other intellectual property</w:t>
            </w:r>
          </w:p>
        </w:tc>
        <w:tc>
          <w:tcPr>
            <w:tcW w:w="5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190,000</w:t>
            </w:r>
          </w:p>
        </w:tc>
        <w:tc>
          <w:tcPr>
            <w:tcW w:w="40" w:type="dxa"/>
            <w:vAlign w:val="bottom"/>
            <w:shd w:val="clear" w:color="auto" w:fill="CCEEFF"/>
          </w:tcPr>
          <w:p>
            <w:pPr>
              <w:spacing w:after="0"/>
              <w:rPr>
                <w:sz w:val="19"/>
                <w:szCs w:val="19"/>
                <w:color w:val="auto"/>
              </w:rPr>
            </w:pPr>
          </w:p>
        </w:tc>
      </w:tr>
      <w:tr>
        <w:trPr>
          <w:trHeight w:val="223"/>
        </w:trPr>
        <w:tc>
          <w:tcPr>
            <w:tcW w:w="6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acquisition price</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the aggregate purchase price of $24.8 million, including legal and other fees of $0.39 million:</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w:t>
            </w:r>
          </w:p>
        </w:tc>
        <w:tc>
          <w:tcPr>
            <w:tcW w:w="600" w:type="dxa"/>
            <w:vAlign w:val="bottom"/>
            <w:gridSpan w:val="2"/>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Installment payment due October 1, 2014</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Installment payment due April 1, 2015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JR Seller Notes (at fair value, see Note 6)</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issued (571,429 shares)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Ripka Earn-Out obligation (at fair value, see Note 6)</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3,786,000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transaction expenses</w:t>
            </w:r>
          </w:p>
        </w:tc>
        <w:tc>
          <w:tcPr>
            <w:tcW w:w="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388,000</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24,790,000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1160" w:hanging="1152"/>
        <w:spacing w:after="0"/>
        <w:tabs>
          <w:tab w:leader="none" w:pos="11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Trademarks, Goodwill and Other Intangibles</w:t>
      </w:r>
    </w:p>
    <w:p>
      <w:pPr>
        <w:sectPr>
          <w:pgSz w:w="11900" w:h="16838" w:orient="portrait"/>
          <w:cols w:equalWidth="0" w:num="1">
            <w:col w:w="11420"/>
          </w:cols>
          <w:pgMar w:left="240" w:top="873" w:right="2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Trademarks and other intangibles, net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-127635</wp:posOffset>
            </wp:positionV>
            <wp:extent cx="615759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Licensing agreements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Copyrights &amp; other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-130810</wp:posOffset>
            </wp:positionV>
            <wp:extent cx="615759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Net carrying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-121920</wp:posOffset>
            </wp:positionV>
            <wp:extent cx="615759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8"/>
          <w:szCs w:val="18"/>
          <w:color w:val="auto"/>
        </w:rPr>
        <w:t>June 30,</w:t>
      </w:r>
    </w:p>
    <w:p>
      <w:pPr>
        <w:spacing w:after="0" w:line="27"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8"/>
          <w:szCs w:val="18"/>
          <w:color w:val="auto"/>
        </w:rPr>
        <w:t>2014</w:t>
      </w:r>
    </w:p>
    <w:p>
      <w:pPr>
        <w:spacing w:after="0" w:line="9" w:lineRule="exact"/>
        <w:rPr>
          <w:sz w:val="20"/>
          <w:szCs w:val="20"/>
          <w:color w:val="auto"/>
        </w:rPr>
      </w:pPr>
    </w:p>
    <w:p>
      <w:pPr>
        <w:ind w:left="645" w:hanging="645"/>
        <w:spacing w:after="0"/>
        <w:tabs>
          <w:tab w:leader="none" w:pos="6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69,100,000</w:t>
      </w:r>
    </w:p>
    <w:p>
      <w:pPr>
        <w:spacing w:after="0" w:line="22" w:lineRule="exact"/>
        <w:rPr>
          <w:rFonts w:ascii="Times New Roman" w:cs="Times New Roman" w:eastAsia="Times New Roman" w:hAnsi="Times New Roman"/>
          <w:sz w:val="18"/>
          <w:szCs w:val="18"/>
          <w:color w:val="auto"/>
        </w:rPr>
      </w:pPr>
    </w:p>
    <w:p>
      <w:pPr>
        <w:ind w:left="7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w:t>
      </w:r>
    </w:p>
    <w:p>
      <w:pPr>
        <w:spacing w:after="0" w:line="9" w:lineRule="exact"/>
        <w:rPr>
          <w:rFonts w:ascii="Times New Roman" w:cs="Times New Roman" w:eastAsia="Times New Roman" w:hAnsi="Times New Roman"/>
          <w:sz w:val="18"/>
          <w:szCs w:val="18"/>
          <w:color w:val="auto"/>
        </w:rPr>
      </w:pPr>
    </w:p>
    <w:p>
      <w:pPr>
        <w:ind w:left="8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(1,464,000)</w:t>
      </w:r>
    </w:p>
    <w:p>
      <w:pPr>
        <w:spacing w:after="0" w:line="31" w:lineRule="exact"/>
        <w:rPr>
          <w:sz w:val="20"/>
          <w:szCs w:val="20"/>
          <w:color w:val="auto"/>
        </w:rPr>
      </w:pPr>
    </w:p>
    <w:p>
      <w:pPr>
        <w:ind w:left="645" w:hanging="645"/>
        <w:spacing w:after="0"/>
        <w:tabs>
          <w:tab w:leader="none" w:pos="6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69,826,000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9264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2013</w:t>
      </w:r>
    </w:p>
    <w:p>
      <w:pPr>
        <w:spacing w:after="0" w:line="9" w:lineRule="exact"/>
        <w:rPr>
          <w:sz w:val="20"/>
          <w:szCs w:val="20"/>
          <w:color w:val="auto"/>
        </w:rPr>
      </w:pPr>
    </w:p>
    <w:p>
      <w:pPr>
        <w:ind w:left="640" w:hanging="63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44,500,000</w:t>
      </w:r>
    </w:p>
    <w:p>
      <w:pPr>
        <w:spacing w:after="0" w:line="22"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w:t>
      </w:r>
    </w:p>
    <w:p>
      <w:pPr>
        <w:spacing w:after="0" w:line="9" w:lineRule="exact"/>
        <w:rPr>
          <w:rFonts w:ascii="Times New Roman" w:cs="Times New Roman" w:eastAsia="Times New Roman" w:hAnsi="Times New Roman"/>
          <w:sz w:val="18"/>
          <w:szCs w:val="18"/>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(1,192,000)</w:t>
      </w:r>
    </w:p>
    <w:p>
      <w:pPr>
        <w:spacing w:after="0" w:line="31" w:lineRule="exact"/>
        <w:rPr>
          <w:sz w:val="20"/>
          <w:szCs w:val="20"/>
          <w:color w:val="auto"/>
        </w:rPr>
      </w:pPr>
    </w:p>
    <w:p>
      <w:pPr>
        <w:ind w:left="640" w:hanging="63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45,308,000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9175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655" w:space="720"/>
            <w:col w:w="1525" w:space="120"/>
            <w:col w:w="2400"/>
          </w:cols>
          <w:pgMar w:left="240" w:top="873" w:right="239" w:bottom="1440" w:gutter="0" w:footer="0" w:header="0"/>
          <w:type w:val="continuous"/>
        </w:sectPr>
      </w:pP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Amortization expense for intangible assets for the Current Quarter and the quarter ended June 30, 2013 (the “Prior Year Quarter”) was $139,000 and $132,000, respectively. Amortization expense for intangible assets for the Current Six Months and the six months ended June 30, 2013 (the “Prior Year Six Months”) was $272,000 and $263,000, respectively. The trademarks of the Ripka Brand and the Isaac Mizrahi Brand and related goodwill have been determined to have an indefinite useful life and accordingly, consistent with ASC Topic 350, no amortization has been recorded in the Company's unaudited condensed consolidated statements of operations.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2014, the Company had $12,371,000 of goodwill relating to the acquisition of the Isaac Mizrahi Business. There was no change in goodwill during the Current Six Months.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1160" w:hanging="1030"/>
        <w:spacing w:after="0"/>
        <w:tabs>
          <w:tab w:leader="none" w:pos="11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Contracts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QVC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Company’s agreements with QVC, they are required to pay us fees based primarily on a percentage of its net sales of Isaac Mizrahi and Ripka branded merchandise. QVC royalty revenue represents a significant portion of the Company’s total revenues. Royalties from QVC totaled $4,316,000 and $1,992,000 for the Current Quarter and the Prior Year Quarter, respectively, representing 70% and 62% of the Company’s total revenues each quarter, respectively. Royalties from QVC totaled $6,605,000 and $3,984,000 for the Current Six Months and the Prior Year Six Months, respectively, representing 68% and 62% of the Company’s total revenues, respectively. As of June 30, 2014 and December 31, 2013, the Company had receivables from QVC of $3,165,000 and $2,060,000, representing 66% and 58% of the Company’s receivables, respectively. The June 30, 2014 and December 31, 2013 QVC receivables include $1,256,000 and $152,000 of earned revenue that has been accrued but not billed as of each date,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w:t>
            </w:r>
          </w:p>
        </w:tc>
        <w:tc>
          <w:tcPr>
            <w:tcW w:w="6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net carrying amount of debt is comprised of the following:</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June 30,</w:t>
            </w:r>
          </w:p>
        </w:tc>
        <w:tc>
          <w:tcPr>
            <w:tcW w:w="18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660" w:type="dxa"/>
            <w:vAlign w:val="bottom"/>
          </w:tcPr>
          <w:p>
            <w:pPr>
              <w:spacing w:after="0"/>
              <w:rPr>
                <w:sz w:val="20"/>
                <w:szCs w:val="20"/>
                <w:color w:val="auto"/>
              </w:rPr>
            </w:pPr>
          </w:p>
        </w:tc>
        <w:tc>
          <w:tcPr>
            <w:tcW w:w="6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CEEFF"/>
            </w:tcBorders>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 Term Loan</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JR Term Loan</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 Seller Note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5,045,000</w:t>
            </w:r>
          </w:p>
        </w:tc>
      </w:tr>
      <w:tr>
        <w:trPr>
          <w:trHeight w:val="216"/>
        </w:trPr>
        <w:tc>
          <w:tcPr>
            <w:tcW w:w="6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JR Seller Notes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obligation – IM Seller</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6,681,000</w:t>
            </w:r>
          </w:p>
        </w:tc>
      </w:tr>
      <w:tr>
        <w:trPr>
          <w:trHeight w:val="230"/>
        </w:trPr>
        <w:tc>
          <w:tcPr>
            <w:tcW w:w="66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Contingent obligation – JR Seller</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40,995,000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565,000</w:t>
            </w:r>
          </w:p>
        </w:tc>
      </w:tr>
      <w:tr>
        <w:trPr>
          <w:trHeight w:val="223"/>
        </w:trPr>
        <w:tc>
          <w:tcPr>
            <w:tcW w:w="660" w:type="dxa"/>
            <w:vAlign w:val="bottom"/>
          </w:tcPr>
          <w:p>
            <w:pPr>
              <w:spacing w:after="0"/>
              <w:rPr>
                <w:sz w:val="19"/>
                <w:szCs w:val="19"/>
                <w:color w:val="auto"/>
              </w:rPr>
            </w:pPr>
          </w:p>
        </w:tc>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39,120,000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IM Term Loan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2013, IM Brands entered into a $13.0 million 5-year term loan with BHI (the “IM Term Loan”). On April 3, 2014, in connection with entering into the JR Term Loan (as defined below) and the Ripka Brand acquisition, the Company amended the IM Term Loan. The IM Term Loan is secured by all of the assets of IM Brands and the Company’s membership interest in IM Brands and bears interest at an annual fixed rate of 4.44%, payable quarterly in arrears each calendar quarter. The obligations under the IM Term Loan are also guaranteed by the Company. Scheduled principal payments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Amount of</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Principal</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Payment</w:t>
            </w: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Payment</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2014, January 1, 2015, April 1, 2015 and July 1, 2015</w:t>
            </w:r>
          </w:p>
        </w:tc>
        <w:tc>
          <w:tcPr>
            <w:tcW w:w="2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October 1, 2015, January 1, 2016, April 1, 2016 and July 1, 2016</w:t>
            </w:r>
          </w:p>
        </w:tc>
        <w:tc>
          <w:tcPr>
            <w:tcW w:w="2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625,000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2016, January 1, 2017, April 1, 2017 and July 1, 2017</w:t>
            </w:r>
          </w:p>
        </w:tc>
        <w:tc>
          <w:tcPr>
            <w:tcW w:w="2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October 1, 2017, January 1, 2018 and April 1, 2018</w:t>
            </w:r>
          </w:p>
        </w:tc>
        <w:tc>
          <w:tcPr>
            <w:tcW w:w="2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2018</w:t>
            </w:r>
          </w:p>
        </w:tc>
        <w:tc>
          <w:tcPr>
            <w:tcW w:w="2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3,875,000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on and after January 1, 2015, IM Brands shall repay an amount equal to fifty percent (50%) of Cash Flow Recapture (as defined below) until such time as principal payments received by BHI for the IM Term Loan and the JR Term Loan (as defined below) are equal to or greater than $1 million in the aggregate (other than a result of scheduled payments), thereafter IM Brands will then begin to repay twenty percent (20%). Cash Flow Recapture shall mean for any fiscal period, cash provided by operating activities for such period less (a) capital expenditures not made through the incurrence of indebtedness less</w:t>
      </w:r>
    </w:p>
    <w:p>
      <w:pPr>
        <w:spacing w:after="0" w:line="3" w:lineRule="exact"/>
        <w:rPr>
          <w:sz w:val="20"/>
          <w:szCs w:val="20"/>
          <w:color w:val="auto"/>
        </w:rPr>
      </w:pPr>
    </w:p>
    <w:p>
      <w:pPr>
        <w:ind w:firstLine="8"/>
        <w:spacing w:after="0" w:line="261" w:lineRule="auto"/>
        <w:tabs>
          <w:tab w:leader="none" w:pos="26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and principal (including indebtedness owed for the IM Term Loan) paid or payable during such period less (c) all income tax payments made during such period.</w:t>
      </w:r>
    </w:p>
    <w:p>
      <w:pPr>
        <w:spacing w:after="0" w:line="17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The Company is required to maintain minimum fixed charge ratio and liquidity covenants and other non-monetary covenants,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requirements and trademark preservation in accordance with the terms and conditions of the IM Term Loan. In addition,:</w:t>
      </w:r>
    </w:p>
    <w:p>
      <w:pPr>
        <w:spacing w:after="0" w:line="160" w:lineRule="exact"/>
        <w:rPr>
          <w:sz w:val="20"/>
          <w:szCs w:val="20"/>
          <w:color w:val="auto"/>
        </w:rPr>
      </w:pPr>
    </w:p>
    <w:p>
      <w:pPr>
        <w:jc w:val="both"/>
        <w:ind w:left="1100" w:hanging="444"/>
        <w:spacing w:after="0" w:line="261" w:lineRule="auto"/>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EBITDA (as defined in the BHI loan documents) of IM Brands shall not be less than $6,000,000 for the fiscal year ending December 31, 2014, not less than $9,000,000 for the fiscal year ending December 31, 2015, not less than $11,000,000 for the fiscal year ending December 31, 2016 and not less than $12,500,000 for the fiscal year ending December 31, 2017 and each fiscal year end thereafter. EBITDA for IM Brands shall exclude allocated corporate overhead;</w:t>
      </w:r>
    </w:p>
    <w:p>
      <w:pPr>
        <w:spacing w:after="0" w:line="180" w:lineRule="exact"/>
        <w:rPr>
          <w:rFonts w:ascii="Times New Roman" w:cs="Times New Roman" w:eastAsia="Times New Roman" w:hAnsi="Times New Roman"/>
          <w:sz w:val="18"/>
          <w:szCs w:val="18"/>
          <w:color w:val="auto"/>
        </w:rPr>
      </w:pPr>
    </w:p>
    <w:p>
      <w:pPr>
        <w:jc w:val="both"/>
        <w:ind w:left="1100" w:hanging="444"/>
        <w:spacing w:after="0" w:line="266" w:lineRule="auto"/>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EBITDA of the Company shall not be less than $5,500,000 for the fiscal year ending December 31, 2014, not less than $7,500,000 for the fiscal year ending December 31, 2015, not less than $11,000,000 for the fiscal year ending on December 31, 2016 and not less than $12,000,000 for fiscal year ending December 31, 2017 and each fiscal year end thereafter;</w:t>
      </w:r>
    </w:p>
    <w:p>
      <w:pPr>
        <w:spacing w:after="0" w:line="176"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of the Company and its Subsidiaries on a consolidated basis in any fiscal year shall not exceed $1.3 million;</w:t>
      </w:r>
    </w:p>
    <w:p>
      <w:pPr>
        <w:spacing w:after="0" w:line="225"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of minimum net worth to be maintained by the Company at all times;</w:t>
      </w:r>
    </w:p>
    <w:p>
      <w:pPr>
        <w:spacing w:after="0" w:line="225"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of minimum liquidity covenants to be maintained by the Company at all times.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2014, the Company and IM Brands were in full compliance with all of the covenants under the IM Term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JR Term Loan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3, 2014, the Company entered into a $9 million 5-year term loan with BHI (the “JR Term Loan”). The JR Term Loan is secured by all of the assets of JR Licensing and a guarantee from Xcel secured by a pledge of Xcel’s membership interest in JR Licensing and by a guarantee from IM Brands, secured by a pledge of all of IM Brands’ assets. The JR Term Loan bears interest at an annual variable rate of either, LIBOR plus 3.5% or Prime plus 0.50%, at JR Licensing’s option, payable, if the JR Term Loan is bearing interest based on LIBOR, on the last business day of the applicable interest period and, if the JR Term Loan is bearing interest based on Prime, quarterly in arrears on the first day of each calendar quarter. Scheduled quarterly principal payments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Amount of</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Principal</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Payment</w:t>
            </w:r>
          </w:p>
        </w:tc>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Payment</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2015, July 1, 2015, October 1, 2015 and January 1, 2016</w:t>
            </w:r>
          </w:p>
        </w:tc>
        <w:tc>
          <w:tcPr>
            <w:tcW w:w="3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April 1, 2016, July 1, 2016, October 1, 2016 and January 1, 2017</w:t>
            </w:r>
          </w:p>
        </w:tc>
        <w:tc>
          <w:tcPr>
            <w:tcW w:w="3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2017, July 1, 2017, October 1, 2017 and January 1, 2018</w:t>
            </w:r>
          </w:p>
        </w:tc>
        <w:tc>
          <w:tcPr>
            <w:tcW w:w="3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April 1, 2018, July 1, 2018, October 1, 2018 and January 1, 2019</w:t>
            </w:r>
          </w:p>
        </w:tc>
        <w:tc>
          <w:tcPr>
            <w:tcW w:w="3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500,000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right"/>
              <w:ind w:right="189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JR Licensing shall prepay the outstanding amount of the JR Term Loan from excess cash flow (the “JR Cash Flow Recapture”) for each fiscal year commencing with the year ending December 31, 2015 in arrears in an amount equal to fifty percent (50%) of such JR Cash Flow Recapture. JR Cash Flow Recapture shall mean for any fiscal period, cash provided by operating activities for such period less (a) capital expenditures not made through the incurrence of indebtedness less (b) all interest and principal (including indebtedness owed for the JR Loan) paid or payable during such period less (c) the portion of the holdback amount paid or payable pursuant to the Purchase Agreement during such period less (d) payments made during such period by JR Licensing to Xcel equal to the estimated tax liability of Xcel resulting from any taxable income (net of losses, including for prior years to the extent permitted to be deducted) of JR Licensing. JR Licensing also executed a guaranty of the IM Term Loan, secured by a pledge of all of JR Licensing’s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The Company is required to maintain;</w:t>
      </w:r>
    </w:p>
    <w:p>
      <w:pPr>
        <w:spacing w:after="0" w:line="227" w:lineRule="exact"/>
        <w:rPr>
          <w:sz w:val="20"/>
          <w:szCs w:val="20"/>
          <w:color w:val="auto"/>
        </w:rPr>
      </w:pPr>
    </w:p>
    <w:p>
      <w:pPr>
        <w:ind w:left="920" w:hanging="453"/>
        <w:spacing w:after="0" w:line="282" w:lineRule="auto"/>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fixed charge ratio (as defined in the BHI loan documents), of 1.20 to 1.00 for the periods ending on or prior to December 31, 2015 and not less than 1.10 to 1.00 for periods commencing on and after March 31, 2016;</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EBITDA (as defined in the BHI loan documents), not be less than $5,500,000 for the fiscal year ending December 31, 2014, not less than $7,500,000 for the fiscal year ending December 31, 2015, not less than $11,000,000 for the fiscal year ending on December 31, 2016 and not less than $12,000,000 for fiscal year ending December 31, 2017 and each fiscal year end thereafter;</w:t>
      </w:r>
    </w:p>
    <w:p>
      <w:pPr>
        <w:spacing w:after="0" w:line="176"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on a consolidated basis in any fiscal year shall not exceed $1.3 million;</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of minimum net worth to be maintained at all times;</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of minimum liquidity covenants to be maintained at all times; and</w:t>
      </w:r>
    </w:p>
    <w:p>
      <w:pPr>
        <w:spacing w:after="0" w:line="225"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non-monetary covenants, including reporting requirements and trademark preservation in accordance with the terms and conditions of the JR Term Loan.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JR Licensing is required to maintain minimum EBITDA of $3 million for the fiscal year ending December 31, 2014, not less than $4 million for the fiscal year ending December 31, 2015 and not less than $5 million for the fiscal year ending December 31, 2016 and each fiscal year end thereafter. EBITDA for JR licensing shall exclude allocated corporate overhead. As of June 30, 2014, the Company and JR Licensing were in full compliance with all of the covenants under the JR Term Loan.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IM Seller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2011, as part of the consideration for the purchase of the Isaac Mizrahi Business, the Company issued to IM Ready-Made, LLC (“IM Ready”) a promissory note (the “IM Seller Note”) in the principal amount of $7,377,000. The stated interest rate of the IM Seller Note is 0.25%. Management determined that this rate was below the Company’s expected borrowing rate, which was then estimated at 9.25%. Therefore, the Company discounted the IM Seller Note by $1,740,000 using a 9.0% imputed annual interest rate, resulting in an initial value of $5,637,000. Also on September 29, 2011, the Company prepaid $123,000 of interest on the IM Seller Note. The imputed interest amount is being amortized over the term of the IM Seller Note and recorded as other interest and finance expense on the Company’s unaudited condensed consolidated statements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24, 2013, the IM Seller Note was amended (1) revising the Maturity Date to September 30, 2016 (the “Amended Maturity Date”), (2) revising the Subsequent Maturity Date to September 30, 2018 (the “Amended Subsequent Maturity Date”), (3) providing the Company with a prepayment right with its Common Stock, subject to remitting in cash the required cash payments set forth below and a minimum Common Stock price of $4.50 per share and (4) requiring interim scheduled payments. Scheduled principal payments (including amortization of imputed interest)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Payable in</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Payable 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Cash with</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Payable in</w:t>
            </w:r>
          </w:p>
        </w:tc>
      </w:tr>
      <w:tr>
        <w:trPr>
          <w:trHeight w:val="238"/>
        </w:trPr>
        <w:tc>
          <w:tcPr>
            <w:tcW w:w="412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Cash (i)</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Restrictions (ii)</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 (iii)</w:t>
            </w: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24, 2013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January 31, 2015</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4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2016</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4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750,000</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2016</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4,377,432</w:t>
            </w:r>
          </w:p>
        </w:tc>
        <w:tc>
          <w:tcPr>
            <w:tcW w:w="4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4,377,432</w:t>
            </w:r>
          </w:p>
        </w:tc>
      </w:tr>
    </w:tbl>
    <w:p>
      <w:pPr>
        <w:spacing w:after="0" w:line="179" w:lineRule="exact"/>
        <w:rPr>
          <w:sz w:val="20"/>
          <w:szCs w:val="20"/>
          <w:color w:val="auto"/>
        </w:rPr>
      </w:pPr>
    </w:p>
    <w:p>
      <w:pPr>
        <w:ind w:left="1260" w:hanging="901"/>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was paid prior to December 31, 2013.</w:t>
      </w:r>
    </w:p>
    <w:p>
      <w:pPr>
        <w:spacing w:after="0" w:line="27" w:lineRule="exact"/>
        <w:rPr>
          <w:rFonts w:ascii="Times New Roman" w:cs="Times New Roman" w:eastAsia="Times New Roman" w:hAnsi="Times New Roman"/>
          <w:sz w:val="18"/>
          <w:szCs w:val="18"/>
          <w:color w:val="auto"/>
        </w:rPr>
      </w:pPr>
    </w:p>
    <w:p>
      <w:pPr>
        <w:ind w:left="1260" w:hanging="901"/>
        <w:spacing w:after="0" w:line="250"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in cash with restrictions are subject to BHI approving the cash payment. If BHI does not approve the cash payment, the amount shall be payable in shares of Common Stock subject to the provisions described above.</w:t>
      </w:r>
    </w:p>
    <w:p>
      <w:pPr>
        <w:jc w:val="both"/>
        <w:ind w:left="1260" w:hanging="901"/>
        <w:spacing w:after="0" w:line="255"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the last payment on the Amended Maturity Date and may include amounts payable in cash with restrictions whereby BHI provides approval and the amount would be paid with the Company’s Common Stock. Amounts payable with the Company’s Common Stock shall be subject to the provisions described above.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stated interest rate of the IM Seller Note remains at 0.25%. Management has determined that the Company’s expected borrowing rate as of the date of the amendment was 6.44%. Based on the revised payment schedule and the change in the Company’s expected borrowing rate, the Company has increased the IM Seller Note discount by $337,000, and accordingly reduced the carrying value of the IM Seller Note. Management has determined that the amendment to the IM Seller Note was in conjunction with an amendment to the contingent obligation to IM Ready (the “Earn-out Obligation”) and the reduction to the carrying value of the Seller Note was recorded as part of the gain on reduction of contingent obligations in the Company’s December 31, 2013 consolidated statement of operations.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Current Quarter and the Prior Year Quarter, the Company incurred interest expense of $85,000 and $156,000, respectively, which includes amortization of the discount on the IM Seller Note of $80,000 and $146,000, respectively. For the Current Six Months and the Prior Year Six Months, the Company incurred interest expense of $168,000 and $310,000, respectively, which includes amortization of the discount on the IM Seller Note of $158,000 and $389,000, respectively. The IM Seller Note balance, net of discount, at June 30, 2014 and December 31, 2013 was $5,203,000 and $5,045,000,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JR Seller Notes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 2014, as part of the consideration for the purchase of the Ripka Brand, JR Licensing issued to Ripka $6.0 million principal amount JR Seller Notes. The JR Seller Notes have a term of five years from the date of issuance, are payable in cash or shares of Xcel Common Stock valued at the time of payment, at the Company’s option, and with a floor price of $7.00 per share if paid in stock, with Ripka having certain rights to extend the maturity of the JR Seller Notes in the event the Company’s stock is trading at a price of less than $7.00 per share.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determined that its expected borrowing rate is estimated to be 7.33% and has, therefore, discounted the JR Seller Notes by $1,835,000 using a 7.33% imputed annual interest rate, resulting in an initial value of $4,165,000. The imputed interest amount is being amortized over the term of the JR Seller Notes and recorded as other interest and finance expense on the Company’s unaudited condensed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Current Quarter and the Current Six Months, the Company incurred interest expense of $75,000 which consists solely of amortization of the discount on the JR Seller Notes. The JR Seller Notes balance, net of discount, at June 30, 2014 was $4,240,000.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 Earn-out obligation</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IM Ready may earn additional shares of Common Stock with a value of up to $7,500,000 (the “Earn-Out Value”) for the 12-month period ending September 30, 2015, with the number of shares to be issued based upon the greater of (i) $4.50 per share and (ii) the average stock price for the last twenty days in such period, and with such earn-out payment contingent upon the Isaac Mizrahi Business achieving the net royalty income target set forth below (the “Earn-Out Obligation”). On December 24, 2013, the Company and IM Ready amended the terms of the Earn-Out Obligation and eliminated the additional consideration for the fiscal year ending September 30, 2014 and the Company made a one-time cash payment of $315,000 to IM Ready in March 2014. The Earn-Out Obligation is recorded as $3.0 million and $3.6 million long-term debt at June 30, 2014 and December 31, 2013, respectively, and $0.3 million as a current liability at December 31, 2013, on the condensed consolidated balance sheets.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additional $0.6 million reduction was recorded as a gain on reduction of contingent obligations in the Company’s unaudited condensed consolidated statements of operations in the Current Quarter and the Current Six Months. The reduction in the Earn-Out Obligation was based primarily on a revision of projected future net royalty income related to the Isaac Mizrahi Brand within the earn-out period. The recorded earn-out obligation was reduced as a result of the timing of projected future net royalty income of the Isaac Mizrahi Business, therefore diminishing the probability of achieving the remaining royalty target. This adjustment resulted from the Company having better visibility in its 2015 royalties given current Isaac Mizrahi Brand product sales information.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future change in the Earn-Out Obligation will result in an expense or income in the period in which it is determined the fair market value of the carrying value has changed. The royalty targets and percentage of the potential earn-out value are as follows:</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ROYALTY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EARN-OUT</w:t>
            </w:r>
          </w:p>
        </w:tc>
        <w:tc>
          <w:tcPr>
            <w:tcW w:w="0" w:type="dxa"/>
            <w:vAlign w:val="bottom"/>
          </w:tcPr>
          <w:p>
            <w:pPr>
              <w:spacing w:after="0"/>
              <w:rPr>
                <w:sz w:val="1"/>
                <w:szCs w:val="1"/>
                <w:color w:val="auto"/>
              </w:rPr>
            </w:pPr>
          </w:p>
        </w:tc>
      </w:tr>
      <w:tr>
        <w:trPr>
          <w:trHeight w:val="238"/>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ROYALTY TARGET PERIOD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TARGET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Target Period (October 1, 2014 to September 30, 2015)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24,000,000</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IM Ready will receive a percentage of the Earn-Out Value based upon the percentage of the actual net royalty income of the Isaac Mizrahi Business to the royalty target as set forth below.</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EARN-OUT</w:t>
            </w:r>
          </w:p>
        </w:tc>
        <w:tc>
          <w:tcPr>
            <w:tcW w:w="0" w:type="dxa"/>
            <w:vAlign w:val="bottom"/>
          </w:tcPr>
          <w:p>
            <w:pPr>
              <w:spacing w:after="0"/>
              <w:rPr>
                <w:sz w:val="1"/>
                <w:szCs w:val="1"/>
                <w:color w:val="auto"/>
              </w:rPr>
            </w:pPr>
          </w:p>
        </w:tc>
      </w:tr>
      <w:tr>
        <w:trPr>
          <w:trHeight w:val="216"/>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VALUE</w:t>
            </w:r>
          </w:p>
        </w:tc>
        <w:tc>
          <w:tcPr>
            <w:tcW w:w="0" w:type="dxa"/>
            <w:vAlign w:val="bottom"/>
          </w:tcPr>
          <w:p>
            <w:pPr>
              <w:spacing w:after="0"/>
              <w:rPr>
                <w:sz w:val="1"/>
                <w:szCs w:val="1"/>
                <w:color w:val="auto"/>
              </w:rPr>
            </w:pPr>
          </w:p>
        </w:tc>
      </w:tr>
      <w:tr>
        <w:trPr>
          <w:trHeight w:val="238"/>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EARNED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76%</w:t>
            </w:r>
          </w:p>
        </w:tc>
        <w:tc>
          <w:tcPr>
            <w:tcW w:w="80" w:type="dxa"/>
            <w:vAlign w:val="bottom"/>
            <w:vMerge w:val="continue"/>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76% up to 80%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80% up to 90%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 up to 95%</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95% up to 100%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or greater</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Earn-Out Value is payable solely in stock. In accordance with ASC Topic 480, “Distinguishing Liabilities from Equity” (“ASC Topic 480”), the earn-out obligation is treated as a liability in the accompanying condensed consolidated balance sheets because of the variable number of shares payable under the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 QVC Earn-Out</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obligated to pay IM Ready $2.8 million, payable in cash or Common Stock, at the Company’s option, contingent upon IM Brands receiving aggregate net royalty income of at least $2.5 million from QVC in the twelve-month period ending September 30, 2015 with such stock based upon the greater of (x) $4.50 per share, and (y) the average stock price for the last twenty days prior to the time of such issuance (the “QVC Earn-Out’). Management has determined that it is probable that the $2.5 million in net royalty income from QVC will be met. In accordance with ASC Topic 480 "Distinguishing Liabilities from Equity", the QVC Earn-Out obligation is treated as a liability in the accompanying condensed consolidated balance sheets because of the variable number of shares payable under the agreement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Management will assess no less frequently than each reporting period the status of this contingent obligation. Any change in the expected obligation will result in an expense or income in the period in which it is determined fair market value has changed.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Ripka Earn-Out</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purchase of the Ripka Brand, the Company agreed to pay Ripka additional consideration of up to $5 million in aggregate (the “Ripka Earn-Out”), payable in cash or shares of the Company’s Common Stock based on the fair market value of our Common Stock at the time of payment, and with a floor of $7.00 per share, based on the Ripka Brand achieving in excess of $1 million of net royalty income during each of the 12-month periods beginning on October 1, 2015 and ending on October 1, 2018, less the sum of all earn out payments for any prior earn-out period. Net royalty income shall not include any revenues generated by direct-response television sales or any revenue accelerated as a result of termination. The Ripka Earn-Out of $3.79 million is recorded as long-term debt at June 30, 2014 on the condensed consolidated balance sheets based on the difference between the fair value of the assets of the Ripka Brand acquired and the total consideration paid.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ASC Topic 480, the earn-out obligation is treated as a liability in the accompanying condensed consolidated balance sheets because of the variable number of shares payable under the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2014 and December 31, 2013, total contingent obligations were $9.6 million and $6.7 million, respectively.</w:t>
      </w:r>
    </w:p>
    <w:p>
      <w:pPr>
        <w:spacing w:after="0" w:line="221" w:lineRule="exact"/>
        <w:rPr>
          <w:sz w:val="20"/>
          <w:szCs w:val="20"/>
          <w:color w:val="auto"/>
        </w:rPr>
      </w:pPr>
    </w:p>
    <w:p>
      <w:pPr>
        <w:ind w:left="1160" w:hanging="1030"/>
        <w:spacing w:after="0"/>
        <w:tabs>
          <w:tab w:leader="none" w:pos="11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2011 Equity Incentive Plan, as amended and restated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A total of 5,000,000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Board, or, at the Board's discretion, a committee of the Board.</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 2013, the Company issued to management 1,270,000 shares of restricted stock. The vesting date of 1,075,000 shares of restricted stock is September 20, 2014, provided, however, that each such grantee has the right to extend the vesting date by six-month increments in his sole discretion, prior to the date the restrictions would lapse. The remaining 195,000 shares of restricted stock will vest evenly over 2 years, whereby 50% shall vest on September 30, 2014 and 50% shall vest on March 31, 2015. Notwithstanding the foregoing, each grantee may extend the first anniversary of all or a portion of the Restricted Shares by six months and, thereafter one or more times may further extend such date with respect to all or a portion of the Restricted Shares until the next following September 30th or March 31st, as the case may be, by providing written notice of such election to extend such date with respect to all or a portion of the Restricted Shares prior to such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2013, the Company issued to non-management directors 100,000 shares of restricted stock. The shares of restricted stock will vest evenly over two years, whereby 50% shall vest on September 30, 2014 and 50% shall vest on March 31, 2015. Notwithstanding the foregoing, each grantee may extend the first anniversary of all or a portion of the Restricted Shares by six months and, thereafter one or more times may further extend such date with respect to all or a portion of the Restricted Shares until the next following September 30th or March 31st, as the case may be, by providing written notice of such election to extend such date with respect to all or a portion of the Restricted Shares prior to such date.</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 2013, the Company issued to non-executive employees 29,750 shares of restricted stock. The shares of restricted stock will vest evenly over 2 years, whereby 50% shall vest on April 30, 2014 and 50% shall vest on April 30, 2015.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2014, the Company issued to a member of management and a key employee an aggregate of 825,000 shares of restricted stock. The vesting date for 550,000 shares of restricted stock is July 1, 2014, and the remaining 275,000 shall vest evenly over the periods ending September 30, 2014, 2015 and 2016, provided, however, that each such grantee has the right to extend the vesting dates by six-month increments in their sole discretion, prior to the date the restrictions would lapse.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 2014, the Company granted options to purchase an aggregate of 50,000 shares of Common Stock to a non-executive employee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price per share of the options is $5.00 per share, and 50% of the options will vest on each of the first and second anniversaries of the grant date.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2014, the Company issued to non-management directors 50,000 shares of restricted stock. The shares of restricted stock will vest evenly over two years, whereby 50% shall vest on March 31, 2015 and 50% shall vest on March 31, 2016. Notwithstanding the foregoing, each grantee may extend the first anniversary of all or a portion of the Restricted Shares by six months and, thereafter one or more times may further extend such date with respect to all or a portion of the Restricted Shares until the next following September 30th or March 31st, as the case may be, by providing written notice of such election to extend such date with respect to all or a portion of the Restricted Shares prior to such date.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15, 2014, the Company issued to certain executives and employees 557,475 shares of restricted stock. The shares of restricted stock will vest evenly over two years, whereby 50% shall vest on March 31, 2015 and 50% shall vest on March 31, 2016. Notwithstanding the foregoing, each grantee may extend the first anniversary of all or a portion of the Restricted Shares by six months and, thereafter one or more times may further extend such date with respect to all or a portion of the Restricted Shares until the next following September 30th or March 31st, as the case may be, by providing written notice of such election to extend such date with respect to all or a portion of the Restricted Shares prior to such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15, 2014, the Company granted options to purchase an aggregate of 50,000 shares of Common Stock to a non-executive employee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price per share of the options is $7.50 per share, and 50% of the options will vest on each of May 31, 2015 and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 for all options and warrants was estimated at the date of grant using a Black-Scholes option-pricing model with the following weighted-average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(i)</w:t>
            </w:r>
          </w:p>
        </w:tc>
        <w:tc>
          <w:tcPr>
            <w:tcW w:w="5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(Term) (ii)</w:t>
            </w:r>
          </w:p>
        </w:tc>
        <w:tc>
          <w:tcPr>
            <w:tcW w:w="5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 – 3 years</w:t>
            </w: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 - 0.60 %</w:t>
            </w:r>
          </w:p>
        </w:tc>
      </w:tr>
    </w:tbl>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options that the Company granted under the Plan expire at various times, either five, seven or ten years from the date of grant, depending on the particular grant.</w:t>
      </w:r>
    </w:p>
    <w:p>
      <w:pPr>
        <w:spacing w:after="0" w:line="162" w:lineRule="exact"/>
        <w:rPr>
          <w:sz w:val="20"/>
          <w:szCs w:val="20"/>
          <w:color w:val="auto"/>
        </w:rPr>
      </w:pPr>
    </w:p>
    <w:p>
      <w:pPr>
        <w:ind w:left="820" w:hanging="582"/>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Company’s limited trading activity, the Company used the average volatility of similar companies in its industry.</w:t>
      </w:r>
    </w:p>
    <w:p>
      <w:pPr>
        <w:spacing w:after="0" w:line="27" w:lineRule="exact"/>
        <w:rPr>
          <w:rFonts w:ascii="Times New Roman" w:cs="Times New Roman" w:eastAsia="Times New Roman" w:hAnsi="Times New Roman"/>
          <w:sz w:val="18"/>
          <w:szCs w:val="18"/>
          <w:color w:val="auto"/>
        </w:rPr>
      </w:pPr>
    </w:p>
    <w:p>
      <w:pPr>
        <w:ind w:left="820" w:hanging="582"/>
        <w:spacing w:after="0" w:line="261"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Company’s limited history, the expected life of options was calculated using the ‘simplified method’ in accordance with Staff Accounting Bulletin (“SAB”) Topic 14.02 in accordance with SAB 110.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stock options for the Current Six Months is as follows:</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6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Weighted Average</w:t>
            </w:r>
          </w:p>
        </w:tc>
      </w:tr>
      <w:tr>
        <w:trPr>
          <w:trHeight w:val="234"/>
        </w:trPr>
        <w:tc>
          <w:tcPr>
            <w:tcW w:w="6520" w:type="dxa"/>
            <w:vAlign w:val="bottom"/>
          </w:tcPr>
          <w:p>
            <w:pPr>
              <w:spacing w:after="0"/>
              <w:rPr>
                <w:sz w:val="20"/>
                <w:szCs w:val="20"/>
                <w:color w:val="auto"/>
              </w:rPr>
            </w:pP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Exercise Price</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2014</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343,125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(19,000)</w:t>
            </w:r>
          </w:p>
        </w:tc>
        <w:tc>
          <w:tcPr>
            <w:tcW w:w="1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w:t>
            </w:r>
          </w:p>
        </w:tc>
      </w:tr>
      <w:tr>
        <w:trPr>
          <w:trHeight w:val="23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(13,500)</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r>
      <w:tr>
        <w:trPr>
          <w:trHeight w:val="263"/>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June 30, 2014</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410,625</w:t>
            </w:r>
          </w:p>
        </w:tc>
        <w:tc>
          <w:tcPr>
            <w:tcW w:w="1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Borders>
              <w:bottom w:val="single" w:sz="8" w:color="CCEEFF"/>
            </w:tcBorders>
          </w:tcPr>
          <w:p>
            <w:pPr>
              <w:spacing w:after="0"/>
              <w:rPr>
                <w:sz w:val="22"/>
                <w:szCs w:val="22"/>
                <w:color w:val="auto"/>
              </w:rPr>
            </w:pPr>
          </w:p>
        </w:tc>
      </w:tr>
      <w:tr>
        <w:trPr>
          <w:trHeight w:val="197"/>
        </w:trPr>
        <w:tc>
          <w:tcPr>
            <w:tcW w:w="65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Exercisable at June 30, 2014</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310,625</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4.68</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expense related to stock option grants for the Current Quarter and the Prior Year Quarter was $10,000 and $20,000, respectively. Compensation expense related to stock option grants for the Current Six Months and the Prior Year Six Months was $19,000 and $39,000, respectively. Compensation expense related to stock options is reported as stock-based compensation under operating expenses in the unaudited condensed consolidated statements of operations. An additional amount of $86,000 is expected to be expensed over a period of 23 months from July 1, 2014 through May 31,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preceding table does not include options to purchase 576 shares of Common Stock for $728 per share issued under the Company’s former equity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to issue any equity awards under this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warrants for the Current Six Months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Weighted-Average</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Exercise Price</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2014</w:t>
            </w:r>
          </w:p>
        </w:tc>
        <w:tc>
          <w:tcPr>
            <w:tcW w:w="19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1,469,543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Borders>
              <w:top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w:t>
            </w:r>
          </w:p>
        </w:tc>
        <w:tc>
          <w:tcPr>
            <w:tcW w:w="19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19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June 30, 2014 and expected to vest</w:t>
            </w:r>
          </w:p>
        </w:tc>
        <w:tc>
          <w:tcPr>
            <w:tcW w:w="1900" w:type="dxa"/>
            <w:vAlign w:val="bottom"/>
            <w:tcBorders>
              <w:bottom w:val="single" w:sz="8" w:color="CCEEFF"/>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1,469,543</w:t>
            </w:r>
          </w:p>
        </w:tc>
        <w:tc>
          <w:tcPr>
            <w:tcW w:w="1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Borders>
              <w:bottom w:val="single" w:sz="8" w:color="CCEEFF"/>
            </w:tcBorders>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6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Exercisable at June 30, 2014</w:t>
            </w:r>
          </w:p>
        </w:tc>
        <w:tc>
          <w:tcPr>
            <w:tcW w:w="19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1,457,043</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3.03</w:t>
            </w:r>
          </w:p>
        </w:tc>
        <w:tc>
          <w:tcPr>
            <w:tcW w:w="80" w:type="dxa"/>
            <w:vAlign w:val="bottom"/>
            <w:tcBorders>
              <w:bottom w:val="single" w:sz="8" w:color="CCEEFF"/>
            </w:tcBorders>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90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17</w:t>
            </w: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expense related to warrants for the Current Quarter and the Prior Year Quarter was $0 and $11,000, respectively. Compensation expense related to warrants for the Current Six Months and the Prior Year Six Months was $0 and $22,000, respectively. Compensation expense related to warrants in the Prior Year Quarter and Prior Year Six Months is reported as stock-based compensation under operating expenses in the unaudited condensed consolidated statements of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values other warrants issued to non-employees at the commitment date at the fair market value of the instruments issued, a measure which is more readily available than the fair market value of services rendered, using the Black-Scholes model. The fair market value of the instruments issued is expensed over the vesting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expense related to warrants in connection with a licensing agreement is amortized over the 5-year initial term of the license agreement and is recorded as a discount to licensing revenues. The stock-based licensing revenue-discount for the Current Quarter and the Prior Year Quarter was $1,000 in each quarter. The stock-based licensing revenue-discount for the Current Six Months and the Prior Year Six Months was $2,000 in each period. An additional amount of $10,000 is expected to be amortized over a period of 27 months from July 1, 2014 through September 30, 2016.</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2013, the Company issued to Adam Dweck (“AD”) who is an Executive Vice President of Earthbound, LLC (“Earthbound”) and the son of Jack Dweck, who is a principal of Earthbound and was on the Company’s board of directors through June 26, 2014 (see Note 11, Related Party Transactions), warrants to purchase 25,000 shares of common stock with an exercise price of $5.00 per share and a term expiring August 2, 2016. The 12,500 warrants are subject to AD generating $0.5 million of accumulated royalties and additional Warrants to purchase 12,500 shares of Common Stock at an exercise price of $5.00 per share, subject to AD generating $1.0 million of accumulated royalties. To date, AD has reached the first milestone of $0.5 million sourced royalties and the Company deems it likely that AD will reach the second milestone of $1.0 million of AD sourced royalties by August 2, 2016. Compensation expense related to warrants in connection with the licensing agreement is amortized over the expected period in which the royalty targets will be met and is recorded as a royalty commission expense and netted with licensing revenues. The stock-based commission expense for the Current Quarter and the Prior Year Quarter was $0. The stock-based commission expense for the Current Six Months and the Prior Year Six Months was $1,000 and $0, respectively. No additional amount is expected to be amortized after June 30, 2014.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Compensation cost for restricted stock is measured using the fair value of the Company’s Common Stock at the date the common stock is granted. The compensation cost, net of projected forfeitures, is recognized over the period between the grant date and the date any restrictions lapse, with compensation cost for grants with a graded vesting schedule recognized using the treasury method. The restrictions do not affect voting and dividend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restricted stock for the Current Six Months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Weighted-Average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Restricted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Grant Date Fair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Value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2014</w:t>
            </w:r>
          </w:p>
        </w:tc>
        <w:tc>
          <w:tcPr>
            <w:tcW w:w="31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2,026,554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1,432,475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w:t>
            </w:r>
          </w:p>
        </w:tc>
        <w:tc>
          <w:tcPr>
            <w:tcW w:w="3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4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(47,500)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4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(3,625)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2014</w:t>
            </w:r>
          </w:p>
        </w:tc>
        <w:tc>
          <w:tcPr>
            <w:tcW w:w="316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3,407,904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160" w:type="dxa"/>
            <w:vAlign w:val="bottom"/>
            <w:vMerge w:val="restart"/>
          </w:tcPr>
          <w:p>
            <w:pPr>
              <w:jc w:val="right"/>
              <w:ind w:right="1490"/>
              <w:spacing w:after="0"/>
              <w:rPr>
                <w:sz w:val="20"/>
                <w:szCs w:val="20"/>
                <w:color w:val="auto"/>
              </w:rPr>
            </w:pPr>
            <w:r>
              <w:rPr>
                <w:rFonts w:ascii="Times New Roman" w:cs="Times New Roman" w:eastAsia="Times New Roman" w:hAnsi="Times New Roman"/>
                <w:sz w:val="18"/>
                <w:szCs w:val="18"/>
                <w:color w:val="auto"/>
              </w:rPr>
              <w:t>18</w:t>
            </w: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vMerge w:val="continue"/>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Compensation expense related to restricted stock grants for the Current Quarter and Prior Year Quarter was $1,810,000 and $2,261,000, respectively. Compensation expense related to restricted stock grants for the Current Six Months and Prior Year Six Months was $3,368,000 and $2,296,000, respectively. Compensation expense related to restricted stock grants is reported as stock-based compensation under operating expenses in the unaudited condensed consolidated statements of operations. An additional amount of $5,205,000 is expected to be amortized over a period of 27 months from July 1, 2014 through September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Company’s 2011 Equity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2014 there were 596,158 common shares available for issuance under the Company’s 2011 Equity Incentive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Issuance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2014, there were 2,476,902 common shares reserved for issuance pursuant to warrants, stock options and availability for issuance under the Company’s 2011 Equity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paid any dividends to date.</w:t>
      </w:r>
    </w:p>
    <w:p>
      <w:pPr>
        <w:spacing w:after="0" w:line="221" w:lineRule="exact"/>
        <w:rPr>
          <w:sz w:val="20"/>
          <w:szCs w:val="20"/>
          <w:color w:val="auto"/>
        </w:rPr>
      </w:pPr>
    </w:p>
    <w:p>
      <w:pPr>
        <w:ind w:left="1160" w:hanging="1030"/>
        <w:spacing w:after="0"/>
        <w:tabs>
          <w:tab w:leader="none" w:pos="11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and convertible debt, using the if-converted method. Diluted EPS excludes all potentially dilutive shares of common stock if their effect is anti-dilutive.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used in calculating basic and diluted income (loss) per share are as follows: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7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0"/>
        </w:trPr>
        <w:tc>
          <w:tcPr>
            <w:tcW w:w="5160" w:type="dxa"/>
            <w:vAlign w:val="bottom"/>
          </w:tcPr>
          <w:p>
            <w:pPr>
              <w:spacing w:after="0"/>
              <w:rPr>
                <w:sz w:val="19"/>
                <w:szCs w:val="19"/>
                <w:color w:val="auto"/>
              </w:rPr>
            </w:pPr>
          </w:p>
        </w:tc>
        <w:tc>
          <w:tcPr>
            <w:tcW w:w="16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16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11,713,813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9,138,085</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11,274,503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8,243,999</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exercise of warrants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866,548</w:t>
            </w: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exercise of stock options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129,823</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12,710,184</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9,138,085</w:t>
            </w:r>
          </w:p>
        </w:tc>
        <w:tc>
          <w:tcPr>
            <w:tcW w:w="2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11,274,503</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8,243,999</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EPS excludes the common stock equivalents of the following potentially dilutive securities because their inclusion would be anti-dilutive:</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7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8"/>
        </w:trPr>
        <w:tc>
          <w:tcPr>
            <w:tcW w:w="340" w:type="dxa"/>
            <w:vAlign w:val="bottom"/>
          </w:tcPr>
          <w:p>
            <w:pPr>
              <w:spacing w:after="0"/>
              <w:rPr>
                <w:sz w:val="20"/>
                <w:szCs w:val="20"/>
                <w:color w:val="auto"/>
              </w:rPr>
            </w:pPr>
          </w:p>
        </w:tc>
        <w:tc>
          <w:tcPr>
            <w:tcW w:w="516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warrants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583,084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771,916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583,084</w:t>
            </w:r>
          </w:p>
        </w:tc>
        <w:tc>
          <w:tcPr>
            <w:tcW w:w="100" w:type="dxa"/>
            <w:vAlign w:val="bottom"/>
            <w:shd w:val="clear" w:color="auto" w:fill="CCEEFF"/>
          </w:tcPr>
          <w:p>
            <w:pPr>
              <w:spacing w:after="0"/>
              <w:rPr>
                <w:sz w:val="18"/>
                <w:szCs w:val="18"/>
                <w:color w:val="auto"/>
              </w:rPr>
            </w:pPr>
          </w:p>
        </w:tc>
      </w:tr>
      <w:tr>
        <w:trPr>
          <w:trHeight w:val="43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516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Income Tax</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Current Quarter and the Prior Year Quarter was approximately 27% and 40%, respectively, resulting in a $0.15 million income tax expense and ($0.79) million income tax benefit, respectively. The effective income tax rate for the Current Six Months and the Prior Year Six Months was approximately 43% and 40%, respectively, resulting in a $0.42 million and $0.78 million income tax benefit, respectively. During the Current Quarter, the Company recorded a $0.6 million gain on the reduction of contingent obligations related to the acquisition of the Isaac Mizrahi Brand. This gain is not subject to tax and was treated as a discrete item occurring in the Current Quarter and the Current Six Months (See Note 6, Debt).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1160" w:hanging="1030"/>
        <w:spacing w:after="0"/>
        <w:tabs>
          <w:tab w:leader="none" w:pos="11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the Company opened its first retail store in June 2013, it operates in two segments - (1) design and licensing and (2) retail, which are based on its business activities and organization. The operating segments are segments of the Company for which separate discrete financial information is available and for which operating results are evaluated regularly by the chief operating decision makers, made up of the Company’s executive management team, in deciding how to allocate resources, as well as in assessing performance. The primary key performance indicators are net sales or revenue (in the case of licensing and design fees) and operating income for each segment. The design and licensing segment includes royalties earned on licensed products and use of the Company’s trademarks, and rights granted to third parties for the right to sell the Company’s products and related design and other service fees. The retail segment represents sales of the Company’s branded products through its retail stores. All intercompany revenues are eliminated in consolidation and are not reviewed when evaluating segment performance. Corporate overhead expenses are allocated to the segments based upon specific usage or other allocation methods.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performance information of the Company’s reportable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6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licensing revenue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8,729,000</w:t>
            </w:r>
          </w:p>
        </w:tc>
        <w:tc>
          <w:tcPr>
            <w:tcW w:w="160" w:type="dxa"/>
            <w:vAlign w:val="bottom"/>
          </w:tcPr>
          <w:p>
            <w:pPr>
              <w:spacing w:after="0"/>
              <w:rPr>
                <w:sz w:val="18"/>
                <w:szCs w:val="18"/>
                <w:color w:val="auto"/>
              </w:rPr>
            </w:pP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5,788,000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5,626,000</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Design and service fee revenue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574,000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Design and licensing revenues</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9,604,000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retail sales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9,750,000</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6,394,000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6,184,000</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Design and licensing</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605,000</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1,577,000</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(922,000)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(605,000)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(317,000</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Design and licensing</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442,000</w:t>
            </w:r>
          </w:p>
        </w:tc>
        <w:tc>
          <w:tcPr>
            <w:tcW w:w="160" w:type="dxa"/>
            <w:vAlign w:val="bottom"/>
          </w:tcPr>
          <w:p>
            <w:pPr>
              <w:spacing w:after="0"/>
              <w:rPr>
                <w:sz w:val="18"/>
                <w:szCs w:val="18"/>
                <w:color w:val="auto"/>
              </w:rPr>
            </w:pP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218,000</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49,000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491,000</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441,000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256,000</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Design and licensing</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99,000</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18,000</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2014</w:t>
            </w:r>
          </w:p>
        </w:tc>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Lived Assets: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other intangibles, net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Design and licensing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69,826,000</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45,308,000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trademarks and intangibles,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69,826,000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45,308,000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Design and licensing</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853,000</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939,000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530,000</w:t>
            </w: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1,383,000</w:t>
            </w: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160" w:hanging="1030"/>
        <w:spacing w:after="0"/>
        <w:tabs>
          <w:tab w:leader="none" w:pos="11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Todd Slater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29, 2011, the Company adopted a one-year agreement which was amended on October 4, 2011, with Todd Slater, who was appointed as a director of the Company commencing on October 17, 2011, for services related to the Company’s licensing strategy and introduction of potential licensees. During the term of the agreement or during the year following the expiration of the term of the agreement, if the Company enters into a license or distribution agreement with a licensee introduced by Mr. Slater, Mr. Slater was entitled to receive a commission equal to fifteen percent (15%) of all net royalties received by the Company during the first term of such agreement, payable within thirty days of receipt of the net royalties.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10, 2012, the Company and Mr. Slater entered into an amendment (the “Amendment”) to the agreement. Pursuant to the Amendment, the Company paid to Mr. Slater $163,000 as payment in full for (i) the cancellation of all amounts which are or may otherwise become due or payable to Mr. Slater under the terms of the agreement for licensees already introduced to the Company by Mr. Slater and which Mr. Slater was entitled to fifteen percent (15%) of the revenues from such licensees under the agreement, and (ii) the assignment to the Company of all such amounts payable directly to Mr. Slater pursuant to such license agreements. The Company has capitalized this payment and amortizes the expense in accordance with the revenue earned from the respective licensing agreements on which this payment was based.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direct licensing costs with Mr. Slater, who serves as a director for the Company, from amortization of a prepaid licensing commission payment in 2012 for the Current Quarter and the Prior Year Quarter of $21,000 and $11,000, respectively, and for the Current Six Months and Prior Year Six Months of $43,000 and $23,000,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5, 2013, the Company paid Threadstone Advisors, LLC (“Threadstone”) a fee of $280,000 for the placement of $4,000,000 of proceeds from a private stock offering. This placement fee was recorded as a reduction in paid-in capital and reflected in the stockholders’ equity section of the condensed consolidated balance sheet. Mr. Slater is an officer and a 5% owner of Threadstone.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Agent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 2011, the Company entered into a licensing agent agreement with AD, pursuant to which he is entitled to a five percent (5%) commission on any royalties we receive under any new license agreements that he procures for us during the initial term of such license agreements. AD earned $6,000 in fees for the Current Quarter and Prior Year Quarter and earned $12,000 and $9,000 in fees for the Current Six Months and Prior Year Six Months, respectively.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granted to AD warrants to purchase 12,500 shares of common stock at an exercise price of $5.00 per share, subject to AD generating $0.5 million of accumulated royalties and additional warrants to purchase 12,500 shares of common stock at an exercise price of $5.00 per share, subject to AD generating $1.0 million of accumulated royalties. Additionally, AD shall be entitled to receive warrants to purchase 25,000 shares of common stock priced at the fair market value at the time of issuance, subject to AD generating $2.0 million of accumulated royalties. These warrants all expire on August 2, 2016. AD has reached the first milestone of $500,000 sourced royalties and it is likely AD will reach the second milestone of $1,000,000 of AD sourced royalties by August 2, 2016. The Company subsequently issued warrants to AD to purchase 25,000 shares of common stock of which 12,500 vested in 2013 and 12,500 will vest upon achieving the second milestone.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DiSanto</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On June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2013 Mark X. DiSanto Investment Trust (the “DiSanto Trust”) purchased 285,715 shares of its Common Stock and Warrants to purchase an aggregate of 62,500 of the Company’s Common Stock for aggregate gross proceeds of $1,000,003 through the Offering (See Note 7, Stockholders’ Equity). Mark DiSanto, a director of the Company, is the trustee and has sole voting and dispositive power for the DiSanto Trust.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Safe Harbor Statement under the Private Securities Litigation Reform Act of 1995</w:t>
      </w:r>
      <w:r>
        <w:rPr>
          <w:rFonts w:ascii="Times New Roman" w:cs="Times New Roman" w:eastAsia="Times New Roman" w:hAnsi="Times New Roman"/>
          <w:sz w:val="18"/>
          <w:szCs w:val="18"/>
          <w:color w:val="auto"/>
        </w:rPr>
        <w:t>. The statements that are not historical facts contained in this report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2013. The words “believe”, “anticipate,” “expect”, “confident”, “project”, “provide”, “plan”, “likely”, “future”, “ongoing”, “intend”, “may”, “should”, “would”, “could”, “guidance” and similar expressions identify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Xcel Brands, Inc. (“Xcel”, the “Company”, “we”, “us”, or “our”) is a brand management company engaged in the design, licensing, marketing and retail sales of consumer brands, including the Isaac Mizrahi Brand and certain rights of the LCNY and the Ripka Brand, which we acquired on April 3, 2014. The Company operates in two segments - (1) Design and Licensing and (2) our Retail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maximizes the value of its brands by entering into strategic licenses with licensees who it assists in designing, manufacturing and distributing the licensed products. The Company selects licensees that it believes will be able to produce and sell high quality products in the categories in which they specialize in amounts that are capable of exceeding minimum sales targets and royalties that are included in the Company’s licensing agreements for each of its brands.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Design and Licensing business operates in a “working capital light” business model, wherein we license our brands to third parties, provide certain design services, and generate royalty and design and service fee revenues through licensing and other agreements with wholesale manufacturers, sourcing and design companies, and retailers. This includes licensing our own brands for promotion and distribution through an Omnichannel retail sales strategy including distribution through Direct-Response Television (i.e. QVC and The Shopping Channel), the internet, and traditional bricks-and-mortar retail channels. The Company believes that this strategy distinguishes it from other brand management companies that rely solely on their licensees for all distribution. The Isaac Mizrahi brand and LCNY brand are licensed through our wholly-owned subsidiary IM Brands, LLC (“IM Brands”) (the “Isaac Mizrahi Business”) and the Ripka Brand is licensed through our wholly-owned subsidiary, JR Licensing, LLC (“JR Licensing”).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Retail Business operates through its wholly-owned subsidiary, IMNY Retail Management, LLC (“Retail Management”), and was launched in June 2013 opening the Company’s first retail store located in Southampton, New York (“Southampton Store”). The Company opened its second retail store, an outlet store, located near Atlanta, GA (“Georgia Store”), on March 2, 2014. Retail Management launched its e-commerce platform in May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three months ended June 30, 2014 (the “Current Quarter”) compared to the three months ended June 30, 2013 (the “Prior Year Quarter”).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net income of $0.41 million for the Current Quarter, compared to a net loss of $1.2 million for the Prior Year Quarter.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income was $0.97 million in the Current Quarter, compared to an operating loss of $1.46 million in the Prior Year Quarter.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r>
        <w:rPr>
          <w:rFonts w:ascii="Times New Roman" w:cs="Times New Roman" w:eastAsia="Times New Roman" w:hAnsi="Times New Roman"/>
          <w:sz w:val="18"/>
          <w:szCs w:val="18"/>
          <w:i w:val="1"/>
          <w:iCs w:val="1"/>
          <w:color w:val="auto"/>
        </w:rPr>
        <w:t>.</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 Quarter total revenues increased approximately $2.97 million to $6.18 million from $3.21 million for the Prior Year Quarter. This was primarily related to increases in net licensing fee revenues of $2.74 million, design and service fee revenue of $0.15 million and net retail sales of $0.08 million.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Design and Licensing Segment</w:t>
      </w:r>
      <w:r>
        <w:rPr>
          <w:rFonts w:ascii="Times New Roman" w:cs="Times New Roman" w:eastAsia="Times New Roman" w:hAnsi="Times New Roman"/>
          <w:sz w:val="18"/>
          <w:szCs w:val="18"/>
          <w:color w:val="auto"/>
        </w:rPr>
        <w:t xml:space="preserve"> – Current Quarter net licensing and design and service fee revenues increased approximately $2.89 million to $6.06 million from $3.17 million for the Prior Year Quarter. Net licensing revenues for the Current Quarter increased by $2.74 million, compared to the Prior Year Quarter, primarily due to an increase in direct response television (“DRT”) revenues of $2.52 million. Increased revenues with our Ripka branded merchandise, which commenced in April 2014, and the continuing growth of our Isaac Mizrahi branded merchandise were the main contributing factors. Wholesale licensing increased by $0.22 million in the Current Quarter compared with the Prior Year Quarter. Current Quarter design and service fee revenue increased by $0.15 million compared with the Prior Year Quarter primarily due to a non-recurring service fee recognized in the Current Quarter.</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Retail Segment</w:t>
      </w:r>
      <w:r>
        <w:rPr>
          <w:rFonts w:ascii="Times New Roman" w:cs="Times New Roman" w:eastAsia="Times New Roman" w:hAnsi="Times New Roman"/>
          <w:sz w:val="18"/>
          <w:szCs w:val="18"/>
          <w:color w:val="auto"/>
        </w:rPr>
        <w:t xml:space="preserve"> - The Company reported net retail sales of $0.12 million in the Current Quarter, during which only the Georgia Store was open for the entire Current Quarter, the Southampton Store was reopened in May 2014 and our e-commerce platform was launched in May 2014. Net retail sales for the Prior Year Quarter were $0.03 million, all of which was attributable to the Southampton Store, which opened in June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i w:val="1"/>
          <w:i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Retail Segment</w:t>
      </w:r>
      <w:r>
        <w:rPr>
          <w:rFonts w:ascii="Times New Roman" w:cs="Times New Roman" w:eastAsia="Times New Roman" w:hAnsi="Times New Roman"/>
          <w:sz w:val="18"/>
          <w:szCs w:val="18"/>
          <w:color w:val="auto"/>
        </w:rPr>
        <w:t xml:space="preserve"> – Gross profit was $0.04 million for the Current Quarter, compared to $0.02 million for the Prior Year Quarter.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i w:val="1"/>
          <w:i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totaled $5.73 million for the Current Quarter, compared to $4.66 million for the Prior Year Quarter, an increase of $1.07 million.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Design and Licensing Segment</w:t>
      </w:r>
      <w:r>
        <w:rPr>
          <w:rFonts w:ascii="Times New Roman" w:cs="Times New Roman" w:eastAsia="Times New Roman" w:hAnsi="Times New Roman"/>
          <w:sz w:val="18"/>
          <w:szCs w:val="18"/>
          <w:color w:val="auto"/>
        </w:rPr>
        <w:t xml:space="preserve"> - Operating expenses totaled $5.09 million for the Current Quarter, compared to $4.55 million for the Prior Year Quarter. The increase of approximately $0.54 million was primarily related to an increase in compensation expense of $0.91 million and increase in other design and marketing costs and general and administrative expenses of $0.09 million, partially offset by a decrease in stock-based compensation of $0.47 million. The increase in compensation expense was primarily due to the staffing needs and performance based compensation attributable to the growth of the Company, and staffing for the Ripka brand acquired in April 2014.</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Retail Segment</w:t>
      </w:r>
      <w:r>
        <w:rPr>
          <w:rFonts w:ascii="Times New Roman" w:cs="Times New Roman" w:eastAsia="Times New Roman" w:hAnsi="Times New Roman"/>
          <w:sz w:val="18"/>
          <w:szCs w:val="18"/>
          <w:color w:val="auto"/>
        </w:rPr>
        <w:t xml:space="preserve"> – Operating expenses were $0.64 million for the Current Quarter, compared to $0.11 million in the Prior Year Quarter. Operating expenses for the Current Quarter include costs associated with the Georgia Store, the Southampton Store and the e-commerce platform. The Prior Year Quarter only included operating expenses associated with the Southampton Store, which began operations in early May 2013 and incurred store preparation and merchandising costs prior to its opening in mid-June 2013.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income for the Current Quarter consists of a $0.6 million gain on the reduction of contingent obligations, as a result of the Company reducing the fair value of its contingent obligation on its IM earn-out obligation. The reduction in the Earn-Out Obligation for the current year was based on a revision of the timing of projected future net royalty income related to the Isaac Mizrahi Business, therefore diminishing the probability of achieving the remaining royalty targets. This adjustment resulted from the Company having better visibility in its 2015 royalties given current Isaac Mizrahi Brand product sales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Finance Expense.</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and finance expense for the Current Quarter decreased by approximately $0.11 million to $0.41 million, compared to $0.52 million in the Prior Year Quarter. This is primarily due to the $0.05 million net decrease attributable to lower interest rates in the Company’s term debt, partially offset by higher term debt principal balance from financing a portion of the Ripka Brand acquisition, and a decrease of $0.06 million in the Current Quarter of interest expense and finance charges from the amortization of debt discounts and deferred finance costs compared with the Prior Year Quarter.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 income tax rate for the Current Quarter was approximately 27% resulting in a $0.15 income tax expense. The effective income tax rate for the Prior Year Quarter was 40% resulting in a $0.79 million income tax benefit. During the Current Quarter, the Company recorded a $0.6 million gain on the reduction of contingent obligations related to the acquisition of the Isaac Mizrahi Brand. This gain is not subject to tax and was treated as a discrete item occurring in the Current Quarter (See Note 6, Debt).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six months ended June 30, 2014 (the “Current Six Months”) compared to the six months ended June 30, 2013 (the “Prior Year Six Months”).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a net loss of $0.55 million for the Current Six Months, compared to a $1.18 million net loss for the Prior Year Six Months.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loss was $0.32 million in the Current Six Months, compared to a $0.92 million operating loss in the Prior Year Six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r>
        <w:rPr>
          <w:rFonts w:ascii="Times New Roman" w:cs="Times New Roman" w:eastAsia="Times New Roman" w:hAnsi="Times New Roman"/>
          <w:sz w:val="18"/>
          <w:szCs w:val="18"/>
          <w:i w:val="1"/>
          <w:iCs w:val="1"/>
          <w:color w:val="auto"/>
        </w:rPr>
        <w: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 Six Months total revenues increased approximately $3.36 million to $9.75 million from $6.39 million for the Prior Year Six Months. This was primarily related to increases in net licensing fee revenues of $2.94 million, design and service fee revenue of $0.30 million, and net retail sales of $0.12 million.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Design and Licensing Segment</w:t>
      </w:r>
      <w:r>
        <w:rPr>
          <w:rFonts w:ascii="Times New Roman" w:cs="Times New Roman" w:eastAsia="Times New Roman" w:hAnsi="Times New Roman"/>
          <w:sz w:val="18"/>
          <w:szCs w:val="18"/>
          <w:color w:val="auto"/>
        </w:rPr>
        <w:t xml:space="preserve"> – Current Six Months net licensing and design and service fee revenues increased approximately $3.24 million to $9.60 million from $6.36 million for the Prior Year Six Months. Net licensing revenues for the Current Six Months increased by $2.94 million, compared to the Prior Year Six Months, primarily due to an increase in DRT revenues of $2.72 million. Increased revenues from our our Ripka branded merchandise, which commenced in April 2014, and the continuing growth of Isaac Mizrahi branded merchandise were the main contributing factors. Wholesale licensing increased by $0.22 million in the Current Six Months compared with the Prior Year Six Months. Current Six Months design and service fee revenue increased by $0.30 million compared with the Prior Year Six Months primarily due to a non-recurring service fee recognized in the Current Six Months.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Retail Segment</w:t>
      </w:r>
      <w:r>
        <w:rPr>
          <w:rFonts w:ascii="Times New Roman" w:cs="Times New Roman" w:eastAsia="Times New Roman" w:hAnsi="Times New Roman"/>
          <w:sz w:val="18"/>
          <w:szCs w:val="18"/>
          <w:color w:val="auto"/>
        </w:rPr>
        <w:t xml:space="preserve"> - The Company reported net retail sales of $0.15 million in the Current Six Months, during which the Georgia Store was opened in March 2014, the Southampton Store reopened in May 2014, and our e-commerce platform was launched in May 2014. Net retail sales for the Prior Year Six Months were $0.03 million, all of which was attributable to the Southampton Store, which opened June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i w:val="1"/>
          <w:iCs w:val="1"/>
          <w:color w:val="auto"/>
        </w:rPr>
        <w: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Retail Segment</w:t>
      </w:r>
      <w:r>
        <w:rPr>
          <w:rFonts w:ascii="Times New Roman" w:cs="Times New Roman" w:eastAsia="Times New Roman" w:hAnsi="Times New Roman"/>
          <w:sz w:val="18"/>
          <w:szCs w:val="18"/>
          <w:color w:val="auto"/>
        </w:rPr>
        <w:t xml:space="preserve"> – Gross profit was $0.03 million for the Current Six Months, compared to $0.02 million for the Prior Year Six Months. Included in cost of goods sold for the Current Six Months was a one-time shipping charge (transferring inventory from the Southampton Store to the Georgia Store) and shrink reserve totalling $0.02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i w:val="1"/>
          <w:i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totaled $10.56 million for the Current Six Months, compared to $7.31 million for the Prior Year Six Months, an increase of $3.25 million.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Design and Licensing Segment</w:t>
      </w:r>
      <w:r>
        <w:rPr>
          <w:rFonts w:ascii="Times New Roman" w:cs="Times New Roman" w:eastAsia="Times New Roman" w:hAnsi="Times New Roman"/>
          <w:sz w:val="18"/>
          <w:szCs w:val="18"/>
          <w:color w:val="auto"/>
        </w:rPr>
        <w:t xml:space="preserve"> - Operating expenses totaled $9.60 million for the Current Six Months, compared to $7.19 million for the Prior Year Six Months. The increase of approximately $2.41 million was primarily related to an increase in compensation expense of $1.31 million and an increase in stock-based compensation of $1.03 million. The increase in compensation expense was primarily due to the staffing needs and performance based compensation attributable to the growth of the Company, and staffing for the Ripka brand acquired in April 2014. The increase in stock-based compensation was primarily due to restricted stock grants issued on January 1, 2014.</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Retail Segment</w:t>
      </w:r>
      <w:r>
        <w:rPr>
          <w:rFonts w:ascii="Times New Roman" w:cs="Times New Roman" w:eastAsia="Times New Roman" w:hAnsi="Times New Roman"/>
          <w:sz w:val="18"/>
          <w:szCs w:val="18"/>
          <w:color w:val="auto"/>
        </w:rPr>
        <w:t xml:space="preserve"> – Operating expenses were $0.96 million for the Current Six Months, compared to $0.11 million in the Prior Year Six Months. Operating expenses for the Current Six Months include costs associated with the Georgia Store, the Southampton Store and the e-commerce platform. The Prior Year Six Months only includes operating expenses associated with the Southampton Store, which began operations in early May 2013 and incurred store preparation and merchandising costs prior to its opening in mid-June 2013.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income for the Current Six Months consists of a $0.6 million gain on the reduction of contingent obligations, as a result of the Company reducing the fair value of its contingent obligation on its IM earn-out obligation. The reduction in the Earn-Out Obligation for the current year was based on a revision of the timing of projected future net royalty income related to the Isaac Mizrahi Business, therefore diminishing the probability of achieving the remaining royalty targets. This adjustment results from the Company having better visibility in its 2015 royalties given current Isaac Mizrahi Brand product sales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Finance Expense.</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and finance expense for the Current Six Months decreased by approximately $0.39 million to $0.65 million, compared to $1.04 million in the Prior Year Six Months. This was primarily due to the net $0.18 million decrease attributable to lower interest rates in the Company’s term debt, partially offset by higher term debt principal balance from financing a portion of the Ripka Brand acquisition, and a decrease of $0.21 million in the Current Six Months of interest expense and finance charges from the amortization of debt discounts and deferred finance costs compared with the Prior Year Six Months.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 income tax rate for the Current Six Months was approximately 43% resulting in a $0.42 income tax benefit. The effective income tax rate for the Prior Year Six Months was 40% resulting in a $0.78 million income tax benefit. During the Current Six Months, the Company recorded a $0.6 million gain on the reduction of contingent obligations related to the acquisition of the Isaac Mizrahi Brand. This gain is not subject to tax and was treated as a discrete item occurring in the Current Six Months (See Note 6, Debt).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is a non- GAAP (generally accepted accounting principles), unaudited term, defined as net income before interest expense and other financing costs (including gain (loss) on extinguishment of debt), income taxes, other state and local franchise taxes, depreciation and amortization, non-cash compensation and other non-cash income and (expenses) (including gain on reduction of contingent obligations). Management uses Adjusted EBITDA as a measure of operating performance to assist in comparing performance from period to period on a consistent basis and to identify business trends relating to the Company's results of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Current Quarter increased approximately $1.40 million to $2.47 million from $1.07 million for the Prior Year Quarter. The increase was primarily attributable to an increase in design and licensing segment operating income, exclusive of non-cash expenses, of $1.87 million, compared with the Prior Year Quarter, partially offset by an increase in retail segment operating loss, exclusive of non-cash expenses, of $0.47 million compared with the Prior Year Quarter.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for the Current Six Months increased approximately $1.09 million to $3.01 million from $1.92 million for the Prior Year Quarter. The increase was primarily attributable to an increase in design and licensing segment operating income, exclusive of non-cash expenses, of $1.84 million compared with the Prior Year Six Months, partially offset by an increase in retail segment operating loss, exclusive of non-cash expenses, of $0.75 million compared with the Prior Year Six Months.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following table is a reconciliation of net income (loss) to Adjusted 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8"/>
        </w:trPr>
        <w:tc>
          <w:tcPr>
            <w:tcW w:w="47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409,000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(1,183,000)</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256,000</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491,000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441,000</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409,000</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1,038,000</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Income provision (benefit)</w:t>
            </w:r>
          </w:p>
        </w:tc>
        <w:tc>
          <w:tcPr>
            <w:tcW w:w="28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154,000</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(787,000)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(418,000)</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(779,000)</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franchise taxes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17,000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39,000</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1,820,000</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3,387,000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2,357,000</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reduction of contingent obligations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(600,000)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non-cash adjustments</w:t>
            </w:r>
          </w:p>
        </w:tc>
        <w:tc>
          <w:tcPr>
            <w:tcW w:w="28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principal capital requirements have been to fund working capital needs, and to a lesser extent, capital expenditures. On April 3, 2014, the Company paid $12.4 million of cash for the acquisition of the Ripka Brand, which includes $9.0 million of JR Term Loan proceeds. At June 30, 2014 and December 31, 2013, our unrestricted cash and cash equivalents were $5.11 million and $7.46 million,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existing cash and operating cash flows will be adequate to meet our operating needs, debt service obligations and capital expenditure needs including the debt service under our term loan facilities for the next twelve months. We are dependent on our licensees for most of our revenues, and there is no assurance that the licensees will perform as projected.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design and licensing segment does not require significant capital expenditures. However, we opened the Southampton Store in June 2013 for which $0.12 million and $0.14 million of capital expenditures were incurred in the Current Six Months and the year ended December 31, 2013, respectively. We opened the Georgia Store in March 2014, incurring approximately $0.21 million and $0.05 million of capital expenditures in the Current Six Months and the year ended December 31, 2013, respectively. We currently have no commitments to open additional retail stores, but we are evaluating retail opportunities. We launched an e-commerce platform in May of this year, for which we incurred $0.01 million and $0.02 million of capital expenditures in the Current Six Months and the year ended December 31, 2013, respectively. If we expand the retail business, we would be limited to the number of stores we could open without the consent of our lender. In accordance with the terms of the JR Term Loan, we are limited to annual capital expenditures of $1.3 million in any fiscal year.</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contingent obligations (See Note 6, Debt, in the Condensed Consolidated Financial Statements) are payable in stock and/or cash, at the Company’s discretion. Payment of these obligations in stock would not affect the Company’s liquidity.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 Seller Note (See Note 6, Debt in the Condensed Consolidated Financial Statements) is payable in cash up to $1.5 million beginning in 2015, of which $1.0 million of the cash payment is subject to BHI’s approval. The principal portion of the IM Seller Note not required to be paid in cash is payable with stock and/or cash, at the Company’s discretion. Payment of these obligations in stock would not affect the Company’s liquidity.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JR Seller Notes (See Note 6, Debt in the Condensed Consolidated Financial Statements) have a term of five years and are payable in cash or stock, at the Company’s discretion. The Company is obligated to pay Ripka additional $1.0 million on October 1, 2014 and an additional $1.2 million on April 1, 2015.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Working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2014 and December 31, 2013, the working capital ratio (current assets to current liabilities) was 1.46 to 1.00 and 4.79 to 1.00,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Commentary on components of our cash flows for the Current Six Months, compared to the Prior Year Six Months is set forth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$2.07 million and $0.58 million in the Current Six Months and Prior Year Six Months, respectively. The Current Six Month’s cash used in operating activities was primarily due to a net loss of $(0.55) million, adjusted for net change in operating assets and liabilities of $(0.12) million and offset by non-cash operating expenses of $2.73 million. Non-cash operating expenses consist of $3.39 million of stock-based compensation, $0.49 million of depreciation and amortization, $(0.81) million of deferred income tax benefit, $(0.60) million of gain on the reduction of contingent obligations and $0.23 million of amortization of debt discount and deferred finance charges. The Prior Year Six Month’s cash provided by operating activities was primarily due to a net loss of $(1.18) million, adjusted for stock-based compensation of $2.36 million, depreciation and amortization of $0.44 million, non-cash interest and other finance costs of $0.41 million, deferred income tax benefit of $(0.92) million, and partially offset by net change in operating assets and liabilities of $(0.58)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Current Six Months was approximately $12.81 million, compared to $0.22 million in the Prior Year Six Months. The Current Six Months net cash used in investing activities was attributable to cash consideration paid for the acquisition of the Ripka Brand of $12.36 million and capital expenditures of $0.45 million. In the Prior Year Six Months, $0.21 million of capital expenditures was attributable to property and equipment and $0.01 million was attributable to payment of a security deposit.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Current Six Months was approximately $8.39 million, primarily attributable to $9.00 million of proceeds from the term debt related to the Ripka Brand, offset by $0.31 million of contingent obligation payments, $0.06 million of repurchased shares of restricted stock that had vested and $0.24 million of deferred financing costs related to the Ripka Brand acquisition. Net cash provided by financing activities for the Prior Year Six Months was approximately $4.03 million, primarily attributable to $5.0 million of gross proceeds from the issuance of common stock and warrants, offset by $0.29 million in expenses related to the offering and $0.68 million of debt payments.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continue to seek to expand and diversify the types of licensed products being produced under the Isaac Mizrahi Brand, and beginning in April 2014 the Ripka Brand. We will seek to continue to diversify the distribution channels within which licensed products are sold, in an effort to reduce dependence on any particular retailer, consumer or market sector within each of our brands. Our acquisition of the Ripka Brand, whose core products have been in fine jewelry, helps diversify our industry focus (the Isaac Mizrahi Brand and LCNY Brand have a core business in fashion and accessories), while at the same time complementing, expanding and growing our overall business relationship with QVC. We also intend to seek new opportunities, including opening additional retail stores, international expansion through direct response television and licensing arrangements and acquiring additional brands. The success of our Company, however, will still remain largely dependent on our ability to build and maintain our brands’ awareness and contract with and retain key licensees and on our licensees’ ability to accurately predict upcoming fashion and design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income tax provision (benefit) is based on an effective income tax rate, which is comprised of the federal statutory rate and a state and local tax rate, net of federal effect. Our state and local tax rate is affected by the location of earned revenue and certain incurred expenses in determining state and local income tax allocations. Accordingly, our state and local tax rate, net of federal effect may vary and could have a material impact on the fair value of our deferred tax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would be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of our accounting policies involve management judgments and estimates that could be significant. The policies with the greatest potential effect on our consolidated results of operations and financial position include the estimate of the fair value of the contingent obligations, based on our licensing revenue performance. For our design and licensing segment, we can reasonably forecast revenues and plan expenditures based upon guaranteed royalty minimums and sales projections provided by our retail licensees.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review all significant estimates affecting the financial statements on a recurring basis and record the effect of any adjustments when necessary.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our licensing model, revenue is generated from licenses and is based on reported sales of licensed products bearing our trademarks, at royalty rates specified in the license agreements. These agreements are also subject to contractual minimum levels. Design and service fees are recorded and recognized in accordance with the terms and conditions of each service contract, including the Company meeting its obligations and providing the relevant services under each contract. Generally, we record on a straight-line basis, each base fee as stated in each service agreement for the covered period and, if applicable, we recognize additional payments received that relate to a future period as deferred revenue, until service is provided or revenue is otherwise earned. We recognize revenue from our retail stores upon sale of our products to retail consumers, net of estimated returns.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 Goodwill and Other Intangible Assets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follows Financial Accounting Standards Board (“FASB”) Accounting Standard Codification (“ASC”) Topic 350 - Intangibles, Goodwill and Other (“ASC Topic 350”). Under this standard, goodwill and indefinite lived assets are not amortized. The Company’s definite lived intangible assets are amortized over their estimated useful lives.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Under this standard, the Company annually has the option to first assess qualitatively whether it is more likely than not that there is an impairment. The Company completed its annual quantitative assessment of trademarks, goodwill and other intangibles at December 31, 2013 and determined that no impairment charges were required.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Topic 718 “Compensation - Stock Compensation”, by recognizing the fair value of stock-based compensation as an operating expense in the Company’s condensed consolidated statements of operations. The fair value of the Company’s stock option awards are estimated using the Black-Scholes option valuation model and restricted stock awards are valued at the fair value of the Company’s stock at the time of grant. The Black-Scholes model requires the input of highly subjective assumptions and elections including expected stock price volatility and the estimated life of each award. Compensation cost for restricted stock is measured using the fair value of the Company’s Common Stock at the date the Common Stock is granted. The fair value of stock-based awards is amortized over the service period of the awards. Stock-based compensation that relates to contract performance is amortized over the term of the corresponding contract. For stock-based awards that vest based on performance conditions (e.g. achievement of certain milestones), expense is recognized when it is probable that the condition will be met. In addition, the calculation of compensation costs requires that the Company estimate the number of awards that will be forfeited during the vesting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Contingent Obligations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ASC Subtopic 820-10 “Fair Value Measurements and Disclosures” defines fair value as the price that would be received to sell an asset or paid to transfer a liability in an orderly transaction between market participants at the measurement date. ASC Subtopic 820-10 outlines a valuation framework, creates a fair value hierarchy in order to increase the consistency and comparability of fair value measurements, and details the disclosures that are required for items measured at fair value. We have contingent obligations that are required to be measured at fair value on a recurring basis. Our contingent obligations were measured using inputs from Level 3 of the fair value hierarchy, which states: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3 – unobservable inputs that reflect our assumptions that market participants would use in pricing assets or liabilities based on the best information available. The Company’s earn-out obligations (See Note 6, Debt) are based upon certain projected net royalty revenues as defined in the terms and conditions of the acquisition of the Isaac Mizrahi Brand.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Income tax expense is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 ASC Topic 740, “Accounting for Income Taxes”,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by, or under the supervision of, the chief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design and effectiveness of our internal control over financial reporting based on the criteria set forth in Internal Control-Integrated Framework (2013) issued by the Committee of Sponsoring Organizations of the Treadway Commission (“COSO”). Based on our evaluation under the frameworks described above, our management has concluded that our internal control over financial reporting was effective as of June 30,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most recent fiscal quarter that have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a highly competitive industry that involves numerous known and unknown risks and uncertainties that could impact our operations. The risks described in Part 1, Item 1A, “Risk Factors” of our Annual Report on Form 10-K for the year ended December 31, 2013 are not the only risks we face. Additional risks and uncertainties not currently known to us or that we currently deem to be immaterial also may materially adversely affect our financial condition and/or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31.1 Rule 13a-14(a)/15d-14(a) Certification (CEO)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31.2 Rule 13a-14(a)/15d-14(a) Certification (CFO)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32.1 Section 1350 Certification (CEO)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32.2 Section 1350 Certification (CFO)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101.INS XBRL Instance Document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101.SCH XBRL Taxonomy Extension Schema Document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101.CAL XBRL Taxonomy Extension Calculation Linkbase Document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101.LAB XBRL Taxonomy Extension Label Linkbase Document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101.PRE XBRL Taxonomy Extension Presentation Linkbase Document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101.DEF XBRL Taxonomy Extension Definitions Linkbase Document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2014</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432"/>
        </w:trPr>
        <w:tc>
          <w:tcPr>
            <w:tcW w:w="364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Haran</w:t>
            </w:r>
          </w:p>
        </w:tc>
      </w:tr>
      <w:tr>
        <w:trPr>
          <w:trHeight w:val="191"/>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Haran</w:t>
            </w:r>
          </w:p>
        </w:tc>
      </w:tr>
      <w:tr>
        <w:trPr>
          <w:trHeight w:val="234"/>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r>
        <w:trPr>
          <w:trHeight w:val="648"/>
        </w:trPr>
        <w:tc>
          <w:tcPr>
            <w:tcW w:w="36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32</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3"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2014 of Xcel Brands, Inc. (the “Company”).</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firstLine="8"/>
        <w:spacing w:after="0" w:line="282" w:lineRule="auto"/>
        <w:tabs>
          <w:tab w:leader="none" w:pos="2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August 14, 2014</w:t>
            </w:r>
          </w:p>
        </w:tc>
        <w:tc>
          <w:tcPr>
            <w:tcW w:w="28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34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648"/>
        </w:trPr>
        <w:tc>
          <w:tcPr>
            <w:tcW w:w="34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2014 of Xcel Brands, Inc. (the “Company”).</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9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firstLine="8"/>
        <w:spacing w:after="0" w:line="282" w:lineRule="auto"/>
        <w:tabs>
          <w:tab w:leader="none" w:pos="2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62" w:lineRule="exact"/>
        <w:rPr>
          <w:sz w:val="20"/>
          <w:szCs w:val="20"/>
          <w:color w:val="auto"/>
        </w:rPr>
      </w:pPr>
    </w:p>
    <w:p>
      <w:pPr>
        <w:ind w:firstLine="8"/>
        <w:spacing w:after="0" w:line="282" w:lineRule="auto"/>
        <w:tabs>
          <w:tab w:leader="none" w:pos="1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August 14, 2014</w:t>
            </w:r>
          </w:p>
        </w:tc>
        <w:tc>
          <w:tcPr>
            <w:tcW w:w="28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Haran</w:t>
            </w:r>
          </w:p>
        </w:tc>
      </w:tr>
      <w:tr>
        <w:trPr>
          <w:trHeight w:val="191"/>
        </w:trPr>
        <w:tc>
          <w:tcPr>
            <w:tcW w:w="34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Haran</w:t>
            </w:r>
          </w:p>
        </w:tc>
      </w:tr>
      <w:tr>
        <w:trPr>
          <w:trHeight w:val="234"/>
        </w:trPr>
        <w:tc>
          <w:tcPr>
            <w:tcW w:w="3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r>
        <w:trPr>
          <w:trHeight w:val="648"/>
        </w:trPr>
        <w:tc>
          <w:tcPr>
            <w:tcW w:w="34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June 30, 2014 as filed with the Securities and Exchange Commission on the date hereof (the “Report”), I, Robert W. D’Loren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August 14, 2014</w:t>
            </w:r>
          </w:p>
        </w:tc>
        <w:tc>
          <w:tcPr>
            <w:tcW w:w="28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34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648"/>
        </w:trPr>
        <w:tc>
          <w:tcPr>
            <w:tcW w:w="34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June 30, 2014 as filed with the Securities and Exchange Commission on the date hereof (the “Report”), I, James Haran,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August 14, 2014</w:t>
            </w:r>
          </w:p>
        </w:tc>
        <w:tc>
          <w:tcPr>
            <w:tcW w:w="28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Haran</w:t>
            </w:r>
          </w:p>
        </w:tc>
      </w:tr>
      <w:tr>
        <w:trPr>
          <w:trHeight w:val="191"/>
        </w:trPr>
        <w:tc>
          <w:tcPr>
            <w:tcW w:w="34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Haran</w:t>
            </w:r>
          </w:p>
        </w:tc>
      </w:tr>
      <w:tr>
        <w:trPr>
          <w:trHeight w:val="234"/>
        </w:trPr>
        <w:tc>
          <w:tcPr>
            <w:tcW w:w="3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r>
        <w:trPr>
          <w:trHeight w:val="648"/>
        </w:trPr>
        <w:tc>
          <w:tcPr>
            <w:tcW w:w="34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4"/>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5"/>
    </w:lvl>
  </w:abstractNum>
  <w:abstractNum w:abstractNumId="10">
    <w:nsid w:val="62BBD95A"/>
    <w:multiLevelType w:val="hybridMultilevel"/>
    <w:lvl w:ilvl="0">
      <w:lvlJc w:val="left"/>
      <w:lvlText w:val="(%1)"/>
      <w:numFmt w:val="lowerLetter"/>
      <w:start w:val="2"/>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lowerRoman"/>
      <w:start w:val="1"/>
    </w:lvl>
  </w:abstractNum>
  <w:abstractNum w:abstractNumId="14">
    <w:nsid w:val="721DA317"/>
    <w:multiLevelType w:val="hybridMultilevel"/>
    <w:lvl w:ilvl="0">
      <w:lvlJc w:val="left"/>
      <w:lvlText w:val="%1."/>
      <w:numFmt w:val="decimal"/>
      <w:start w:val="7"/>
    </w:lvl>
  </w:abstractNum>
  <w:abstractNum w:abstractNumId="15">
    <w:nsid w:val="2443A858"/>
    <w:multiLevelType w:val="hybridMultilevel"/>
    <w:lvl w:ilvl="0">
      <w:lvlJc w:val="left"/>
      <w:lvlText w:val="(%1)"/>
      <w:numFmt w:val="lowerRoman"/>
      <w:start w:val="1"/>
    </w:lvl>
  </w:abstractNum>
  <w:abstractNum w:abstractNumId="16">
    <w:nsid w:val="2D1D5AE9"/>
    <w:multiLevelType w:val="hybridMultilevel"/>
    <w:lvl w:ilvl="0">
      <w:lvlJc w:val="left"/>
      <w:lvlText w:val="%1."/>
      <w:numFmt w:val="decimal"/>
      <w:start w:val="8"/>
    </w:lvl>
  </w:abstractNum>
  <w:abstractNum w:abstractNumId="17">
    <w:nsid w:val="6763845E"/>
    <w:multiLevelType w:val="hybridMultilevel"/>
    <w:lvl w:ilvl="0">
      <w:lvlJc w:val="left"/>
      <w:lvlText w:val="%1."/>
      <w:numFmt w:val="decimal"/>
      <w:start w:val="10"/>
    </w:lvl>
  </w:abstractNum>
  <w:abstractNum w:abstractNumId="18">
    <w:nsid w:val="75A2A8D4"/>
    <w:multiLevelType w:val="hybridMultilevel"/>
    <w:lvl w:ilvl="0">
      <w:lvlJc w:val="left"/>
      <w:lvlText w:val="%1."/>
      <w:numFmt w:val="decimal"/>
      <w:start w:val="1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2019-12-06T20:43:50Z</dcterms:created>
  <dcterms:modified xsi:type="dcterms:W3CDTF">2019-12-06T20:43:50Z</dcterms:modified>
</cp:coreProperties>
</file>