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xelb-20251231x10ka.htm"/>
      <w:bookmarkStart w:id="1" w:name="ksxelb20251231x10ka"/>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7dbe1c99_0399_4b60_af61_4a6157b87981"/>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FORM 10-K/A</w:t>
      </w:r>
    </w:p>
    <w:p>
      <w:pPr>
        <w:pStyle w:val="TextBody"/>
        <w:bidi w:val="0"/>
        <w:spacing w:before="0" w:after="0"/>
        <w:ind w:left="360" w:right="0" w:hanging="0"/>
        <w:jc w:val="both"/>
        <w:rPr/>
      </w:pPr>
      <w:r>
        <w:rPr/>
        <w:t>☒  </w:t>
      </w:r>
      <w:r>
        <w:rPr>
          <w:rFonts w:ascii="Times New Roman;Times;serif" w:hAnsi="Times New Roman;Times;serif"/>
          <w:b/>
          <w:sz w:val="20"/>
        </w:rPr>
        <w:t>ANNUAL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bidi w:val="0"/>
        <w:spacing w:before="0" w:after="0"/>
        <w:ind w:left="360" w:right="0" w:hanging="0"/>
        <w:jc w:val="both"/>
        <w:rPr/>
      </w:pPr>
      <w:r>
        <w:rPr/>
        <w:t>☐  </w:t>
      </w:r>
      <w:r>
        <w:rPr>
          <w:rFonts w:ascii="Times New Roman;Times;serif" w:hAnsi="Times New Roman;Times;serif"/>
          <w:b/>
          <w:sz w:val="20"/>
        </w:rPr>
        <w:t>TRANSITION REPORT UNDER SECTION 13 OR 15(d) OF 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Commission File Number: 001-37527</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XCEL BRANDS,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A09NWez0HEKRLguOFAryrg_1_2"/>
      <w:bookmarkStart w:id="4" w:name="Tc_FvII97jM0EO6o2oOhRkcAg_1_0"/>
      <w:bookmarkStart w:id="5" w:name="_4cf4c08d_c8c4_4626_bfdf_573a2c7311b3"/>
      <w:bookmarkStart w:id="6" w:name="Tc_A09NWez0HEKRLguOFAryrg_1_2"/>
      <w:bookmarkStart w:id="7" w:name="Tc_FvII97jM0EO6o2oOhRkcAg_1_0"/>
      <w:bookmarkStart w:id="8" w:name="_4cf4c08d_c8c4_4626_bfdf_573a2c7311b3"/>
      <w:bookmarkEnd w:id="6"/>
      <w:bookmarkEnd w:id="7"/>
      <w:bookmarkEnd w:id="8"/>
    </w:p>
    <w:tbl>
      <w:tblPr>
        <w:tblW w:w="8418" w:type="dxa"/>
        <w:jc w:val="left"/>
        <w:tblInd w:w="0" w:type="dxa"/>
        <w:tblLayout w:type="fixed"/>
        <w:tblCellMar>
          <w:top w:w="0" w:type="dxa"/>
          <w:left w:w="0" w:type="dxa"/>
          <w:bottom w:w="28" w:type="dxa"/>
          <w:right w:w="0" w:type="dxa"/>
        </w:tblCellMar>
      </w:tblPr>
      <w:tblGrid>
        <w:gridCol w:w="5041"/>
        <w:gridCol w:w="346"/>
        <w:gridCol w:w="3031"/>
      </w:tblGrid>
      <w:tr>
        <w:trPr/>
        <w:tc>
          <w:tcPr>
            <w:tcW w:w="504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0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76-0307819</w:t>
            </w:r>
          </w:p>
        </w:tc>
      </w:tr>
      <w:tr>
        <w:trPr/>
        <w:tc>
          <w:tcPr>
            <w:tcW w:w="50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46" w:type="dxa"/>
            <w:tcBorders/>
            <w:tcMar>
              <w:bottom w:w="0" w:type="dxa"/>
            </w:tcMar>
            <w:vAlign w:val="center"/>
          </w:tcPr>
          <w:p>
            <w:pPr>
              <w:pStyle w:val="TableContents"/>
              <w:bidi w:val="0"/>
              <w:spacing w:before="0" w:after="240"/>
              <w:ind w:left="0" w:right="0" w:hanging="0"/>
              <w:jc w:val="left"/>
              <w:rPr/>
            </w:pPr>
            <w:r>
              <w:rPr/>
              <w:t>​</w:t>
            </w:r>
          </w:p>
        </w:tc>
        <w:tc>
          <w:tcPr>
            <w:tcW w:w="30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854" w:type="dxa"/>
        <w:jc w:val="left"/>
        <w:tblInd w:w="0" w:type="dxa"/>
        <w:tblLayout w:type="fixed"/>
        <w:tblCellMar>
          <w:top w:w="0" w:type="dxa"/>
          <w:left w:w="0" w:type="dxa"/>
          <w:bottom w:w="0" w:type="dxa"/>
          <w:right w:w="0" w:type="dxa"/>
        </w:tblCellMar>
      </w:tblPr>
      <w:tblGrid>
        <w:gridCol w:w="124"/>
        <w:gridCol w:w="4576"/>
        <w:gridCol w:w="154"/>
      </w:tblGrid>
      <w:tr>
        <w:trPr/>
        <w:tc>
          <w:tcPr>
            <w:tcW w:w="124" w:type="dxa"/>
            <w:tcBorders/>
            <w:vAlign w:val="center"/>
          </w:tcPr>
          <w:p>
            <w:pPr>
              <w:pStyle w:val="TableContents"/>
              <w:bidi w:val="0"/>
              <w:spacing w:before="0" w:after="0"/>
              <w:ind w:left="0" w:right="0" w:hanging="0"/>
              <w:jc w:val="left"/>
              <w:rPr/>
            </w:pPr>
            <w:r>
              <w:rPr/>
              <w:t>​</w:t>
            </w:r>
          </w:p>
        </w:tc>
        <w:tc>
          <w:tcPr>
            <w:tcW w:w="45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r>
      <w:tr>
        <w:trPr/>
        <w:tc>
          <w:tcPr>
            <w:tcW w:w="124" w:type="dxa"/>
            <w:tcBorders/>
            <w:vAlign w:val="center"/>
          </w:tcPr>
          <w:p>
            <w:pPr>
              <w:pStyle w:val="TableContents"/>
              <w:bidi w:val="0"/>
              <w:spacing w:before="0" w:after="240"/>
              <w:ind w:left="0" w:right="0" w:hanging="0"/>
              <w:jc w:val="left"/>
              <w:rPr/>
            </w:pPr>
            <w:r>
              <w:rPr/>
              <w:t>​</w:t>
            </w:r>
          </w:p>
        </w:tc>
        <w:tc>
          <w:tcPr>
            <w:tcW w:w="4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550 Seventh Avenue, 11th Floor, New York, NY 10018</w:t>
            </w:r>
          </w:p>
        </w:tc>
        <w:tc>
          <w:tcPr>
            <w:tcW w:w="154" w:type="dxa"/>
            <w:tcBorders/>
            <w:vAlign w:val="center"/>
          </w:tcPr>
          <w:p>
            <w:pPr>
              <w:pStyle w:val="TableContents"/>
              <w:bidi w:val="0"/>
              <w:spacing w:before="0" w:after="240"/>
              <w:ind w:left="0" w:right="0" w:hanging="0"/>
              <w:jc w:val="left"/>
              <w:rPr>
                <w:caps w:val="false"/>
                <w:smallCaps w:val="false"/>
                <w:color w:val="000000"/>
              </w:rPr>
            </w:pPr>
            <w:r>
              <w:rPr>
                <w:caps w:val="false"/>
                <w:smallCaps w:val="false"/>
                <w:color w:val="000000"/>
              </w:rPr>
              <w:t>​</w:t>
            </w:r>
          </w:p>
        </w:tc>
      </w:tr>
      <w:tr>
        <w:trPr/>
        <w:tc>
          <w:tcPr>
            <w:tcW w:w="124" w:type="dxa"/>
            <w:tcBorders/>
            <w:vAlign w:val="center"/>
          </w:tcPr>
          <w:p>
            <w:pPr>
              <w:pStyle w:val="TableContents"/>
              <w:bidi w:val="0"/>
              <w:spacing w:before="0" w:after="240"/>
              <w:ind w:left="0" w:right="0" w:hanging="0"/>
              <w:jc w:val="left"/>
              <w:rPr/>
            </w:pPr>
            <w:r>
              <w:rPr/>
              <w:t>​</w:t>
            </w:r>
          </w:p>
        </w:tc>
        <w:tc>
          <w:tcPr>
            <w:tcW w:w="4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4"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(347) 727-2474</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(Issuer’s Telephone Number, Including Area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jmpXm3fjfESqa9Mw7pZ4PQ_2_4"/>
      <w:bookmarkStart w:id="10" w:name="Tc_X2PLztOfg0GS5lODHS3wXQ_1_4"/>
      <w:bookmarkStart w:id="11" w:name="Tc_W6KAfLs5xUSCEUqlq53UNQ_1_2"/>
      <w:bookmarkStart w:id="12" w:name="Tc_vS2Ad1r4i0CdA2yuMM-xkQ_1_0"/>
      <w:bookmarkStart w:id="13" w:name="_74dabb02_951c_4772_bf5e_62db50832e71"/>
      <w:bookmarkStart w:id="14" w:name="Tc_jmpXm3fjfESqa9Mw7pZ4PQ_2_4"/>
      <w:bookmarkStart w:id="15" w:name="Tc_X2PLztOfg0GS5lODHS3wXQ_1_4"/>
      <w:bookmarkStart w:id="16" w:name="Tc_W6KAfLs5xUSCEUqlq53UNQ_1_2"/>
      <w:bookmarkStart w:id="17" w:name="Tc_vS2Ad1r4i0CdA2yuMM-xkQ_1_0"/>
      <w:bookmarkStart w:id="18" w:name="_74dabb02_951c_4772_bf5e_62db50832e71"/>
      <w:bookmarkEnd w:id="14"/>
      <w:bookmarkEnd w:id="15"/>
      <w:bookmarkEnd w:id="16"/>
      <w:bookmarkEnd w:id="17"/>
      <w:bookmarkEnd w:id="18"/>
    </w:p>
    <w:tbl>
      <w:tblPr>
        <w:tblW w:w="9425" w:type="dxa"/>
        <w:jc w:val="left"/>
        <w:tblInd w:w="0" w:type="dxa"/>
        <w:tblLayout w:type="fixed"/>
        <w:tblCellMar>
          <w:top w:w="0" w:type="dxa"/>
          <w:left w:w="0" w:type="dxa"/>
          <w:bottom w:w="0" w:type="dxa"/>
          <w:right w:w="0" w:type="dxa"/>
        </w:tblCellMar>
      </w:tblPr>
      <w:tblGrid>
        <w:gridCol w:w="3601"/>
        <w:gridCol w:w="346"/>
        <w:gridCol w:w="1426"/>
        <w:gridCol w:w="346"/>
        <w:gridCol w:w="370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 per share</w:t>
            </w:r>
          </w:p>
        </w:tc>
        <w:tc>
          <w:tcPr>
            <w:tcW w:w="346" w:type="dxa"/>
            <w:tcBorders/>
            <w:vAlign w:val="center"/>
          </w:tcPr>
          <w:p>
            <w:pPr>
              <w:pStyle w:val="TableContents"/>
              <w:bidi w:val="0"/>
              <w:spacing w:before="0" w:after="0"/>
              <w:ind w:left="0" w:right="0" w:hanging="0"/>
              <w:jc w:val="left"/>
              <w:rPr/>
            </w:pPr>
            <w:r>
              <w:rPr/>
              <w:t>​</w:t>
            </w:r>
          </w:p>
        </w:tc>
        <w:tc>
          <w:tcPr>
            <w:tcW w:w="14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XELB</w:t>
            </w:r>
          </w:p>
        </w:tc>
        <w:tc>
          <w:tcPr>
            <w:tcW w:w="34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12(g) of the Act: None</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8"/>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8"/>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5343" w:type="dxa"/>
        <w:jc w:val="left"/>
        <w:tblInd w:w="0" w:type="dxa"/>
        <w:tblLayout w:type="fixed"/>
        <w:tblCellMar>
          <w:top w:w="0" w:type="dxa"/>
          <w:left w:w="0" w:type="dxa"/>
          <w:bottom w:w="0" w:type="dxa"/>
          <w:right w:w="0" w:type="dxa"/>
        </w:tblCellMar>
      </w:tblPr>
      <w:tblGrid>
        <w:gridCol w:w="2281"/>
        <w:gridCol w:w="346"/>
        <w:gridCol w:w="2716"/>
      </w:tblGrid>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20"/>
              <w:ind w:left="0" w:right="0" w:hanging="0"/>
              <w:jc w:val="left"/>
              <w:rPr/>
            </w:pPr>
            <w:r>
              <w:rPr/>
              <w:t>  ​ ​ ​</w:t>
            </w:r>
          </w:p>
        </w:tc>
        <w:tc>
          <w:tcPr>
            <w:tcW w:w="27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281"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240"/>
              <w:ind w:left="0" w:right="0" w:hanging="0"/>
              <w:jc w:val="left"/>
              <w:rPr/>
            </w:pPr>
            <w:r>
              <w:rPr/>
              <w:t>​</w:t>
            </w:r>
          </w:p>
        </w:tc>
        <w:tc>
          <w:tcPr>
            <w:tcW w:w="27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281"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2716" w:type="dxa"/>
            <w:tcBorders/>
            <w:vAlign w:val="center"/>
          </w:tcPr>
          <w:p>
            <w:pPr>
              <w:pStyle w:val="TableContents"/>
              <w:bidi w:val="0"/>
              <w:spacing w:before="0" w:after="20"/>
              <w:ind w:left="22"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sz w:val="19"/>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18"/>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9"/>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 xml:space="preserve">☐ </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sz w:val="19"/>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serif" w:hAnsi="Times New Roman;Times;serif"/>
          <w:sz w:val="18"/>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9"/>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9"/>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sz w:val="19"/>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$1,661,000</w:t>
      </w:r>
      <w:r>
        <w:rPr>
          <w:rFonts w:ascii="Times New Roman;Times;serif" w:hAnsi="Times New Roman;Times;serif"/>
          <w:sz w:val="18"/>
        </w:rPr>
        <w:t xml:space="preserve"> </w:t>
      </w:r>
      <w:r>
        <w:rPr>
          <w:rFonts w:ascii="Times New Roman;Times;serif" w:hAnsi="Times New Roman;Times;serif"/>
          <w:sz w:val="19"/>
        </w:rPr>
        <w:t>based upon the closing price of such common stock on June 30, 2025.</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sz w:val="19"/>
        </w:rPr>
        <w:t>The number of shares of the issuer’s common stock issued and outstanding as of April 10, 2026 was 5,913,492</w:t>
      </w:r>
      <w:r>
        <w:rPr>
          <w:rFonts w:ascii="Times New Roman;Times;serif" w:hAnsi="Times New Roman;Times;serif"/>
          <w:sz w:val="18"/>
        </w:rPr>
        <w:t xml:space="preserve"> </w:t>
      </w:r>
      <w:r>
        <w:rPr>
          <w:rFonts w:ascii="Times New Roman;Times;serif" w:hAnsi="Times New Roman;Times;serif"/>
          <w:sz w:val="19"/>
        </w:rPr>
        <w:t>shares.</w:t>
      </w:r>
    </w:p>
    <w:p>
      <w:pPr>
        <w:pStyle w:val="TextBody"/>
        <w:bidi w:val="0"/>
        <w:spacing w:before="0" w:after="0"/>
        <w:ind w:left="0" w:right="0" w:hanging="0"/>
        <w:jc w:val="both"/>
        <w:rPr>
          <w:rFonts w:ascii="Times New Roman;Times;serif" w:hAnsi="Times New Roman;Times;serif"/>
          <w:sz w:val="19"/>
        </w:rPr>
      </w:pPr>
      <w:r>
        <w:rPr>
          <w:rFonts w:ascii="Times New Roman;Times;serif" w:hAnsi="Times New Roman;Times;serif"/>
          <w:sz w:val="19"/>
        </w:rPr>
        <w:t>Documents Incorporated By Reference: None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9" w:name="_4ef43f53_ef86_47ac_97e2_eafeafca0265"/>
      <w:bookmarkEnd w:id="19"/>
      <w:r>
        <w:rPr>
          <w:rFonts w:ascii="Times New Roman;Times;serif" w:hAnsi="Times New Roman;Times;serif"/>
          <w:b/>
          <w:sz w:val="20"/>
        </w:rPr>
        <w:t>EXPLANATORY NOTE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15, 2026, Xcel Brands, Inc. (the “Company”) filed its Annual Report on Form 10-K for the year ended December 31, 2025 (the “Original Filing”). The purpose of this Amendment No. 1 to the Original Filing is solely to update Exhibits 23.1 and 23.2 to the Original Filing to include reference to the Company’s registration statement on Form S-3 (No. 333-276698) (the “Registration Statement”). No other items of the Original Filing are being amended and this Amendment No. 1 does not reflect any events occurring after the filing of the Original Filing.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Rule 12b-15 of the Securities Exchange Act of 1934, as amended (the “Exchange Act”), currently dated Exhibit 31 certifications are filed herewith as exhibits to this Amendment No. 1 pursuant to Rule 13a-14(a) or 15d-14(a) of the Exchange Act under Item 15 of Part IV hereof. Pursuant to Rule 12b-5 of the Exchange Act, currently dated Exhibit 32 certifications are filed herewith as exhibits to this Amendment No. 1 pursuant to Section 906 of the Sarbanes-Oxley Act of 2002 under item 15 of Part IV hereof.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Amendment No.1 contains only an updated cover page, this explanatory note, Exhibits 23.1, 23.2, 31(i).1, 31(i).2, 32(i).1 and 32(i).2 of Item 15, the exhibit list and the signature page.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0" w:name="_527402cc_efb4_4f16_9c29_c4916df5952b"/>
      <w:bookmarkEnd w:id="20"/>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15.</w:t>
      </w:r>
      <w:r>
        <w:rPr>
          <w:rFonts w:ascii="Times New Roman;Times;serif" w:hAnsi="Times New Roman;Times;serif"/>
          <w:b/>
          <w:sz w:val="20"/>
        </w:rPr>
        <w:t>Exhibit and Financial Statement Schedules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EXHIBITS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11"/>
        <w:gridCol w:w="346"/>
        <w:gridCol w:w="9048"/>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745480" cy="175260"/>
                      <wp:effectExtent l="0" t="0" r="0" b="0"/>
                      <wp:wrapNone/>
                      <wp:docPr id="2" name="Frame2"/>
                      <a:graphic xmlns:a="http://schemas.openxmlformats.org/drawingml/2006/main">
                        <a:graphicData uri="http://schemas.microsoft.com/office/word/2010/wordprocessingShape">
                          <wps:wsp>
                            <wps:cNvSpPr txBox="1"/>
                            <wps:spPr>
                              <a:xfrm>
                                <a:off x="0" y="0"/>
                                <a:ext cx="574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346" w:type="dxa"/>
            <w:tcBorders/>
            <w:vAlign w:val="center"/>
          </w:tcPr>
          <w:p>
            <w:pPr>
              <w:pStyle w:val="TableContents"/>
              <w:bidi w:val="0"/>
              <w:spacing w:before="0" w:after="0"/>
              <w:ind w:left="0" w:right="0" w:hanging="0"/>
              <w:jc w:val="left"/>
              <w:rPr/>
            </w:pPr>
            <w:r>
              <w:rPr/>
              <w:t>  ​ ​ ​</w:t>
            </w:r>
          </w:p>
        </w:tc>
        <w:tc>
          <w:tcPr>
            <w:tcW w:w="904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Xcel Brands, Inc.</w:t>
              </w:r>
            </w:hyperlink>
            <w:r>
              <w:rPr>
                <w:rFonts w:ascii="Times New Roman;Times;serif" w:hAnsi="Times New Roman;Times;serif"/>
                <w:sz w:val="20"/>
              </w:rPr>
              <w:t xml:space="preserve"> (Incorporated by reference to the appropriate Exhibit to the Current Report on Form 8-K, which was filed with the SEC on October 24, 2017)</w:t>
            </w:r>
          </w:p>
        </w:tc>
      </w:tr>
      <w:tr>
        <w:trPr/>
        <w:tc>
          <w:tcPr>
            <w:tcW w:w="81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of Amended and Restated Certificate of Incorporation of Xcel Brands, Inc.</w:t>
              </w:r>
            </w:hyperlink>
            <w:r>
              <w:rPr>
                <w:rFonts w:ascii="Times New Roman;Times;serif" w:hAnsi="Times New Roman;Times;serif"/>
                <w:sz w:val="20"/>
              </w:rPr>
              <w:t xml:space="preserve"> (Incorporated by reference to the appropriate Exhibit to the Current Report on Form 8-K, which was filed with the SEC on March 24, 2025)</w:t>
            </w:r>
          </w:p>
        </w:tc>
      </w:tr>
      <w:tr>
        <w:trPr/>
        <w:tc>
          <w:tcPr>
            <w:tcW w:w="8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Third Restated and Amended Bylaws of Xcel Brands, Inc.</w:t>
              </w:r>
            </w:hyperlink>
            <w:r>
              <w:rPr>
                <w:rFonts w:ascii="Times New Roman;Times;serif" w:hAnsi="Times New Roman;Times;serif"/>
                <w:sz w:val="20"/>
              </w:rPr>
              <w:t xml:space="preserve"> (Incorporated by reference to the appropriate Exhibit to the Current Report on Form 8-K, which was filed with the SEC on December 8, 2017)</w:t>
            </w:r>
          </w:p>
        </w:tc>
      </w:tr>
      <w:tr>
        <w:trPr/>
        <w:tc>
          <w:tcPr>
            <w:tcW w:w="8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Third Amended and Restated Equity Incentive Plan and Forms of Award Agreements</w:t>
              </w:r>
            </w:hyperlink>
            <w:r>
              <w:rPr>
                <w:rFonts w:ascii="Times New Roman;Times;serif" w:hAnsi="Times New Roman;Times;serif"/>
                <w:sz w:val="20"/>
              </w:rPr>
              <w:t xml:space="preserve"> (Incorporated by reference to the appropriate Exhibit to the Definitive Proxy Statement on Form DEF 14-A, which was filed with the SEC on August 15, 2016)</w:t>
            </w:r>
          </w:p>
        </w:tc>
      </w:tr>
      <w:tr>
        <w:trPr/>
        <w:tc>
          <w:tcPr>
            <w:tcW w:w="81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2021 Equity Incentive Plan</w:t>
              </w:r>
            </w:hyperlink>
            <w:r>
              <w:rPr>
                <w:rFonts w:ascii="Times New Roman;Times;serif" w:hAnsi="Times New Roman;Times;serif"/>
                <w:sz w:val="20"/>
              </w:rPr>
              <w:t xml:space="preserve"> (Incorporated by reference to the appropriate Exhibit to the revised Definitive Proxy Statement on Form DEF 14-A, which was filed with the SEC on October 20, 2021)</w:t>
            </w:r>
          </w:p>
        </w:tc>
      </w:tr>
      <w:tr>
        <w:trPr/>
        <w:tc>
          <w:tcPr>
            <w:tcW w:w="81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Description of Registrant’s Securities</w:t>
              </w:r>
            </w:hyperlink>
            <w:r>
              <w:rPr>
                <w:rFonts w:ascii="Times New Roman;Times;serif" w:hAnsi="Times New Roman;Times;serif"/>
                <w:sz w:val="20"/>
              </w:rPr>
              <w:t xml:space="preserve"> (Incorporated by reference to the appropriate Exhibit to the Annual Report on Form 10-K for the year ended December 31, 2020, which was filed with the SEC on April 23, 2021)</w:t>
            </w:r>
          </w:p>
        </w:tc>
      </w:tr>
      <w:tr>
        <w:trPr/>
        <w:tc>
          <w:tcPr>
            <w:tcW w:w="811"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48"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Warrant issued to G-III Apparel Group</w:t>
              </w:r>
            </w:hyperlink>
            <w:r>
              <w:rPr>
                <w:rFonts w:ascii="Times New Roman;Times;serif" w:hAnsi="Times New Roman;Times;serif"/>
                <w:sz w:val="20"/>
              </w:rPr>
              <w:t xml:space="preserve"> (Incorporated by reference to the appropriate Exhibit to the Annual Report on Form 10-K for the period year ended December 31, 2023, which was filed with the SEC on April 19, 2024)</w:t>
            </w:r>
          </w:p>
        </w:tc>
      </w:tr>
      <w:tr>
        <w:trPr/>
        <w:tc>
          <w:tcPr>
            <w:tcW w:w="81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Representative’s Warrant issued on March 19, 2024</w:t>
              </w:r>
            </w:hyperlink>
            <w:r>
              <w:rPr>
                <w:rFonts w:ascii="Times New Roman;Times;serif" w:hAnsi="Times New Roman;Times;serif"/>
                <w:sz w:val="20"/>
              </w:rPr>
              <w:t xml:space="preserve"> (Incorporated by reference to the appropriate Exhibit to the Current Report on Form 8-K, which was filed with the SEC on March 19, 2024)</w:t>
            </w:r>
          </w:p>
        </w:tc>
      </w:tr>
      <w:tr>
        <w:trPr/>
        <w:tc>
          <w:tcPr>
            <w:tcW w:w="81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Common Stock Warrant issued on December 31, 2024</w:t>
              </w:r>
            </w:hyperlink>
            <w:r>
              <w:rPr>
                <w:rFonts w:ascii="Times New Roman;Times;serif" w:hAnsi="Times New Roman;Times;serif"/>
                <w:sz w:val="20"/>
              </w:rPr>
              <w:t xml:space="preserve"> (Incorporated by reference to the appropriate Exhibit to the Current Report on Form 8-K, which was filed with the SEC on December 16, 2024)</w:t>
            </w:r>
          </w:p>
        </w:tc>
      </w:tr>
      <w:tr>
        <w:trPr/>
        <w:tc>
          <w:tcPr>
            <w:tcW w:w="81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UTG Warrant</w:t>
              </w:r>
            </w:hyperlink>
            <w:r>
              <w:rPr>
                <w:rFonts w:ascii="Times New Roman;Times;serif" w:hAnsi="Times New Roman;Times;serif"/>
                <w:sz w:val="20"/>
              </w:rPr>
              <w:t xml:space="preserve"> (Incorporated by reference to the appropriate Exhibit to the Current Report on Form 8-K, which was filed with the SEC on April 24, 2025)</w:t>
            </w:r>
          </w:p>
        </w:tc>
      </w:tr>
      <w:tr>
        <w:trPr/>
        <w:tc>
          <w:tcPr>
            <w:tcW w:w="81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Form of Restore Warrant</w:t>
              </w:r>
            </w:hyperlink>
            <w:r>
              <w:rPr>
                <w:rFonts w:ascii="Times New Roman;Times;serif" w:hAnsi="Times New Roman;Times;serif"/>
                <w:sz w:val="20"/>
              </w:rPr>
              <w:t xml:space="preserve"> (Incorporated by reference to the appropriate Exhibit to the Current Report on Form 8-K, which was filed with the SEC on April 24, 2025)</w:t>
            </w:r>
          </w:p>
        </w:tc>
      </w:tr>
      <w:tr>
        <w:trPr/>
        <w:tc>
          <w:tcPr>
            <w:tcW w:w="81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Restore Warrant Amendment</w:t>
              </w:r>
            </w:hyperlink>
            <w:r>
              <w:rPr>
                <w:rFonts w:ascii="Times New Roman;Times;serif" w:hAnsi="Times New Roman;Times;serif"/>
                <w:sz w:val="20"/>
              </w:rPr>
              <w:t xml:space="preserve"> (Incorporated by reference to the appropriate Exhibit to the Current Report on Form 8-K, which was filed with the SEC on April 24, 2025)</w:t>
            </w:r>
          </w:p>
        </w:tc>
      </w:tr>
      <w:tr>
        <w:trPr/>
        <w:tc>
          <w:tcPr>
            <w:tcW w:w="8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Form of FEAC Warrant Amendment</w:t>
              </w:r>
            </w:hyperlink>
            <w:r>
              <w:rPr>
                <w:rFonts w:ascii="Times New Roman;Times;serif" w:hAnsi="Times New Roman;Times;serif"/>
                <w:sz w:val="20"/>
              </w:rPr>
              <w:t xml:space="preserve"> (Incorporated by reference to the appropriate Exhibit to the Current Report on Form 8-K, which was filed with the SEC on April 24, 2025)</w:t>
            </w:r>
          </w:p>
        </w:tc>
      </w:tr>
      <w:tr>
        <w:trPr/>
        <w:tc>
          <w:tcPr>
            <w:tcW w:w="8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Form of Placement Agent’s Warrants issued on August 1, 2025</w:t>
              </w:r>
            </w:hyperlink>
            <w:r>
              <w:rPr>
                <w:rFonts w:ascii="Times New Roman;Times;serif" w:hAnsi="Times New Roman;Times;serif"/>
                <w:sz w:val="20"/>
              </w:rPr>
              <w:t xml:space="preserve"> (Incorporated by reference to the appropriate Exhibit to the Current Report on Form 8-K, which was filed with the SEC on August 7, 2025)</w:t>
            </w:r>
          </w:p>
        </w:tc>
      </w:tr>
      <w:tr>
        <w:trPr/>
        <w:tc>
          <w:tcPr>
            <w:tcW w:w="8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8"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109"/>
        <w:gridCol w:w="9615"/>
      </w:tblGrid>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4.12</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Warrant issued on December 18, 2025</w:t>
              </w:r>
            </w:hyperlink>
            <w:r>
              <w:rPr>
                <w:rFonts w:ascii="Times New Roman;Times;serif" w:hAnsi="Times New Roman;Times;serif"/>
                <w:sz w:val="20"/>
              </w:rPr>
              <w:t xml:space="preserve"> (Incorporated by reference to the appropriate Exhibit to the Current Report on Form 8-K, which was filed with the SEC on December 19, 2025)</w:t>
            </w:r>
          </w:p>
        </w:tc>
      </w:tr>
      <w:tr>
        <w:trPr/>
        <w:tc>
          <w:tcPr>
            <w:tcW w:w="4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Pre-Funded Warrant issued on December 18, 2025</w:t>
              </w:r>
            </w:hyperlink>
            <w:r>
              <w:rPr>
                <w:rFonts w:ascii="Times New Roman;Times;serif" w:hAnsi="Times New Roman;Times;serif"/>
                <w:sz w:val="20"/>
              </w:rPr>
              <w:t xml:space="preserve"> (Incorporated by reference to the appropriate Exhibit to the Current Report on Form 8-K, which was filed with the SEC on December 19, 2025)</w:t>
            </w:r>
          </w:p>
        </w:tc>
      </w:tr>
      <w:tr>
        <w:trPr/>
        <w:tc>
          <w:tcPr>
            <w:tcW w:w="481"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615"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4.14</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Form of Placement Agent Warrant issued on December 18, 2025</w:t>
              </w:r>
            </w:hyperlink>
            <w:r>
              <w:rPr>
                <w:rFonts w:ascii="Times New Roman;Times;serif" w:hAnsi="Times New Roman;Times;serif"/>
                <w:sz w:val="20"/>
              </w:rPr>
              <w:t xml:space="preserve"> (Incorporated by reference to the appropriate Exhibit to the Current Report on Form 8-K, which was filed with the SEC on December 19, 2025)</w:t>
            </w:r>
          </w:p>
        </w:tc>
      </w:tr>
      <w:tr>
        <w:trPr/>
        <w:tc>
          <w:tcPr>
            <w:tcW w:w="481"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615"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Amended and Restated Voting Agreement between Xcel Brands, Inc. and IM Ready-Made, LLC, dated as of December 24, 2013</w:t>
              </w:r>
            </w:hyperlink>
            <w:r>
              <w:rPr>
                <w:rFonts w:ascii="Times New Roman;Times;serif" w:hAnsi="Times New Roman;Times;serif"/>
                <w:sz w:val="20"/>
              </w:rPr>
              <w:t xml:space="preserve"> (Incorporated by reference to the appropriate Exhibit to the Current Report on Form 8-K, which was filed with the SEC on December 24, 2013)</w:t>
            </w:r>
          </w:p>
        </w:tc>
      </w:tr>
      <w:tr>
        <w:trPr/>
        <w:tc>
          <w:tcPr>
            <w:tcW w:w="481"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615"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9.2</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Voting Agreement between Xcel Brands, Inc. and Judith Ripka Berk, dated as of April 3, 2014</w:t>
              </w:r>
            </w:hyperlink>
            <w:r>
              <w:rPr>
                <w:rFonts w:ascii="Times New Roman;Times;serif" w:hAnsi="Times New Roman;Times;serif"/>
                <w:sz w:val="20"/>
              </w:rPr>
              <w:t xml:space="preserve"> (Incorporated by reference to the appropriate Exhibit to the Current Report on Form 8-K, which was filed with the SEC on April 9, 2014)</w:t>
            </w:r>
          </w:p>
        </w:tc>
      </w:tr>
      <w:tr>
        <w:trPr/>
        <w:tc>
          <w:tcPr>
            <w:tcW w:w="481"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615"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9.3</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Voting Agreement dated as of December 22, 2014 by and between Xcel Brands, Inc. and H Company IP, LLC</w:t>
              </w:r>
            </w:hyperlink>
            <w:r>
              <w:rPr>
                <w:rFonts w:ascii="Times New Roman;Times;serif" w:hAnsi="Times New Roman;Times;serif"/>
                <w:sz w:val="20"/>
              </w:rPr>
              <w:t xml:space="preserve"> (Incorporated by reference to the appropriate Exhibit to the Current Report on Form 8-K, which was filed with the SEC on December 24, 2014)</w:t>
            </w:r>
          </w:p>
        </w:tc>
      </w:tr>
      <w:tr>
        <w:trPr/>
        <w:tc>
          <w:tcPr>
            <w:tcW w:w="481"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615"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Form of Voting Agreement dated as of February 11, 2019</w:t>
              </w:r>
            </w:hyperlink>
            <w:r>
              <w:rPr>
                <w:rFonts w:ascii="Times New Roman;Times;serif" w:hAnsi="Times New Roman;Times;serif"/>
                <w:sz w:val="20"/>
              </w:rPr>
              <w:t xml:space="preserve"> (Incorporated by reference to the appropriate exhibit to the Current Report on Form 8-K, which was filed with the SEC on February 15, 2019)</w:t>
            </w:r>
          </w:p>
        </w:tc>
      </w:tr>
      <w:tr>
        <w:trPr/>
        <w:tc>
          <w:tcPr>
            <w:tcW w:w="4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Sublease Agreement, dated as of July 8, 2015, by and between Xcel Brands, Inc. and GBG USA Inc.</w:t>
              </w:r>
            </w:hyperlink>
            <w:r>
              <w:rPr>
                <w:rFonts w:ascii="Times New Roman;Times;serif" w:hAnsi="Times New Roman;Times;serif"/>
                <w:sz w:val="20"/>
              </w:rPr>
              <w:t xml:space="preserve"> (Incorporated by reference to the appropriate Exhibit to the Current Report on Form 8-K, which was filed with the SEC on July 14, 2015)</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Employment Agreement between the Company and James Haran dated February 27, 2019</w:t>
              </w:r>
            </w:hyperlink>
            <w:r>
              <w:rPr>
                <w:rFonts w:ascii="Times New Roman;Times;serif" w:hAnsi="Times New Roman;Times;serif"/>
                <w:sz w:val="20"/>
              </w:rPr>
              <w:t xml:space="preserve"> (Incorporated by reference to the appropriate Exhibit to the Annual Report on Form 10-K for the year ended December 31, 2020, which was filed with the SEC on April 23, 2021)</w:t>
            </w:r>
          </w:p>
        </w:tc>
      </w:tr>
      <w:tr>
        <w:trPr/>
        <w:tc>
          <w:tcPr>
            <w:tcW w:w="4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Employment Agreement between the Company and Robert D’Loren dated February 27, 2019</w:t>
              </w:r>
            </w:hyperlink>
            <w:r>
              <w:rPr>
                <w:rFonts w:ascii="Times New Roman;Times;serif" w:hAnsi="Times New Roman;Times;serif"/>
                <w:sz w:val="20"/>
              </w:rPr>
              <w:t xml:space="preserve"> (Incorporated by reference to the appropriate Exhibit to the Annual Report on Form 10-K for the year ended December 31, 2020, which was filed with the SEC on April 23, 2021)</w:t>
            </w:r>
          </w:p>
        </w:tc>
      </w:tr>
      <w:tr>
        <w:trPr/>
        <w:tc>
          <w:tcPr>
            <w:tcW w:w="4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Employment Agreement between the Company and Seth Burroughs dated February 27, 2019</w:t>
              </w:r>
            </w:hyperlink>
            <w:r>
              <w:rPr>
                <w:rFonts w:ascii="Times New Roman;Times;serif" w:hAnsi="Times New Roman;Times;serif"/>
                <w:sz w:val="20"/>
              </w:rPr>
              <w:t xml:space="preserve"> (Incorporated by reference to the appropriate Exhibit to the Annual Report on Form 10-K for the year ended December 31, 2021, which was filed with the SEC on April 15, 2022)</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Membership Interest Purchase Agreement dated May 27, 2022</w:t>
              </w:r>
            </w:hyperlink>
            <w:r>
              <w:rPr>
                <w:rFonts w:ascii="Times New Roman;Times;serif" w:hAnsi="Times New Roman;Times;serif"/>
                <w:sz w:val="20"/>
              </w:rPr>
              <w:t xml:space="preserve"> (Incorporated by reference to the appropriate Exhibit to the Current Report on Form 8-K, which was filed with the SEC on June 3, 2022)</w:t>
            </w:r>
          </w:p>
        </w:tc>
      </w:tr>
      <w:tr>
        <w:trPr/>
        <w:tc>
          <w:tcPr>
            <w:tcW w:w="481"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61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Second Amendment to Membership Interest Purchase Agreement</w:t>
              </w:r>
            </w:hyperlink>
            <w:r>
              <w:rPr>
                <w:rFonts w:ascii="Times New Roman;Times;serif" w:hAnsi="Times New Roman;Times;serif"/>
                <w:sz w:val="20"/>
              </w:rPr>
              <w:t xml:space="preserve"> (Incorporated by reference to the appropriate Exhibit to the Annual Report on Form 10-K for the period year ended December 31, 2023, which was filed with the SEC on April 19, 2024)</w:t>
            </w:r>
          </w:p>
        </w:tc>
      </w:tr>
      <w:tr>
        <w:trPr/>
        <w:tc>
          <w:tcPr>
            <w:tcW w:w="481"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61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Third Amendment to Membership Interest Purchase Agreement</w:t>
              </w:r>
            </w:hyperlink>
            <w:r>
              <w:rPr>
                <w:rFonts w:ascii="Times New Roman;Times;serif" w:hAnsi="Times New Roman;Times;serif"/>
                <w:sz w:val="20"/>
              </w:rPr>
              <w:t xml:space="preserve"> (Incorporated by reference to the appropriate Exhibit to the Annual Report on Form 10-K for the period year ended December 31, 2023, which was filed with the SEC on April 19, 2024)</w:t>
            </w:r>
          </w:p>
        </w:tc>
      </w:tr>
      <w:tr>
        <w:trPr/>
        <w:tc>
          <w:tcPr>
            <w:tcW w:w="481"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61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Subscription Agreement, dated as of March 15, 2024, by and between Robert W. D’Loren and Xcel Brands, Inc.</w:t>
              </w:r>
            </w:hyperlink>
            <w:r>
              <w:rPr>
                <w:rFonts w:ascii="Times New Roman;Times;serif" w:hAnsi="Times New Roman;Times;serif"/>
                <w:sz w:val="20"/>
              </w:rPr>
              <w:t xml:space="preserve"> (Incorporated by reference to the appropriate Exhibit to the Current Report on Form 8-K, which was filed with the SEC on March 19, 2024)</w:t>
            </w:r>
          </w:p>
        </w:tc>
      </w:tr>
      <w:tr>
        <w:trPr/>
        <w:tc>
          <w:tcPr>
            <w:tcW w:w="481"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615" w:type="dxa"/>
            <w:tcBorders/>
            <w:vAlign w:val="center"/>
          </w:tcPr>
          <w:p>
            <w:pPr>
              <w:pStyle w:val="TableContents"/>
              <w:bidi w:val="0"/>
              <w:spacing w:before="0" w:after="0"/>
              <w:ind w:left="0" w:right="0" w:hanging="0"/>
              <w:jc w:val="left"/>
              <w:rPr>
                <w:shd w:fill="FFFF00" w:val="clear"/>
              </w:rPr>
            </w:pPr>
            <w:r>
              <w:rPr>
                <w:shd w:fill="FFFF00" w:val="clea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Subscription Agreement, dated as of March 15, 2024, by and between Seth Burroughs and Xcel Brands, Inc.</w:t>
              </w:r>
            </w:hyperlink>
            <w:r>
              <w:rPr>
                <w:rFonts w:ascii="Times New Roman;Times;serif" w:hAnsi="Times New Roman;Times;serif"/>
                <w:sz w:val="20"/>
              </w:rPr>
              <w:t xml:space="preserve"> (Incorporated by reference to the appropriate Exhibit to the Current Report on Form 8-K, which was filed with the SEC on March 19, 2024)</w:t>
            </w:r>
          </w:p>
        </w:tc>
      </w:tr>
      <w:tr>
        <w:trPr/>
        <w:tc>
          <w:tcPr>
            <w:tcW w:w="58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Subscription Agreement, dated as of March 15, 2024, by and between Mark X. DiSanto Investment Trust and Xcel Brands, Inc.</w:t>
              </w:r>
            </w:hyperlink>
            <w:r>
              <w:rPr>
                <w:rFonts w:ascii="Times New Roman;Times;serif" w:hAnsi="Times New Roman;Times;serif"/>
                <w:sz w:val="20"/>
              </w:rPr>
              <w:t xml:space="preserve"> (Incorporated by reference to the appropriate Exhibit to the Current Report on Form 8-K, which was filed with the SEC on March 19, 2024)</w:t>
            </w:r>
          </w:p>
        </w:tc>
      </w:tr>
      <w:tr>
        <w:trPr/>
        <w:tc>
          <w:tcPr>
            <w:tcW w:w="58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Asset Purchase Agreement dated June 21, 2024</w:t>
              </w:r>
            </w:hyperlink>
            <w:r>
              <w:rPr>
                <w:rFonts w:ascii="Times New Roman;Times;serif" w:hAnsi="Times New Roman;Times;serif"/>
                <w:sz w:val="20"/>
              </w:rPr>
              <w:t xml:space="preserve"> (Incorporated by reference to the appropriate Exhibit to the Current Report on Form 8-K, which was filed with the SEC on June 24, 2024)</w:t>
            </w:r>
          </w:p>
        </w:tc>
      </w:tr>
      <w:tr>
        <w:trPr/>
        <w:tc>
          <w:tcPr>
            <w:tcW w:w="58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Amendment to Employment Agreement between the Company and Robert D’Loren</w:t>
              </w:r>
            </w:hyperlink>
            <w:r>
              <w:rPr>
                <w:rFonts w:ascii="Times New Roman;Times;serif" w:hAnsi="Times New Roman;Times;serif"/>
                <w:sz w:val="20"/>
              </w:rPr>
              <w:t xml:space="preserve"> (Incorporated by reference to the appropriate Exhibit to the Current Report on Form 8-K, which was filed with the SEC on August 2, 2024)</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Amendment to Employment Agreement between the Company and Seth Burroughs</w:t>
              </w:r>
            </w:hyperlink>
            <w:r>
              <w:rPr>
                <w:rFonts w:ascii="Times New Roman;Times;serif" w:hAnsi="Times New Roman;Times;serif"/>
                <w:sz w:val="20"/>
              </w:rPr>
              <w:t xml:space="preserve"> (Incorporated by reference to the appropriate Exhibit to the Current Report on Form 8-K, which was filed with the SEC on August 2, 2024)</w:t>
            </w:r>
          </w:p>
        </w:tc>
      </w:tr>
      <w:tr>
        <w:trPr/>
        <w:tc>
          <w:tcPr>
            <w:tcW w:w="58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Loan and Security Agreement dated as of December 12, 2024</w:t>
              </w:r>
            </w:hyperlink>
            <w:r>
              <w:rPr>
                <w:rFonts w:ascii="Times New Roman;Times;serif" w:hAnsi="Times New Roman;Times;serif"/>
                <w:sz w:val="20"/>
              </w:rPr>
              <w:t xml:space="preserve"> (Incorporated by reference to the appropriate Exhibit to the Current Report on Form 8-K, which was filed with the SEC on December 16, 2024)</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Membership Pledge Agreement dated as of December 12, 2024</w:t>
              </w:r>
            </w:hyperlink>
            <w:r>
              <w:rPr>
                <w:rFonts w:ascii="Times New Roman;Times;serif" w:hAnsi="Times New Roman;Times;serif"/>
                <w:sz w:val="20"/>
              </w:rPr>
              <w:t xml:space="preserve"> (Incorporated by reference to the appropriate Exhibit to the Current Report on Form 8-K, which was filed with the SEC on December 16, 2024)</w:t>
            </w:r>
          </w:p>
        </w:tc>
      </w:tr>
      <w:tr>
        <w:trPr/>
        <w:tc>
          <w:tcPr>
            <w:tcW w:w="58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Membership Interest Transfer Agreement effective as of April 15, 2025</w:t>
              </w:r>
            </w:hyperlink>
            <w:r>
              <w:rPr>
                <w:rFonts w:ascii="Times New Roman;Times;serif" w:hAnsi="Times New Roman;Times;serif"/>
                <w:sz w:val="20"/>
              </w:rPr>
              <w:t xml:space="preserve"> (Incorporated by reference to the appropriate Exhibit to the Current Report on Form 8-K, which was filed with the SEC on April 24, 2025)</w:t>
            </w:r>
          </w:p>
        </w:tc>
      </w:tr>
      <w:tr>
        <w:trPr/>
        <w:tc>
          <w:tcPr>
            <w:tcW w:w="58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Second Amendment to Loan and Security Agreement, dated as of April 21, 2025</w:t>
              </w:r>
            </w:hyperlink>
            <w:r>
              <w:rPr>
                <w:rFonts w:ascii="Times New Roman;Times;serif" w:hAnsi="Times New Roman;Times;serif"/>
                <w:sz w:val="20"/>
              </w:rPr>
              <w:t xml:space="preserve"> (Incorporated by reference to the appropriate Exhibit to the Current Report on Form 8-K, which was filed with the SEC on April 24, 2025)</w:t>
            </w:r>
          </w:p>
        </w:tc>
      </w:tr>
      <w:tr>
        <w:trPr/>
        <w:tc>
          <w:tcPr>
            <w:tcW w:w="58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Board Nominee Agreement by and between the Company and UTG dated April 21, 2025</w:t>
              </w:r>
            </w:hyperlink>
            <w:r>
              <w:rPr>
                <w:rFonts w:ascii="Times New Roman;Times;serif" w:hAnsi="Times New Roman;Times;serif"/>
                <w:sz w:val="20"/>
              </w:rPr>
              <w:t xml:space="preserve"> (Incorporated by reference to the appropriate Exhibit to the Current Report on Form 8-K, which was filed with the SEC on April 24, 2025)</w:t>
            </w:r>
          </w:p>
        </w:tc>
      </w:tr>
      <w:tr>
        <w:trPr/>
        <w:tc>
          <w:tcPr>
            <w:tcW w:w="58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Support Agreement dated April 21, 2025</w:t>
              </w:r>
            </w:hyperlink>
            <w:r>
              <w:rPr>
                <w:rFonts w:ascii="Times New Roman;Times;serif" w:hAnsi="Times New Roman;Times;serif"/>
                <w:sz w:val="20"/>
              </w:rPr>
              <w:t xml:space="preserve"> (Incorporated by reference to the appropriate Exhibit to the Current Report on Form 8-K, which was filed with the SEC on April 24, 2025)</w:t>
            </w:r>
          </w:p>
        </w:tc>
      </w:tr>
      <w:tr>
        <w:trPr/>
        <w:tc>
          <w:tcPr>
            <w:tcW w:w="586"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Form of Securities Purchase Agreement</w:t>
              </w:r>
            </w:hyperlink>
            <w:r>
              <w:rPr>
                <w:rFonts w:ascii="Times New Roman;Times;serif" w:hAnsi="Times New Roman;Times;serif"/>
                <w:sz w:val="20"/>
              </w:rPr>
              <w:t xml:space="preserve"> (Incorporated by reference to the appropriate Exhibit to the Registration Statement on Form S-1, which was filed with the SEC on July 2, 2025)</w:t>
            </w:r>
          </w:p>
        </w:tc>
      </w:tr>
      <w:tr>
        <w:trPr/>
        <w:tc>
          <w:tcPr>
            <w:tcW w:w="58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Subscription Agreement, dated as of August 1, 2025, by and between Xcel Brands, Inc., and Robert W. D’Loren</w:t>
              </w:r>
            </w:hyperlink>
            <w:r>
              <w:rPr>
                <w:rFonts w:ascii="Times New Roman;Times;serif" w:hAnsi="Times New Roman;Times;serif"/>
                <w:sz w:val="20"/>
              </w:rPr>
              <w:t xml:space="preserve"> (Incorporated by reference to the appropriate Exhibit to the Current Report on Form 8-K, which was filed with the SEC on August 7, 2025)</w:t>
            </w:r>
          </w:p>
        </w:tc>
      </w:tr>
      <w:tr>
        <w:trPr/>
        <w:tc>
          <w:tcPr>
            <w:tcW w:w="58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Subscription Agreement, dated as of August 1, 2025, by and between Xcel Brands, Inc. and Mark DiSanto</w:t>
              </w:r>
            </w:hyperlink>
            <w:r>
              <w:rPr>
                <w:rFonts w:ascii="Times New Roman;Times;serif" w:hAnsi="Times New Roman;Times;serif"/>
                <w:sz w:val="20"/>
              </w:rPr>
              <w:t xml:space="preserve"> (Incorporated by reference to the appropriate Exhibit to the Current Report on Form 8-K, which was filed with the SEC on August 7, 2025)</w:t>
            </w:r>
          </w:p>
        </w:tc>
      </w:tr>
      <w:tr>
        <w:trPr/>
        <w:tc>
          <w:tcPr>
            <w:tcW w:w="586"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both"/>
              <w:rPr/>
            </w:pPr>
            <w:r>
              <w:rPr/>
              <w:t>​</w:t>
            </w:r>
          </w:p>
        </w:tc>
        <w:tc>
          <w:tcPr>
            <w:tcW w:w="9510" w:type="dxa"/>
            <w:tcBorders/>
            <w:vAlign w:val="center"/>
          </w:tcPr>
          <w:p>
            <w:pPr>
              <w:pStyle w:val="TableContents"/>
              <w:bidi w:val="0"/>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Form of Securities Purchase Agreement, by and between Xcel Brands, Inc., and the purchasers identified on the signature pages thereto</w:t>
              </w:r>
            </w:hyperlink>
            <w:r>
              <w:rPr>
                <w:rFonts w:ascii="Times New Roman;Times;serif" w:hAnsi="Times New Roman;Times;serif"/>
                <w:sz w:val="20"/>
              </w:rPr>
              <w:t xml:space="preserve"> (Incorporated by reference to the appropriate Exhibit to the Current Report on Form 8-K, which was filed with the SEC on August 7, 2025)</w:t>
            </w:r>
          </w:p>
        </w:tc>
      </w:tr>
      <w:tr>
        <w:trPr/>
        <w:tc>
          <w:tcPr>
            <w:tcW w:w="586"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shd w:fill="FFFF00" w:val="clear"/>
              </w:rPr>
            </w:pPr>
            <w:r>
              <w:rPr>
                <w:shd w:fill="FFFF00" w:val="clea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6"/>
        <w:gridCol w:w="109"/>
        <w:gridCol w:w="9420"/>
      </w:tblGrid>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Membership Interest Transfer Agreement, dated September 25, 2025, by and among IMWHP, LLC, IMWHP2, LLC, and Xcel Brands, Inc.</w:t>
              </w:r>
            </w:hyperlink>
            <w:r>
              <w:rPr>
                <w:rFonts w:ascii="Times New Roman;Times;serif" w:hAnsi="Times New Roman;Times;serif"/>
                <w:sz w:val="20"/>
              </w:rPr>
              <w:t xml:space="preserve"> (Incorporated by reference to the appropriate Exhibit to the Current Report on Form 8-K, which was filed with the SEC on October 2, 2025)</w:t>
            </w:r>
          </w:p>
        </w:tc>
      </w:tr>
      <w:tr>
        <w:trPr/>
        <w:tc>
          <w:tcPr>
            <w:tcW w:w="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47">
              <w:r>
                <w:rPr>
                  <w:rStyle w:val="InternetLink"/>
                  <w:rFonts w:ascii="Times New Roman;Times;serif" w:hAnsi="Times New Roman;Times;serif"/>
                  <w:b w:val="false"/>
                  <w:i w:val="false"/>
                  <w:caps w:val="false"/>
                  <w:smallCaps w:val="false"/>
                  <w:sz w:val="20"/>
                </w:rPr>
                <w:t>Settlement Agreement, dated September 25, 2025, by and among IM Topco, LLC, IMWHP, LLC, IMWHP2, LLC, Xcel Brands, Inc., Xcel-CT MFG, LLC and IM Brands, LLC</w:t>
              </w:r>
            </w:hyperlink>
            <w:r>
              <w:rPr>
                <w:rFonts w:ascii="Times New Roman;Times;serif" w:hAnsi="Times New Roman;Times;serif"/>
                <w:sz w:val="20"/>
              </w:rPr>
              <w:t xml:space="preserve"> (Incorporated by reference to the appropriate Exhibit to the Current Report on Form 8-K, which was filed with the SEC on October 2, 2025)</w:t>
            </w:r>
          </w:p>
        </w:tc>
      </w:tr>
      <w:tr>
        <w:trPr/>
        <w:tc>
          <w:tcPr>
            <w:tcW w:w="67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42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48">
              <w:r>
                <w:rPr>
                  <w:rStyle w:val="InternetLink"/>
                  <w:rFonts w:ascii="Times New Roman;Times;serif" w:hAnsi="Times New Roman;Times;serif"/>
                  <w:b w:val="false"/>
                  <w:i w:val="false"/>
                  <w:caps w:val="false"/>
                  <w:smallCaps w:val="false"/>
                  <w:sz w:val="20"/>
                </w:rPr>
                <w:t>Third Amendment to Loan and Security Agreement, dated as of October 7, 2025</w:t>
              </w:r>
            </w:hyperlink>
            <w:r>
              <w:rPr>
                <w:rFonts w:ascii="Times New Roman;Times;serif" w:hAnsi="Times New Roman;Times;serif"/>
                <w:sz w:val="20"/>
              </w:rPr>
              <w:t xml:space="preserve"> (Incorporated by reference to the appropriate Exhibit to the Current Report on Form 8-K, which was filed with the SEC on October 10, 2025)</w:t>
            </w:r>
          </w:p>
        </w:tc>
      </w:tr>
      <w:tr>
        <w:trPr/>
        <w:tc>
          <w:tcPr>
            <w:tcW w:w="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Fourth Amendment and Consent to Loan and Security Agreement, dated as of November 18, 2025</w:t>
              </w:r>
            </w:hyperlink>
            <w:r>
              <w:rPr>
                <w:rFonts w:ascii="Times New Roman;Times;serif" w:hAnsi="Times New Roman;Times;serif"/>
                <w:sz w:val="20"/>
              </w:rPr>
              <w:t xml:space="preserve"> (Incorporated by reference to the appropriate Exhibit to the Registration Statement on Form S-1, which was filed with the SEC on February 4, 2026)</w:t>
            </w:r>
          </w:p>
        </w:tc>
      </w:tr>
      <w:tr>
        <w:trPr/>
        <w:tc>
          <w:tcPr>
            <w:tcW w:w="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50">
              <w:r>
                <w:rPr>
                  <w:rStyle w:val="InternetLink"/>
                  <w:rFonts w:ascii="Times New Roman;Times;serif" w:hAnsi="Times New Roman;Times;serif"/>
                  <w:b w:val="false"/>
                  <w:i w:val="false"/>
                  <w:caps w:val="false"/>
                  <w:smallCaps w:val="false"/>
                  <w:sz w:val="20"/>
                </w:rPr>
                <w:t>Form of Securities Purchase Agreement</w:t>
              </w:r>
            </w:hyperlink>
            <w:r>
              <w:rPr>
                <w:rFonts w:ascii="Times New Roman;Times;serif" w:hAnsi="Times New Roman;Times;serif"/>
                <w:sz w:val="20"/>
              </w:rPr>
              <w:t xml:space="preserve"> (Incorporated by reference to the appropriate Exhibit to the Current Report on Form 8-K, which was filed with the SEC on December 19, 2025)</w:t>
            </w:r>
          </w:p>
        </w:tc>
      </w:tr>
      <w:tr>
        <w:trPr/>
        <w:tc>
          <w:tcPr>
            <w:tcW w:w="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51">
              <w:r>
                <w:rPr>
                  <w:rStyle w:val="InternetLink"/>
                  <w:rFonts w:ascii="Times New Roman;Times;serif" w:hAnsi="Times New Roman;Times;serif"/>
                  <w:b w:val="false"/>
                  <w:i w:val="false"/>
                  <w:caps w:val="false"/>
                  <w:smallCaps w:val="false"/>
                  <w:sz w:val="20"/>
                </w:rPr>
                <w:t>Placement Agency Agreement</w:t>
              </w:r>
            </w:hyperlink>
            <w:r>
              <w:rPr>
                <w:rFonts w:ascii="Times New Roman;Times;serif" w:hAnsi="Times New Roman;Times;serif"/>
                <w:sz w:val="20"/>
              </w:rPr>
              <w:t xml:space="preserve"> (Incorporated by reference to the appropriate Exhibit to the Current Report on Form 8-K, which was filed with the SEC on December 19, 2025)</w:t>
            </w:r>
          </w:p>
        </w:tc>
      </w:tr>
      <w:tr>
        <w:trPr/>
        <w:tc>
          <w:tcPr>
            <w:tcW w:w="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52">
              <w:r>
                <w:rPr>
                  <w:rStyle w:val="InternetLink"/>
                  <w:rFonts w:ascii="Times New Roman;Times;serif" w:hAnsi="Times New Roman;Times;serif"/>
                  <w:b w:val="false"/>
                  <w:i w:val="false"/>
                  <w:caps w:val="false"/>
                  <w:smallCaps w:val="false"/>
                  <w:sz w:val="20"/>
                </w:rPr>
                <w:t>Common Stock Purchase Agreement entered into effective January 21, 2026 by and between the Company and White Lion Capital, LLC</w:t>
              </w:r>
            </w:hyperlink>
            <w:r>
              <w:rPr>
                <w:rFonts w:ascii="Times New Roman;Times;serif" w:hAnsi="Times New Roman;Times;serif"/>
                <w:sz w:val="20"/>
              </w:rPr>
              <w:t xml:space="preserve"> (Incorporated by reference to the appropriate Exhibit to the Current Report on Form 8-K, which was filed with the SEC on January 23, 2026)</w:t>
            </w:r>
          </w:p>
        </w:tc>
      </w:tr>
      <w:tr>
        <w:trPr/>
        <w:tc>
          <w:tcPr>
            <w:tcW w:w="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10.31</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53">
              <w:r>
                <w:rPr>
                  <w:rStyle w:val="InternetLink"/>
                  <w:rFonts w:ascii="Times New Roman;Times;serif" w:hAnsi="Times New Roman;Times;serif"/>
                  <w:b w:val="false"/>
                  <w:i w:val="false"/>
                  <w:caps w:val="false"/>
                  <w:smallCaps w:val="false"/>
                  <w:sz w:val="20"/>
                </w:rPr>
                <w:t>Registration Rights Agreement entered into effective January 21, 2026 by and between the Company and White Lion Capital, LLC</w:t>
              </w:r>
            </w:hyperlink>
            <w:r>
              <w:rPr>
                <w:rFonts w:ascii="Times New Roman;Times;serif" w:hAnsi="Times New Roman;Times;serif"/>
                <w:sz w:val="20"/>
              </w:rPr>
              <w:t xml:space="preserve"> (Incorporated by reference to the appropriate Exhibit to the Current Report on Form 8-K, which was filed with the SEC on January 23, 2026)</w:t>
            </w:r>
          </w:p>
        </w:tc>
      </w:tr>
      <w:tr>
        <w:trPr/>
        <w:tc>
          <w:tcPr>
            <w:tcW w:w="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54">
              <w:r>
                <w:rPr>
                  <w:rStyle w:val="InternetLink"/>
                  <w:rFonts w:ascii="Times New Roman;Times;serif" w:hAnsi="Times New Roman;Times;serif"/>
                  <w:b w:val="false"/>
                  <w:i w:val="false"/>
                  <w:caps w:val="false"/>
                  <w:smallCaps w:val="false"/>
                  <w:sz w:val="20"/>
                </w:rPr>
                <w:t>Fifth Amendment to Loan and Security Agreement, dated as of February 20, 2025</w:t>
              </w:r>
            </w:hyperlink>
            <w:r>
              <w:rPr>
                <w:rFonts w:ascii="Times New Roman;Times;serif" w:hAnsi="Times New Roman;Times;serif"/>
                <w:sz w:val="20"/>
              </w:rPr>
              <w:t xml:space="preserve"> (Incorporated by reference to the appropriate Exhibit to the Current Report on Form 8-K, which was filed with the SEC on February 24, 2026)</w:t>
            </w:r>
          </w:p>
        </w:tc>
      </w:tr>
      <w:tr>
        <w:trPr/>
        <w:tc>
          <w:tcPr>
            <w:tcW w:w="67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42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55">
              <w:r>
                <w:rPr>
                  <w:rStyle w:val="InternetLink"/>
                  <w:rFonts w:ascii="Times New Roman;Times;serif" w:hAnsi="Times New Roman;Times;serif"/>
                  <w:b w:val="false"/>
                  <w:i w:val="false"/>
                  <w:caps w:val="false"/>
                  <w:smallCaps w:val="false"/>
                  <w:sz w:val="20"/>
                </w:rPr>
                <w:t>Subsidiaries of the Registrant</w:t>
              </w:r>
            </w:hyperlink>
            <w:r>
              <w:rPr>
                <w:rFonts w:ascii="Times New Roman;Times;serif" w:hAnsi="Times New Roman;Times;serif"/>
                <w:sz w:val="20"/>
              </w:rPr>
              <w:t xml:space="preserve"> (Incorporated by reference to the appropriate Exhibit to the Annual Report on Form 10-K for the period year ended December 31, 2023, which was filed with the SEC on April 19, 2024)</w:t>
            </w:r>
          </w:p>
        </w:tc>
      </w:tr>
      <w:tr>
        <w:trPr/>
        <w:tc>
          <w:tcPr>
            <w:tcW w:w="67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420"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hyperlink w:anchor="xelb-20251231xex23d1.htm">
              <w:r>
                <w:rPr>
                  <w:rStyle w:val="InternetLink"/>
                  <w:rFonts w:ascii="Times New Roman;Times;serif" w:hAnsi="Times New Roman;Times;serif"/>
                  <w:b w:val="false"/>
                  <w:i w:val="false"/>
                  <w:caps w:val="false"/>
                  <w:smallCaps w:val="false"/>
                  <w:sz w:val="20"/>
                </w:rPr>
                <w:t>Independent Registered Public Accounting Firm’s Consent</w:t>
              </w:r>
            </w:hyperlink>
          </w:p>
        </w:tc>
      </w:tr>
      <w:tr>
        <w:trPr/>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hyperlink w:anchor="xelb-20251231xex23d2.htm">
              <w:r>
                <w:rPr>
                  <w:rStyle w:val="InternetLink"/>
                  <w:rFonts w:ascii="Times New Roman;Times;serif" w:hAnsi="Times New Roman;Times;serif"/>
                  <w:b w:val="false"/>
                  <w:i w:val="false"/>
                  <w:caps w:val="false"/>
                  <w:smallCaps w:val="false"/>
                  <w:sz w:val="20"/>
                </w:rPr>
                <w:t>Independent Registered Public Accounting Firm’s Consent</w:t>
              </w:r>
            </w:hyperlink>
          </w:p>
        </w:tc>
      </w:tr>
      <w:tr>
        <w:trPr/>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31(i).1*</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hyperlink w:anchor="xelb-20251231xex31d1.htm">
              <w:r>
                <w:rPr>
                  <w:rStyle w:val="InternetLink"/>
                  <w:rFonts w:ascii="Times New Roman;Times;serif" w:hAnsi="Times New Roman;Times;serif"/>
                  <w:b w:val="false"/>
                  <w:i w:val="false"/>
                  <w:caps w:val="false"/>
                  <w:smallCaps w:val="false"/>
                  <w:sz w:val="20"/>
                </w:rPr>
                <w:t>Rule 13a-14(a)/15d-14(a) Certification (CEO)</w:t>
              </w:r>
            </w:hyperlink>
          </w:p>
        </w:tc>
      </w:tr>
      <w:tr>
        <w:trPr/>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31(i).2*</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hyperlink w:anchor="xelb-20251231xex31d2.htm">
              <w:r>
                <w:rPr>
                  <w:rStyle w:val="InternetLink"/>
                  <w:rFonts w:ascii="Times New Roman;Times;serif" w:hAnsi="Times New Roman;Times;serif"/>
                  <w:b w:val="false"/>
                  <w:i w:val="false"/>
                  <w:caps w:val="false"/>
                  <w:smallCaps w:val="false"/>
                  <w:sz w:val="20"/>
                </w:rPr>
                <w:t>Rule 13a-14(a)/15d-14(a) Certification (CFO)</w:t>
              </w:r>
            </w:hyperlink>
          </w:p>
        </w:tc>
      </w:tr>
      <w:tr>
        <w:trPr/>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32(i).1*</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hyperlink w:anchor="xelb-20251231xex32d1.htm">
              <w:r>
                <w:rPr>
                  <w:rStyle w:val="InternetLink"/>
                  <w:rFonts w:ascii="Times New Roman;Times;serif" w:hAnsi="Times New Roman;Times;serif"/>
                  <w:b w:val="false"/>
                  <w:i w:val="false"/>
                  <w:caps w:val="false"/>
                  <w:smallCaps w:val="false"/>
                  <w:sz w:val="20"/>
                </w:rPr>
                <w:t>Section 1350 Certification (CEO)</w:t>
              </w:r>
            </w:hyperlink>
          </w:p>
        </w:tc>
      </w:tr>
      <w:tr>
        <w:trPr/>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32(i).2*</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hyperlink w:anchor="xelb-20251231xex32d2.htm">
              <w:r>
                <w:rPr>
                  <w:rStyle w:val="InternetLink"/>
                  <w:rFonts w:ascii="Times New Roman;Times;serif" w:hAnsi="Times New Roman;Times;serif"/>
                  <w:b w:val="false"/>
                  <w:i w:val="false"/>
                  <w:caps w:val="false"/>
                  <w:smallCaps w:val="false"/>
                  <w:sz w:val="20"/>
                </w:rPr>
                <w:t>Section 1350 Certification (CFO)</w:t>
              </w:r>
            </w:hyperlink>
          </w:p>
        </w:tc>
      </w:tr>
      <w:tr>
        <w:trPr/>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both"/>
              <w:rPr/>
            </w:pPr>
            <w:r>
              <w:rPr/>
              <w:t>​</w:t>
            </w:r>
          </w:p>
        </w:tc>
        <w:tc>
          <w:tcPr>
            <w:tcW w:w="9420" w:type="dxa"/>
            <w:tcBorders/>
            <w:vAlign w:val="center"/>
          </w:tcPr>
          <w:p>
            <w:pPr>
              <w:pStyle w:val="TableContents"/>
              <w:bidi w:val="0"/>
              <w:spacing w:before="0" w:after="0"/>
              <w:ind w:left="0" w:right="0" w:hanging="0"/>
              <w:jc w:val="both"/>
              <w:rPr/>
            </w:pPr>
            <w:hyperlink r:id="rId56">
              <w:r>
                <w:rPr>
                  <w:rStyle w:val="InternetLink"/>
                  <w:rFonts w:ascii="Times New Roman;Times;serif" w:hAnsi="Times New Roman;Times;serif"/>
                  <w:b w:val="false"/>
                  <w:i w:val="false"/>
                  <w:caps w:val="false"/>
                  <w:smallCaps w:val="false"/>
                  <w:sz w:val="20"/>
                </w:rPr>
                <w:t>Clawback Policy</w:t>
              </w:r>
            </w:hyperlink>
            <w:r>
              <w:rPr>
                <w:rFonts w:ascii="Times New Roman;Times;serif" w:hAnsi="Times New Roman;Times;serif"/>
                <w:sz w:val="20"/>
              </w:rPr>
              <w:t xml:space="preserve"> (Incorporated by reference to the appropriate Exhibit to the Annual Report on Form 10-K for the period year ended December 31, 2023, which was filed with the SEC on April 19, 2024)</w:t>
            </w:r>
          </w:p>
        </w:tc>
      </w:tr>
      <w:tr>
        <w:trPr/>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Schema</w:t>
            </w:r>
          </w:p>
        </w:tc>
      </w:tr>
    </w:tbl>
    <w:p>
      <w:pPr>
        <w:pStyle w:val="TextBody"/>
        <w:bidi w:val="0"/>
        <w:spacing w:before="0" w:after="0"/>
        <w:ind w:left="0" w:right="0" w:hanging="0"/>
        <w:jc w:val="left"/>
        <w:rPr/>
      </w:pPr>
      <w:r>
        <w:rPr/>
        <w:t>​</w:t>
      </w:r>
    </w:p>
    <w:tbl>
      <w:tblPr>
        <w:tblW w:w="8436" w:type="dxa"/>
        <w:jc w:val="left"/>
        <w:tblInd w:w="0" w:type="dxa"/>
        <w:tblLayout w:type="fixed"/>
        <w:tblCellMar>
          <w:top w:w="0" w:type="dxa"/>
          <w:left w:w="0" w:type="dxa"/>
          <w:bottom w:w="0" w:type="dxa"/>
          <w:right w:w="0" w:type="dxa"/>
        </w:tblCellMar>
      </w:tblPr>
      <w:tblGrid>
        <w:gridCol w:w="871"/>
        <w:gridCol w:w="109"/>
        <w:gridCol w:w="7456"/>
      </w:tblGrid>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Definition Linkbase</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4c4329b1_54a3_4f6b_9f9a_a6023602debe"/>
      <w:bookmarkEnd w:id="21"/>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Exchange Act, the registrant has duly caused this report to be signed on its behalf by the undersigned, thereunto duly authorized.</w:t>
      </w:r>
    </w:p>
    <w:p>
      <w:pPr>
        <w:pStyle w:val="TextBody"/>
        <w:bidi w:val="0"/>
        <w:spacing w:before="0" w:after="240"/>
        <w:ind w:left="0" w:right="0" w:hanging="0"/>
        <w:jc w:val="both"/>
        <w:rPr/>
      </w:pPr>
      <w:r>
        <w:rPr/>
        <w:t>​</w:t>
      </w:r>
    </w:p>
    <w:tbl>
      <w:tblPr>
        <w:tblW w:w="5658" w:type="dxa"/>
        <w:jc w:val="left"/>
        <w:tblInd w:w="0" w:type="dxa"/>
        <w:tblLayout w:type="fixed"/>
        <w:tblCellMar>
          <w:top w:w="0" w:type="dxa"/>
          <w:left w:w="0" w:type="dxa"/>
          <w:bottom w:w="0" w:type="dxa"/>
          <w:right w:w="0" w:type="dxa"/>
        </w:tblCellMar>
      </w:tblPr>
      <w:tblGrid>
        <w:gridCol w:w="1846"/>
        <w:gridCol w:w="346"/>
        <w:gridCol w:w="3466"/>
      </w:tblGrid>
      <w:tr>
        <w:trPr/>
        <w:tc>
          <w:tcPr>
            <w:tcW w:w="184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346" w:type="dxa"/>
            <w:tcBorders/>
            <w:vAlign w:val="center"/>
          </w:tcPr>
          <w:p>
            <w:pPr>
              <w:pStyle w:val="TableContents"/>
              <w:bidi w:val="0"/>
              <w:spacing w:before="0" w:after="22"/>
              <w:ind w:left="0" w:right="0" w:hanging="0"/>
              <w:jc w:val="left"/>
              <w:rPr/>
            </w:pPr>
            <w:r>
              <w:rPr/>
              <w:t>  ​ ​ ​</w:t>
            </w:r>
          </w:p>
        </w:tc>
        <w:tc>
          <w:tcPr>
            <w:tcW w:w="3466" w:type="dxa"/>
            <w:tcBorders>
              <w:bottom w:val="single" w:sz="2" w:space="0" w:color="000000"/>
            </w:tcBorders>
            <w:tcMar>
              <w:bottom w:w="28" w:type="dxa"/>
            </w:tcMar>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846" w:type="dxa"/>
            <w:tcBorders/>
            <w:vAlign w:val="center"/>
          </w:tcPr>
          <w:p>
            <w:pPr>
              <w:pStyle w:val="TableContents"/>
              <w:bidi w:val="0"/>
              <w:spacing w:before="0" w:after="22"/>
              <w:ind w:left="0" w:right="0" w:hanging="0"/>
              <w:jc w:val="left"/>
              <w:rPr/>
            </w:pPr>
            <w:r>
              <w:rPr/>
              <w:t> </w:t>
            </w:r>
          </w:p>
        </w:tc>
        <w:tc>
          <w:tcPr>
            <w:tcW w:w="346" w:type="dxa"/>
            <w:tcBorders/>
            <w:vAlign w:val="center"/>
          </w:tcPr>
          <w:p>
            <w:pPr>
              <w:pStyle w:val="TableContents"/>
              <w:bidi w:val="0"/>
              <w:spacing w:before="0" w:after="22"/>
              <w:ind w:left="0" w:right="0" w:hanging="0"/>
              <w:jc w:val="left"/>
              <w:rPr/>
            </w:pPr>
            <w:r>
              <w:rPr/>
              <w:t>​</w:t>
            </w:r>
          </w:p>
        </w:tc>
        <w:tc>
          <w:tcPr>
            <w:tcW w:w="346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Robert W. D’Loren, Chairman, President,</w:t>
            </w:r>
          </w:p>
        </w:tc>
      </w:tr>
      <w:tr>
        <w:trPr/>
        <w:tc>
          <w:tcPr>
            <w:tcW w:w="1846" w:type="dxa"/>
            <w:tcBorders/>
            <w:vAlign w:val="center"/>
          </w:tcPr>
          <w:p>
            <w:pPr>
              <w:pStyle w:val="TableContents"/>
              <w:bidi w:val="0"/>
              <w:spacing w:before="0" w:after="22"/>
              <w:ind w:left="0" w:right="0" w:hanging="0"/>
              <w:jc w:val="left"/>
              <w:rPr/>
            </w:pPr>
            <w:r>
              <w:rPr/>
              <w:t> </w:t>
            </w:r>
          </w:p>
        </w:tc>
        <w:tc>
          <w:tcPr>
            <w:tcW w:w="346" w:type="dxa"/>
            <w:tcBorders/>
            <w:vAlign w:val="center"/>
          </w:tcPr>
          <w:p>
            <w:pPr>
              <w:pStyle w:val="TableContents"/>
              <w:bidi w:val="0"/>
              <w:spacing w:before="0" w:after="22"/>
              <w:ind w:left="0" w:right="0" w:hanging="0"/>
              <w:jc w:val="left"/>
              <w:rPr/>
            </w:pPr>
            <w:r>
              <w:rPr/>
              <w:t>​</w:t>
            </w:r>
          </w:p>
        </w:tc>
        <w:tc>
          <w:tcPr>
            <w:tcW w:w="346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846" w:type="dxa"/>
            <w:tcBorders/>
            <w:vAlign w:val="center"/>
          </w:tcPr>
          <w:p>
            <w:pPr>
              <w:pStyle w:val="TableContents"/>
              <w:bidi w:val="0"/>
              <w:spacing w:before="0" w:after="22"/>
              <w:ind w:left="0" w:right="0" w:hanging="0"/>
              <w:jc w:val="left"/>
              <w:rPr/>
            </w:pPr>
            <w:r>
              <w:rPr/>
              <w:t> </w:t>
            </w:r>
          </w:p>
        </w:tc>
        <w:tc>
          <w:tcPr>
            <w:tcW w:w="346" w:type="dxa"/>
            <w:tcBorders/>
            <w:vAlign w:val="center"/>
          </w:tcPr>
          <w:p>
            <w:pPr>
              <w:pStyle w:val="TableContents"/>
              <w:bidi w:val="0"/>
              <w:spacing w:before="0" w:after="22"/>
              <w:ind w:left="0" w:right="0" w:hanging="0"/>
              <w:jc w:val="left"/>
              <w:rPr/>
            </w:pPr>
            <w:r>
              <w:rPr/>
              <w:t>​</w:t>
            </w:r>
          </w:p>
        </w:tc>
        <w:tc>
          <w:tcPr>
            <w:tcW w:w="3466"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22" w:name="xelb-20251231xex23d1.htm"/>
      <w:bookmarkStart w:id="23" w:name="ksxelb20251231xex23d1"/>
      <w:bookmarkEnd w:id="22"/>
      <w:bookmarkEnd w:id="23"/>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on Form S-8 (No. 333-188985); (No.333-201252); (No. 333-214150); and (No. 333-264382) and on Form S-3 (No. 333-276698) of our report dated May 27, 2025, with respect to the consolidated financial statements of Xcel Brands, Inc. and Subsidiaries included in this Annual Report on Form 10-K/A for the year ended December 31,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Marcum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August 5,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 w:name="xelb-20251231xex23d2.htm"/>
      <w:bookmarkStart w:id="25" w:name="ksxelb20251231xex23d2"/>
      <w:bookmarkEnd w:id="24"/>
      <w:bookmarkEnd w:id="25"/>
      <w:r>
        <w:rPr>
          <w:rFonts w:ascii="Times New Roman;Times;serif" w:hAnsi="Times New Roman;Times;serif"/>
          <w:b/>
          <w:sz w:val="20"/>
        </w:rPr>
        <w:t>EXHIBIT 23.2</w:t>
      </w:r>
      <w:r>
        <w:br w:type="page"/>
      </w:r>
    </w:p>
    <w:p>
      <w:pPr>
        <w:pStyle w:val="TextBody"/>
        <w:bidi w:val="0"/>
        <w:spacing w:lineRule="auto" w:line="331" w:before="0" w:after="16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these Registration Statements (Nos. 333-264382, 333-214150, 333-201252 and 333-188985) on Forms S-8 and Registration Statement No. 333-276698 on Form S-3 of Xcel Brands, Inc. and Subsidiaries. (the “Company”) of our report dated April 14, 2026, relating to the consolidated financial statements of the Company, appearing in this Annual Report on Form 10-K for the year ended December 31, 2025.</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Wolf &amp; Company, P.C.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Wolf &amp; Company, P.C.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Boston, Massachusetts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6" w:name="xelb-20251231xex31d1.htm"/>
      <w:bookmarkStart w:id="27" w:name="ksxelb20251231xex31d1"/>
      <w:bookmarkEnd w:id="26"/>
      <w:bookmarkEnd w:id="27"/>
      <w:r>
        <w:rPr>
          <w:rFonts w:ascii="Times New Roman;Times;serif" w:hAnsi="Times New Roman;Times;serif"/>
          <w:b/>
          <w:sz w:val="20"/>
        </w:rPr>
        <w:t>EXHIBIT 31(i).1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302 OF THE SARBANES 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Robert W. D’Loren certify that:</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1.    I have reviewed this annual report on Form 10-K (as amended) of Xcel Brands, Inc. (the “registrant”) for the year ended December 31, 2025.</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92"/>
        <w:jc w:val="both"/>
        <w:rPr/>
      </w:pPr>
      <w:r>
        <w:rPr/>
        <w:t>​</w:t>
      </w:r>
    </w:p>
    <w:tbl>
      <w:tblPr>
        <w:tblW w:w="9077" w:type="dxa"/>
        <w:jc w:val="center"/>
        <w:tblInd w:w="0" w:type="dxa"/>
        <w:tblLayout w:type="fixed"/>
        <w:tblCellMar>
          <w:top w:w="0" w:type="dxa"/>
          <w:left w:w="0" w:type="dxa"/>
          <w:bottom w:w="0" w:type="dxa"/>
          <w:right w:w="0" w:type="dxa"/>
        </w:tblCellMar>
      </w:tblPr>
      <w:tblGrid>
        <w:gridCol w:w="1366"/>
        <w:gridCol w:w="7711"/>
      </w:tblGrid>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2026</w:t>
            </w:r>
          </w:p>
        </w:tc>
        <w:tc>
          <w:tcPr>
            <w:tcW w:w="771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771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7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366" w:type="dxa"/>
            <w:tcBorders/>
            <w:vAlign w:val="center"/>
          </w:tcPr>
          <w:p>
            <w:pPr>
              <w:pStyle w:val="TableContents"/>
              <w:bidi w:val="0"/>
              <w:spacing w:before="0" w:after="0"/>
              <w:ind w:left="0" w:right="0" w:hanging="0"/>
              <w:jc w:val="left"/>
              <w:rPr/>
            </w:pPr>
            <w:r>
              <w:rPr/>
              <w:t>​</w:t>
            </w:r>
          </w:p>
        </w:tc>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Robert W. D’Loren</w:t>
            </w:r>
          </w:p>
        </w:tc>
      </w:tr>
      <w:tr>
        <w:trPr/>
        <w:tc>
          <w:tcPr>
            <w:tcW w:w="1366" w:type="dxa"/>
            <w:tcBorders/>
            <w:vAlign w:val="center"/>
          </w:tcPr>
          <w:p>
            <w:pPr>
              <w:pStyle w:val="TableContents"/>
              <w:bidi w:val="0"/>
              <w:spacing w:before="0" w:after="0"/>
              <w:ind w:left="0" w:right="0" w:hanging="0"/>
              <w:jc w:val="left"/>
              <w:rPr/>
            </w:pPr>
            <w:r>
              <w:rPr/>
              <w:t>​</w:t>
            </w:r>
          </w:p>
        </w:tc>
        <w:tc>
          <w:tcPr>
            <w:tcW w:w="7711" w:type="dxa"/>
            <w:tcBorders/>
            <w:vAlign w:val="center"/>
          </w:tcPr>
          <w:p>
            <w:pPr>
              <w:pStyle w:val="TableContents"/>
              <w:bidi w:val="0"/>
              <w:spacing w:before="0" w:after="0"/>
              <w:ind w:left="22" w:right="0" w:hanging="0"/>
              <w:jc w:val="left"/>
              <w:rPr>
                <w:rFonts w:ascii="Times New Roman;Times;serif" w:hAnsi="Times New Roman;Times;serif"/>
                <w:sz w:val="20"/>
              </w:rPr>
            </w:pPr>
            <w:r>
              <w:rPr>
                <w:rFonts w:ascii="Times New Roman;Times;serif" w:hAnsi="Times New Roman;Times;serif"/>
                <w:sz w:val="20"/>
              </w:rPr>
              <w:t>Title: Chairman, President, Chief Executive Officer and Director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8" w:name="xelb-20251231xex31d2.htm"/>
      <w:bookmarkStart w:id="29" w:name="ksxelb20251231xex31d2"/>
      <w:bookmarkEnd w:id="28"/>
      <w:bookmarkEnd w:id="29"/>
      <w:r>
        <w:rPr>
          <w:rFonts w:ascii="Times New Roman;Times;serif" w:hAnsi="Times New Roman;Times;serif"/>
          <w:b/>
          <w:sz w:val="20"/>
        </w:rPr>
        <w:t>EXHIBIT 31(i).2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302 OF THE SARBANES 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James F. Haran certify that:</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1.    I have reviewed this annual report on Form 10-K (as amended) of Xcel Brands, Inc. (the “registrant”) for the year ended December 31, 2025.</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0" w:right="0" w:hanging="357"/>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92"/>
        <w:jc w:val="both"/>
        <w:rPr/>
      </w:pPr>
      <w:r>
        <w:rPr/>
        <w:t>​</w:t>
      </w:r>
    </w:p>
    <w:tbl>
      <w:tblPr>
        <w:tblW w:w="7622" w:type="dxa"/>
        <w:jc w:val="center"/>
        <w:tblInd w:w="0" w:type="dxa"/>
        <w:tblLayout w:type="fixed"/>
        <w:tblCellMar>
          <w:top w:w="0" w:type="dxa"/>
          <w:left w:w="0" w:type="dxa"/>
          <w:bottom w:w="0" w:type="dxa"/>
          <w:right w:w="0" w:type="dxa"/>
        </w:tblCellMar>
      </w:tblPr>
      <w:tblGrid>
        <w:gridCol w:w="1366"/>
        <w:gridCol w:w="6256"/>
      </w:tblGrid>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2026</w:t>
            </w:r>
          </w:p>
        </w:tc>
        <w:tc>
          <w:tcPr>
            <w:tcW w:w="625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6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F. Haran</w:t>
            </w:r>
          </w:p>
        </w:tc>
      </w:tr>
      <w:tr>
        <w:trPr/>
        <w:tc>
          <w:tcPr>
            <w:tcW w:w="136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James F. Haran</w:t>
            </w:r>
          </w:p>
        </w:tc>
      </w:tr>
      <w:tr>
        <w:trPr/>
        <w:tc>
          <w:tcPr>
            <w:tcW w:w="136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22" w:right="0" w:hanging="0"/>
              <w:jc w:val="left"/>
              <w:rPr>
                <w:rFonts w:ascii="Times New Roman;Times;serif" w:hAnsi="Times New Roman;Times;serif"/>
                <w:sz w:val="20"/>
              </w:rPr>
            </w:pPr>
            <w:r>
              <w:rPr>
                <w:rFonts w:ascii="Times New Roman;Times;serif" w:hAnsi="Times New Roman;Times;serif"/>
                <w:sz w:val="20"/>
              </w:rPr>
              <w:t>Title:   Chief Financial Officer (Principal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0" w:name="xelb-20251231xex32d1.htm"/>
      <w:bookmarkStart w:id="31" w:name="ksxelb20251231xex32d1"/>
      <w:bookmarkEnd w:id="30"/>
      <w:bookmarkEnd w:id="31"/>
      <w:r>
        <w:rPr>
          <w:rFonts w:ascii="Times New Roman;Times;serif" w:hAnsi="Times New Roman;Times;serif"/>
          <w:b/>
          <w:sz w:val="20"/>
        </w:rPr>
        <w:t>EXHIBIT 32(i).1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(as amended) of the Registrant for the year ended December 31, 2025 fully complies with the requirements of Section 13(a) or 15(d) of the Securities Exchange Act of 1934 and information contained in that Form 10-K (as amended) fairly presents, in all material respects, the financial condition and results of operations of the Registrant.</w:t>
      </w:r>
    </w:p>
    <w:p>
      <w:pPr>
        <w:pStyle w:val="TextBody"/>
        <w:bidi w:val="0"/>
        <w:spacing w:before="0" w:after="0"/>
        <w:ind w:left="0" w:right="0" w:hanging="0"/>
        <w:jc w:val="left"/>
        <w:rPr/>
      </w:pPr>
      <w:r>
        <w:rPr/>
        <w:t>​</w:t>
      </w:r>
    </w:p>
    <w:tbl>
      <w:tblPr>
        <w:tblW w:w="9077" w:type="dxa"/>
        <w:jc w:val="center"/>
        <w:tblInd w:w="0" w:type="dxa"/>
        <w:tblLayout w:type="fixed"/>
        <w:tblCellMar>
          <w:top w:w="0" w:type="dxa"/>
          <w:left w:w="0" w:type="dxa"/>
          <w:bottom w:w="0" w:type="dxa"/>
          <w:right w:w="0" w:type="dxa"/>
        </w:tblCellMar>
      </w:tblPr>
      <w:tblGrid>
        <w:gridCol w:w="1366"/>
        <w:gridCol w:w="7711"/>
      </w:tblGrid>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2026</w:t>
            </w:r>
          </w:p>
        </w:tc>
        <w:tc>
          <w:tcPr>
            <w:tcW w:w="771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771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7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366" w:type="dxa"/>
            <w:tcBorders/>
            <w:vAlign w:val="center"/>
          </w:tcPr>
          <w:p>
            <w:pPr>
              <w:pStyle w:val="TableContents"/>
              <w:bidi w:val="0"/>
              <w:spacing w:before="0" w:after="0"/>
              <w:ind w:left="0" w:right="0" w:hanging="0"/>
              <w:jc w:val="left"/>
              <w:rPr/>
            </w:pPr>
            <w:r>
              <w:rPr/>
              <w:t>​</w:t>
            </w:r>
          </w:p>
        </w:tc>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Robert W. D’Loren</w:t>
            </w:r>
          </w:p>
        </w:tc>
      </w:tr>
      <w:tr>
        <w:trPr/>
        <w:tc>
          <w:tcPr>
            <w:tcW w:w="1366" w:type="dxa"/>
            <w:tcBorders/>
            <w:vAlign w:val="center"/>
          </w:tcPr>
          <w:p>
            <w:pPr>
              <w:pStyle w:val="TableContents"/>
              <w:bidi w:val="0"/>
              <w:spacing w:before="0" w:after="0"/>
              <w:ind w:left="0" w:right="0" w:hanging="0"/>
              <w:jc w:val="left"/>
              <w:rPr/>
            </w:pPr>
            <w:r>
              <w:rPr/>
              <w:t>​</w:t>
            </w:r>
          </w:p>
        </w:tc>
        <w:tc>
          <w:tcPr>
            <w:tcW w:w="7711" w:type="dxa"/>
            <w:tcBorders/>
            <w:vAlign w:val="center"/>
          </w:tcPr>
          <w:p>
            <w:pPr>
              <w:pStyle w:val="TableContents"/>
              <w:bidi w:val="0"/>
              <w:spacing w:before="0" w:after="0"/>
              <w:ind w:left="22" w:right="0" w:hanging="0"/>
              <w:jc w:val="left"/>
              <w:rPr>
                <w:rFonts w:ascii="Times New Roman;Times;serif" w:hAnsi="Times New Roman;Times;serif"/>
                <w:sz w:val="20"/>
              </w:rPr>
            </w:pPr>
            <w:r>
              <w:rPr>
                <w:rFonts w:ascii="Times New Roman;Times;serif" w:hAnsi="Times New Roman;Times;serif"/>
                <w:sz w:val="20"/>
              </w:rPr>
              <w:t>Title: Chairman, President, Chief Executive Officer and Director (Principal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Xcel Brands, Inc. and will be retained by Xcel Brands, Inc.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2" w:name="xelb-20251231xex32d2.htm"/>
      <w:bookmarkStart w:id="33" w:name="ksxelb20251231xex32d2"/>
      <w:bookmarkEnd w:id="32"/>
      <w:bookmarkEnd w:id="33"/>
      <w:r>
        <w:rPr>
          <w:rFonts w:ascii="Times New Roman;Times;serif" w:hAnsi="Times New Roman;Times;serif"/>
          <w:b/>
          <w:sz w:val="20"/>
        </w:rPr>
        <w:t>EXHIBIT 32(i).2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(as amended) of the Registrant for the year ended December 31, 2025 fully complies with the requirements of Section 13(a) or 15(d) of the Securities Exchange Act of 1934 and information contained in that Form 10-K (as amended) fairly presents, in all material respects, the financial condition and results of operations of the Registrant.</w:t>
      </w:r>
    </w:p>
    <w:p>
      <w:pPr>
        <w:pStyle w:val="TextBody"/>
        <w:bidi w:val="0"/>
        <w:spacing w:before="0" w:after="0"/>
        <w:ind w:left="0" w:right="0" w:hanging="0"/>
        <w:jc w:val="left"/>
        <w:rPr/>
      </w:pPr>
      <w:r>
        <w:rPr/>
        <w:t>​</w:t>
      </w:r>
    </w:p>
    <w:tbl>
      <w:tblPr>
        <w:tblW w:w="7532" w:type="dxa"/>
        <w:jc w:val="center"/>
        <w:tblInd w:w="0" w:type="dxa"/>
        <w:tblLayout w:type="fixed"/>
        <w:tblCellMar>
          <w:top w:w="0" w:type="dxa"/>
          <w:left w:w="0" w:type="dxa"/>
          <w:bottom w:w="0" w:type="dxa"/>
          <w:right w:w="0" w:type="dxa"/>
        </w:tblCellMar>
      </w:tblPr>
      <w:tblGrid>
        <w:gridCol w:w="1366"/>
        <w:gridCol w:w="6166"/>
      </w:tblGrid>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2026</w:t>
            </w:r>
          </w:p>
        </w:tc>
        <w:tc>
          <w:tcPr>
            <w:tcW w:w="616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616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6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F. Haran</w:t>
            </w:r>
          </w:p>
        </w:tc>
      </w:tr>
      <w:tr>
        <w:trPr/>
        <w:tc>
          <w:tcPr>
            <w:tcW w:w="1366" w:type="dxa"/>
            <w:tcBorders/>
            <w:vAlign w:val="center"/>
          </w:tcPr>
          <w:p>
            <w:pPr>
              <w:pStyle w:val="TableContents"/>
              <w:bidi w:val="0"/>
              <w:spacing w:before="0" w:after="0"/>
              <w:ind w:left="0" w:right="0" w:hanging="0"/>
              <w:jc w:val="left"/>
              <w:rPr/>
            </w:pPr>
            <w:r>
              <w:rPr/>
              <w:t>​</w:t>
            </w:r>
          </w:p>
        </w:tc>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James F. Haran</w:t>
            </w:r>
          </w:p>
        </w:tc>
      </w:tr>
      <w:tr>
        <w:trPr/>
        <w:tc>
          <w:tcPr>
            <w:tcW w:w="1366" w:type="dxa"/>
            <w:tcBorders/>
            <w:vAlign w:val="center"/>
          </w:tcPr>
          <w:p>
            <w:pPr>
              <w:pStyle w:val="TableContents"/>
              <w:bidi w:val="0"/>
              <w:spacing w:before="0" w:after="0"/>
              <w:ind w:left="0" w:right="0" w:hanging="0"/>
              <w:jc w:val="left"/>
              <w:rPr/>
            </w:pPr>
            <w:r>
              <w:rPr/>
              <w:t>​</w:t>
            </w:r>
          </w:p>
        </w:tc>
        <w:tc>
          <w:tcPr>
            <w:tcW w:w="6166" w:type="dxa"/>
            <w:tcBorders/>
            <w:vAlign w:val="center"/>
          </w:tcPr>
          <w:p>
            <w:pPr>
              <w:pStyle w:val="TableContents"/>
              <w:bidi w:val="0"/>
              <w:spacing w:before="0" w:after="0"/>
              <w:ind w:left="22" w:right="0" w:hanging="0"/>
              <w:jc w:val="left"/>
              <w:rPr>
                <w:rFonts w:ascii="Times New Roman;Times;serif" w:hAnsi="Times New Roman;Times;serif"/>
                <w:sz w:val="20"/>
              </w:rPr>
            </w:pPr>
            <w:r>
              <w:rPr>
                <w:rFonts w:ascii="Times New Roman;Times;serif" w:hAnsi="Times New Roman;Times;serif"/>
                <w:sz w:val="20"/>
              </w:rPr>
              <w:t>Title: Chief Financial Officer (Principal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Xcel Brands, Inc. and will be retained by Xcel Brands,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83220/000114420417053726/tv477575_ex3-1.htm" TargetMode="External"/><Relationship Id="rId3" Type="http://schemas.openxmlformats.org/officeDocument/2006/relationships/hyperlink" Target="https://www.sec.gov/Archives/edgar/data/1083220/000155837025003550/xelb-20250324xex3d1.htm" TargetMode="External"/><Relationship Id="rId4" Type="http://schemas.openxmlformats.org/officeDocument/2006/relationships/hyperlink" Target="http://www.sec.gov/Archives/edgar/data/1083220/000114420417063004/tv481032_ex3-2.htm" TargetMode="External"/><Relationship Id="rId5" Type="http://schemas.openxmlformats.org/officeDocument/2006/relationships/hyperlink" Target="http://www.sec.gov/Archives/edgar/data/1083220/000114420416119169/v446751_def14a.htm" TargetMode="External"/><Relationship Id="rId6" Type="http://schemas.openxmlformats.org/officeDocument/2006/relationships/hyperlink" Target="https://www.sec.gov/Archives/edgar/data/0001083220/000155837021013317/tmb-20211020xdefr14a.htm" TargetMode="External"/><Relationship Id="rId7" Type="http://schemas.openxmlformats.org/officeDocument/2006/relationships/hyperlink" Target="https://www.sec.gov/Archives/edgar/data/0001083220/000155837021004669/xelb-20201231ex44b18da27.htm" TargetMode="External"/><Relationship Id="rId8" Type="http://schemas.openxmlformats.org/officeDocument/2006/relationships/hyperlink" Target="https://www.sec.gov/Archives/edgar/data/1083220/000155837024005326/xelb-20231231xex4d4.htm" TargetMode="External"/><Relationship Id="rId9" Type="http://schemas.openxmlformats.org/officeDocument/2006/relationships/hyperlink" Target="https://www.sec.gov/Archives/edgar/data/1083220/000110465924036225/tm249267d1_ex1-1.htm" TargetMode="External"/><Relationship Id="rId10" Type="http://schemas.openxmlformats.org/officeDocument/2006/relationships/hyperlink" Target="https://www.sec.gov/Archives/edgar/data/1083220/000155837024016245/xelb-20241212xex4d1.htm" TargetMode="External"/><Relationship Id="rId11" Type="http://schemas.openxmlformats.org/officeDocument/2006/relationships/hyperlink" Target="https://www.sec.gov/Archives/edgar/data/1083220/000155837025005407/xelb-20250415xex4d1.htm" TargetMode="External"/><Relationship Id="rId12" Type="http://schemas.openxmlformats.org/officeDocument/2006/relationships/hyperlink" Target="https://www.sec.gov/Archives/edgar/data/1083220/000155837025005407/xelb-20250415xex4d2.htm" TargetMode="External"/><Relationship Id="rId13" Type="http://schemas.openxmlformats.org/officeDocument/2006/relationships/hyperlink" Target="https://www.sec.gov/Archives/edgar/data/1083220/000155837025005407/xelb-20250415xex4d3.htm" TargetMode="External"/><Relationship Id="rId14" Type="http://schemas.openxmlformats.org/officeDocument/2006/relationships/hyperlink" Target="https://www.sec.gov/Archives/edgar/data/1083220/000155837025005407/xelb-20250415xex4d4.htm" TargetMode="External"/><Relationship Id="rId15" Type="http://schemas.openxmlformats.org/officeDocument/2006/relationships/hyperlink" Target="https://www.sec.gov/Archives/edgar/data/1083220/000110465925075178/tm2522654d1_ex4-1.htm" TargetMode="External"/><Relationship Id="rId16" Type="http://schemas.openxmlformats.org/officeDocument/2006/relationships/hyperlink" Target="https://www.sec.gov/Archives/edgar/data/1083220/000110465925122806/tm2533803d1_ex4-2.htm" TargetMode="External"/><Relationship Id="rId17" Type="http://schemas.openxmlformats.org/officeDocument/2006/relationships/hyperlink" Target="https://www.sec.gov/Archives/edgar/data/1083220/000110465925122806/tm2533803d1_ex4-1.htm" TargetMode="External"/><Relationship Id="rId18" Type="http://schemas.openxmlformats.org/officeDocument/2006/relationships/hyperlink" Target="https://www.sec.gov/Archives/edgar/data/1083220/000110465925122806/tm2533803d1_ex4-3.htm" TargetMode="External"/><Relationship Id="rId19" Type="http://schemas.openxmlformats.org/officeDocument/2006/relationships/hyperlink" Target="http://www.sec.gov/Archives/edgar/data/1083220/000114420413068859/v363835_ex9-1.htm" TargetMode="External"/><Relationship Id="rId20" Type="http://schemas.openxmlformats.org/officeDocument/2006/relationships/hyperlink" Target="http://www.sec.gov/Archives/edgar/data/1083220/000114420414021516/v374277_ex10-8.htm" TargetMode="External"/><Relationship Id="rId21" Type="http://schemas.openxmlformats.org/officeDocument/2006/relationships/hyperlink" Target="http://www.sec.gov/Archives/edgar/data/1083220/000114420414075828/v397490_ex10-9.htm" TargetMode="External"/><Relationship Id="rId22" Type="http://schemas.openxmlformats.org/officeDocument/2006/relationships/hyperlink" Target="http://www.sec.gov/Archives/edgar/data/1083220/000114420419008652/tv513776_ex10-1.htm" TargetMode="External"/><Relationship Id="rId23" Type="http://schemas.openxmlformats.org/officeDocument/2006/relationships/hyperlink" Target="http://www.sec.gov/Archives/edgar/data/1083220/000114420415042399/v415471_ex10-1.htm" TargetMode="External"/><Relationship Id="rId24" Type="http://schemas.openxmlformats.org/officeDocument/2006/relationships/hyperlink" Target="http://www.sec.gov/Archives/edgar/data/1083220/000114420419011627/tv515202_ex10-2.htm" TargetMode="External"/><Relationship Id="rId25" Type="http://schemas.openxmlformats.org/officeDocument/2006/relationships/hyperlink" Target="http://www.sec.gov/Archives/edgar/data/1083220/000114420419011627/tv515202_ex10-1.htm" TargetMode="External"/><Relationship Id="rId26" Type="http://schemas.openxmlformats.org/officeDocument/2006/relationships/hyperlink" Target="https://www.sec.gov/Archives/edgar/data/1083220/000155837022005491/xelb-20211231xex10d7.htm" TargetMode="External"/><Relationship Id="rId27" Type="http://schemas.openxmlformats.org/officeDocument/2006/relationships/hyperlink" Target="https://www.sec.gov/Archives/edgar/data/1083220/000110465922067941/tm2217535d1_ex2-1.htm" TargetMode="External"/><Relationship Id="rId28" Type="http://schemas.openxmlformats.org/officeDocument/2006/relationships/hyperlink" Target="https://www.sec.gov/Archives/edgar/data/1083220/000155837024005326/xelb-20231231xex10d7.htm" TargetMode="External"/><Relationship Id="rId29" Type="http://schemas.openxmlformats.org/officeDocument/2006/relationships/hyperlink" Target="https://www.sec.gov/Archives/edgar/data/1083220/000155837024005326/xelb-20231231xex10d8.htm" TargetMode="External"/><Relationship Id="rId30" Type="http://schemas.openxmlformats.org/officeDocument/2006/relationships/hyperlink" Target="https://www.sec.gov/Archives/edgar/data/1083220/000110465924036225/tm249267d1_ex10-1.htm" TargetMode="External"/><Relationship Id="rId31" Type="http://schemas.openxmlformats.org/officeDocument/2006/relationships/hyperlink" Target="https://www.sec.gov/Archives/edgar/data/1083220/000110465924036225/tm249267d1_ex10-2.htm" TargetMode="External"/><Relationship Id="rId32" Type="http://schemas.openxmlformats.org/officeDocument/2006/relationships/hyperlink" Target="https://www.sec.gov/Archives/edgar/data/1083220/000110465924036225/tm249267d1_ex10-3.htm" TargetMode="External"/><Relationship Id="rId33" Type="http://schemas.openxmlformats.org/officeDocument/2006/relationships/hyperlink" Target="https://www.sec.gov/Archives/edgar/data/1083220/000155837024009446/xelb-20240621xex10d1.htm" TargetMode="External"/><Relationship Id="rId34" Type="http://schemas.openxmlformats.org/officeDocument/2006/relationships/hyperlink" Target="https://www.sec.gov/Archives/edgar/data/1083220/000155837024010706/xelb-20240730xex10d1.htm" TargetMode="External"/><Relationship Id="rId35" Type="http://schemas.openxmlformats.org/officeDocument/2006/relationships/hyperlink" Target="https://www.sec.gov/Archives/edgar/data/1083220/000155837024010706/xelb-20240730xex10d2.htm" TargetMode="External"/><Relationship Id="rId36" Type="http://schemas.openxmlformats.org/officeDocument/2006/relationships/hyperlink" Target="https://www.sec.gov/Archives/edgar/data/1083220/000155837024016245/xelb-20241212xex10d1.htm" TargetMode="External"/><Relationship Id="rId37" Type="http://schemas.openxmlformats.org/officeDocument/2006/relationships/hyperlink" Target="https://www.sec.gov/Archives/edgar/data/1083220/000155837024016245/xelb-20241212xex10d2.htm" TargetMode="External"/><Relationship Id="rId38" Type="http://schemas.openxmlformats.org/officeDocument/2006/relationships/hyperlink" Target="https://www.sec.gov/Archives/edgar/data/1083220/000155837025005407/xelb-20250415xex10d4.htm" TargetMode="External"/><Relationship Id="rId39" Type="http://schemas.openxmlformats.org/officeDocument/2006/relationships/hyperlink" Target="https://www.sec.gov/Archives/edgar/data/1083220/000155837025005407/xelb-20250415xex10d1.htm" TargetMode="External"/><Relationship Id="rId40" Type="http://schemas.openxmlformats.org/officeDocument/2006/relationships/hyperlink" Target="https://www.sec.gov/Archives/edgar/data/1083220/000155837025005407/xelb-20250415xex10d2.htm" TargetMode="External"/><Relationship Id="rId41" Type="http://schemas.openxmlformats.org/officeDocument/2006/relationships/hyperlink" Target="https://www.sec.gov/Archives/edgar/data/1083220/000155837025005407/xelb-20250415xex10d3.htm" TargetMode="External"/><Relationship Id="rId42" Type="http://schemas.openxmlformats.org/officeDocument/2006/relationships/hyperlink" Target="https://www.sec.gov/Archives/edgar/data/1083220/000155837025009066/xelb-20250702xex10d20.htm" TargetMode="External"/><Relationship Id="rId43" Type="http://schemas.openxmlformats.org/officeDocument/2006/relationships/hyperlink" Target="https://www.sec.gov/Archives/edgar/data/1083220/000110465925075178/tm2522654d1_ex10-2.htm" TargetMode="External"/><Relationship Id="rId44" Type="http://schemas.openxmlformats.org/officeDocument/2006/relationships/hyperlink" Target="https://www.sec.gov/Archives/edgar/data/1083220/000110465925075178/tm2522654d1_ex10-3.htm" TargetMode="External"/><Relationship Id="rId45" Type="http://schemas.openxmlformats.org/officeDocument/2006/relationships/hyperlink" Target="https://www.sec.gov/Archives/edgar/data/1083220/000110465925075178/tm2522654d1_ex10-1.htm" TargetMode="External"/><Relationship Id="rId46" Type="http://schemas.openxmlformats.org/officeDocument/2006/relationships/hyperlink" Target="https://www.sec.gov/Archives/edgar/data/1083220/000110465925096144/xelb-20250926xex10d2.htm" TargetMode="External"/><Relationship Id="rId47" Type="http://schemas.openxmlformats.org/officeDocument/2006/relationships/hyperlink" Target="https://www.sec.gov/Archives/edgar/data/1083220/000110465925096144/xelb-20250926xex10d1.htm" TargetMode="External"/><Relationship Id="rId48" Type="http://schemas.openxmlformats.org/officeDocument/2006/relationships/hyperlink" Target="https://www.sec.gov/Archives/edgar/data/1083220/000110465925098726/xelb-20251007xex10d1.htm" TargetMode="External"/><Relationship Id="rId49" Type="http://schemas.openxmlformats.org/officeDocument/2006/relationships/hyperlink" Target="https://www.sec.gov/Archives/edgar/data/1083220/000110465926010353/xelb-20250930xex10d27.htm" TargetMode="External"/><Relationship Id="rId50" Type="http://schemas.openxmlformats.org/officeDocument/2006/relationships/hyperlink" Target="https://www.sec.gov/Archives/edgar/data/1083220/000110465925122806/tm2533803d1_ex10-1.htm" TargetMode="External"/><Relationship Id="rId51" Type="http://schemas.openxmlformats.org/officeDocument/2006/relationships/hyperlink" Target="https://www.sec.gov/Archives/edgar/data/1083220/000110465925122806/tm2533803d1_ex10-2.htm" TargetMode="External"/><Relationship Id="rId52" Type="http://schemas.openxmlformats.org/officeDocument/2006/relationships/hyperlink" Target="https://www.sec.gov/Archives/edgar/data/1083220/000110465926006234/tm263797d1_ex10-1.htm" TargetMode="External"/><Relationship Id="rId53" Type="http://schemas.openxmlformats.org/officeDocument/2006/relationships/hyperlink" Target="https://www.sec.gov/Archives/edgar/data/1083220/000110465926006234/tm263797d1_ex10-2.htm" TargetMode="External"/><Relationship Id="rId54" Type="http://schemas.openxmlformats.org/officeDocument/2006/relationships/hyperlink" Target="https://www.sec.gov/Archives/edgar/data/1083220/000110465926019105/tm267182d1_ex10-1.htm" TargetMode="External"/><Relationship Id="rId55" Type="http://schemas.openxmlformats.org/officeDocument/2006/relationships/hyperlink" Target="https://www.sec.gov/Archives/edgar/data/1083220/000155837024005326/xelb-20231231xex21d1.htm" TargetMode="External"/><Relationship Id="rId56" Type="http://schemas.openxmlformats.org/officeDocument/2006/relationships/hyperlink" Target="https://www.sec.gov/Archives/edgar/data/1083220/000155837024005326/xelb-20231231xex97d1.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4687</Words>
  <Characters>24531</Characters>
  <CharactersWithSpaces>29565</CharactersWithSpaces>
  <Paragraphs>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