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xelb-20230331x10q.htm"/>
        <w:bookmarkStart w:id="1" w:name="ksxelb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bb6c6ca_54d7_497a_92f6_a7d247c8c16d"/>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pBdr/>
        <w:bidi w:val="0"/>
        <w:spacing w:before="0" w:after="20"/>
        <w:ind w:left="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240"/>
        <w:ind w:left="0" w:right="0" w:hanging="0"/>
        <w:jc w:val="both"/>
        <w:rPr/>
      </w:pPr>
      <w:r>
        <w:rPr/>
        <w: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For the quarterly period ended March 31, 2023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240"/>
        <w:ind w:left="0" w:right="0" w:hanging="0"/>
        <w:jc w:val="both"/>
        <w:rPr/>
      </w:pPr>
      <w:r>
        <w:rPr/>
        <w:t>​</w:t>
      </w:r>
    </w:p>
    <w:p>
      <w:pPr>
        <w:pStyle w:val="TextBody"/>
        <w:bidi w:val="0"/>
        <w:spacing w:before="0" w:after="20"/>
        <w:ind w:left="0" w:right="0" w:hanging="0"/>
        <w:jc w:val="left"/>
        <w:rPr/>
      </w:pPr>
      <w:r>
        <w:rPr/>
        <w:t>☐    </w:t>
      </w:r>
      <w:r>
        <w:rPr>
          <w:rFonts w:ascii="Times New Roman;Times;serif" w:hAnsi="Times New Roman;Times;serif"/>
          <w:b/>
          <w:sz w:val="20"/>
        </w:rPr>
        <w:t xml:space="preserve">TRANSITION REPORT PURSUANT TO SECTION 13 OR 15(d) OF THE SECURITIES EXCHANGE </w:t>
      </w:r>
    </w:p>
    <w:p>
      <w:pPr>
        <w:pStyle w:val="TextBody"/>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ACT OF 1934</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Commission File Number: 001-37527</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XCEL BRANDS,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j9tythHo0kqZid93cveX3Q_2_2"/>
      <w:bookmarkStart w:id="4" w:name="Tc_x-nyhRvbUESv9IlUO0Rgfw_2_0"/>
      <w:bookmarkStart w:id="5" w:name="Tc_KE5wprvWpEqm7Pq2ZWG69Q_1_2"/>
      <w:bookmarkStart w:id="6" w:name="Tc_2rIKIgc74EGy6VUY1p6uqw_1_0"/>
      <w:bookmarkStart w:id="7" w:name="_02d37dc6_8520_42b2_931d_e61c655a97cc"/>
      <w:bookmarkStart w:id="8" w:name="Tc_j9tythHo0kqZid93cveX3Q_2_2"/>
      <w:bookmarkStart w:id="9" w:name="Tc_x-nyhRvbUESv9IlUO0Rgfw_2_0"/>
      <w:bookmarkStart w:id="10" w:name="Tc_KE5wprvWpEqm7Pq2ZWG69Q_1_2"/>
      <w:bookmarkStart w:id="11" w:name="Tc_2rIKIgc74EGy6VUY1p6uqw_1_0"/>
      <w:bookmarkStart w:id="12" w:name="_02d37dc6_8520_42b2_931d_e61c655a97cc"/>
      <w:bookmarkEnd w:id="8"/>
      <w:bookmarkEnd w:id="9"/>
      <w:bookmarkEnd w:id="10"/>
      <w:bookmarkEnd w:id="11"/>
      <w:bookmarkEnd w:id="12"/>
    </w:p>
    <w:tbl>
      <w:tblPr>
        <w:tblW w:w="4588" w:type="dxa"/>
        <w:jc w:val="left"/>
        <w:tblInd w:w="0" w:type="dxa"/>
        <w:tblLayout w:type="fixed"/>
        <w:tblCellMar>
          <w:top w:w="0" w:type="dxa"/>
          <w:left w:w="0" w:type="dxa"/>
          <w:bottom w:w="28" w:type="dxa"/>
          <w:right w:w="0" w:type="dxa"/>
        </w:tblCellMar>
      </w:tblPr>
      <w:tblGrid>
        <w:gridCol w:w="2611"/>
        <w:gridCol w:w="326"/>
        <w:gridCol w:w="1651"/>
      </w:tblGrid>
      <w:tr>
        <w:trPr/>
        <w:tc>
          <w:tcPr>
            <w:tcW w:w="26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6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76-0307819</w:t>
            </w:r>
          </w:p>
        </w:tc>
      </w:tr>
      <w:tr>
        <w:trPr/>
        <w:tc>
          <w:tcPr>
            <w:tcW w:w="26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65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6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65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4523" w:type="dxa"/>
        <w:jc w:val="left"/>
        <w:tblInd w:w="0" w:type="dxa"/>
        <w:tblLayout w:type="fixed"/>
        <w:tblCellMar>
          <w:top w:w="0" w:type="dxa"/>
          <w:left w:w="0" w:type="dxa"/>
          <w:bottom w:w="0" w:type="dxa"/>
          <w:right w:w="0" w:type="dxa"/>
        </w:tblCellMar>
      </w:tblPr>
      <w:tblGrid>
        <w:gridCol w:w="161"/>
        <w:gridCol w:w="4171"/>
        <w:gridCol w:w="191"/>
      </w:tblGrid>
      <w:tr>
        <w:trPr/>
        <w:tc>
          <w:tcPr>
            <w:tcW w:w="161" w:type="dxa"/>
            <w:tcBorders/>
            <w:vAlign w:val="center"/>
          </w:tcPr>
          <w:p>
            <w:pPr>
              <w:pStyle w:val="TableContents"/>
              <w:bidi w:val="0"/>
              <w:spacing w:before="0" w:after="0"/>
              <w:ind w:left="0" w:right="0" w:hanging="0"/>
              <w:jc w:val="center"/>
              <w:rPr/>
            </w:pPr>
            <w:r>
              <w:rPr/>
              <w:t> </w:t>
            </w:r>
          </w:p>
        </w:tc>
        <w:tc>
          <w:tcPr>
            <w:tcW w:w="4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1333 Broadway, 10th Floor, New York, NY 10018</w:t>
            </w:r>
          </w:p>
        </w:tc>
        <w:tc>
          <w:tcPr>
            <w:tcW w:w="191" w:type="dxa"/>
            <w:tcBorders/>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center"/>
              <w:rPr/>
            </w:pPr>
            <w:r>
              <w:rPr/>
              <w:t> </w:t>
            </w:r>
          </w:p>
        </w:tc>
        <w:tc>
          <w:tcPr>
            <w:tcW w:w="4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91"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(347) 727-2474</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(Issuer’s Telephone Number, Including Area Code)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eSqFS4ixFkmXyxE5xFBjIQ_1_4"/>
      <w:bookmarkStart w:id="14" w:name="Tc_RGBQgVXbV0imke47UINmwQ_1_2"/>
      <w:bookmarkStart w:id="15" w:name="Tc_WemOxeN45ECvAmJJYaNPzQ_1_0"/>
      <w:bookmarkStart w:id="16" w:name="_c5c7cb8b_dd28_4f6f_9eff_f1b811d72360"/>
      <w:bookmarkStart w:id="17" w:name="Tc_eSqFS4ixFkmXyxE5xFBjIQ_1_4"/>
      <w:bookmarkStart w:id="18" w:name="Tc_RGBQgVXbV0imke47UINmwQ_1_2"/>
      <w:bookmarkStart w:id="19" w:name="Tc_WemOxeN45ECvAmJJYaNPzQ_1_0"/>
      <w:bookmarkStart w:id="20" w:name="_c5c7cb8b_dd28_4f6f_9eff_f1b811d72360"/>
      <w:bookmarkEnd w:id="17"/>
      <w:bookmarkEnd w:id="18"/>
      <w:bookmarkEnd w:id="19"/>
      <w:bookmarkEnd w:id="20"/>
    </w:p>
    <w:tbl>
      <w:tblPr>
        <w:tblW w:w="8935" w:type="dxa"/>
        <w:jc w:val="left"/>
        <w:tblInd w:w="0" w:type="dxa"/>
        <w:tblLayout w:type="fixed"/>
        <w:tblCellMar>
          <w:top w:w="0" w:type="dxa"/>
          <w:left w:w="0" w:type="dxa"/>
          <w:bottom w:w="0" w:type="dxa"/>
          <w:right w:w="0" w:type="dxa"/>
        </w:tblCellMar>
      </w:tblPr>
      <w:tblGrid>
        <w:gridCol w:w="3151"/>
        <w:gridCol w:w="326"/>
        <w:gridCol w:w="1426"/>
        <w:gridCol w:w="326"/>
        <w:gridCol w:w="370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1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26" w:type="dxa"/>
            <w:tcBorders/>
            <w:vAlign w:val="center"/>
          </w:tcPr>
          <w:p>
            <w:pPr>
              <w:pStyle w:val="TableContents"/>
              <w:bidi w:val="0"/>
              <w:spacing w:before="0" w:after="0"/>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1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 per share</w:t>
            </w:r>
          </w:p>
        </w:tc>
        <w:tc>
          <w:tcPr>
            <w:tcW w:w="326" w:type="dxa"/>
            <w:tcBorders/>
            <w:vAlign w:val="center"/>
          </w:tcPr>
          <w:p>
            <w:pPr>
              <w:pStyle w:val="TableContents"/>
              <w:bidi w:val="0"/>
              <w:spacing w:before="0" w:after="0"/>
              <w:ind w:left="0" w:right="0" w:hanging="0"/>
              <w:jc w:val="center"/>
              <w:rPr/>
            </w:pPr>
            <w:r>
              <w:rPr/>
              <w:t>​</w:t>
            </w:r>
          </w:p>
        </w:tc>
        <w:tc>
          <w:tcPr>
            <w:tcW w:w="14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XELB</w:t>
            </w:r>
          </w:p>
        </w:tc>
        <w:tc>
          <w:tcPr>
            <w:tcW w:w="326" w:type="dxa"/>
            <w:tcBorders/>
            <w:vAlign w:val="center"/>
          </w:tcPr>
          <w:p>
            <w:pPr>
              <w:pStyle w:val="TableContents"/>
              <w:bidi w:val="0"/>
              <w:spacing w:before="0" w:after="0"/>
              <w:ind w:left="0" w:right="0" w:hanging="0"/>
              <w:jc w:val="center"/>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4817" w:type="dxa"/>
        <w:jc w:val="left"/>
        <w:tblInd w:w="0" w:type="dxa"/>
        <w:tblLayout w:type="fixed"/>
        <w:tblCellMar>
          <w:top w:w="0" w:type="dxa"/>
          <w:left w:w="0" w:type="dxa"/>
          <w:bottom w:w="0" w:type="dxa"/>
          <w:right w:w="0" w:type="dxa"/>
        </w:tblCellMar>
      </w:tblPr>
      <w:tblGrid>
        <w:gridCol w:w="2146"/>
        <w:gridCol w:w="267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62710" cy="175260"/>
                      <wp:effectExtent l="0" t="0" r="0" b="0"/>
                      <wp:wrapNone/>
                      <wp:docPr id="1" name="Frame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96085" cy="175260"/>
                      <wp:effectExtent l="0" t="0" r="0" b="0"/>
                      <wp:wrapNone/>
                      <wp:docPr id="2" name="Frame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29" w:right="0" w:hanging="0"/>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a check mark whether the registrant is a shell company (as defined in Rule 12b-2 of the Exchange Act). Yes   ☐    No   ☒</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May 15, 2023, there were 19,683,194 shares of common stock, $.001 par value per share, of the issuer outstanding.</w:t>
      </w:r>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f63396e7_14ad_44a4_b1d3_d17fe55d8aa4"/>
      <w:bookmarkEnd w:id="21"/>
      <w:r>
        <w:rPr>
          <w:rFonts w:ascii="Times New Roman;Times;serif" w:hAnsi="Times New Roman;Times;serif"/>
          <w:b/>
          <w:sz w:val="20"/>
        </w:rPr>
        <w:t>XCEL BRANDS, INC.</w:t>
      </w:r>
    </w:p>
    <w:p>
      <w:pPr>
        <w:pStyle w:val="TextBody"/>
        <w:bidi w:val="0"/>
        <w:spacing w:before="0" w:after="240"/>
        <w:ind w:left="0" w:right="0" w:hanging="0"/>
        <w:jc w:val="center"/>
        <w:rPr>
          <w:rFonts w:ascii="Times New Roman;Times;serif" w:hAnsi="Times New Roman;Times;serif"/>
          <w:sz w:val="20"/>
        </w:rPr>
      </w:pPr>
      <w:bookmarkStart w:id="22" w:name="TOC"/>
      <w:bookmarkEnd w:id="22"/>
      <w:r>
        <w:rPr>
          <w:rFonts w:ascii="Times New Roman;Times;serif" w:hAnsi="Times New Roman;Times;serif"/>
          <w:sz w:val="20"/>
        </w:rPr>
        <w:t>INDEX</w:t>
      </w:r>
    </w:p>
    <w:p>
      <w:pPr>
        <w:pStyle w:val="Normal"/>
        <w:bidi w:val="0"/>
        <w:spacing w:before="0" w:after="0"/>
        <w:jc w:val="left"/>
        <w:rPr>
          <w:sz w:val="4"/>
          <w:szCs w:val="4"/>
        </w:rPr>
      </w:pPr>
      <w:r>
        <w:rPr>
          <w:sz w:val="4"/>
          <w:szCs w:val="4"/>
        </w:rPr>
      </w:r>
      <w:bookmarkStart w:id="23" w:name="PARTIFINANCIALINFORMATION_105816"/>
      <w:bookmarkStart w:id="24" w:name="PARTIFINANCIALINFORMATION_105816"/>
      <w:bookmarkEnd w:id="24"/>
    </w:p>
    <w:tbl>
      <w:tblPr>
        <w:tblW w:w="8688" w:type="dxa"/>
        <w:jc w:val="left"/>
        <w:tblInd w:w="0" w:type="dxa"/>
        <w:tblLayout w:type="fixed"/>
        <w:tblCellMar>
          <w:top w:w="0" w:type="dxa"/>
          <w:left w:w="0" w:type="dxa"/>
          <w:bottom w:w="0" w:type="dxa"/>
          <w:right w:w="0" w:type="dxa"/>
        </w:tblCellMar>
      </w:tblPr>
      <w:tblGrid>
        <w:gridCol w:w="811"/>
        <w:gridCol w:w="736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4985" cy="175260"/>
                      <wp:effectExtent l="0" t="0" r="0" b="0"/>
                      <wp:wrapNone/>
                      <wp:docPr id="3" name="Frame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77410" cy="14605"/>
                      <wp:effectExtent l="0" t="0" r="0" b="0"/>
                      <wp:wrapNone/>
                      <wp:docPr id="4" name="Frame4"/>
                      <a:graphic xmlns:a="http://schemas.openxmlformats.org/drawingml/2006/main">
                        <a:graphicData uri="http://schemas.microsoft.com/office/word/2010/wordprocessingShape">
                          <wps:wsp>
                            <wps:cNvSpPr txBox="1"/>
                            <wps:spPr>
                              <a:xfrm>
                                <a:off x="0" y="0"/>
                                <a:ext cx="4677410"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a</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right"/>
              <w:rPr/>
            </w:pPr>
            <w:r>
              <w:rPr/>
              <w:t>​</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1_879002">
              <w:r>
                <w:rPr>
                  <w:rStyle w:val="InternetLink"/>
                  <w:rFonts w:ascii="Times New Roman;Times;serif" w:hAnsi="Times New Roman;Times;serif"/>
                  <w:b w:val="false"/>
                  <w:i w:val="false"/>
                  <w:caps w:val="false"/>
                  <w:smallCaps w:val="false"/>
                  <w:sz w:val="20"/>
                </w:rPr>
                <w:t>PART I - FINANCIAL INFORMATION</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1FINANCIALSTATEMENTS_49447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FINANCIALSTATEMENTS_494472">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BalanceSheets_587180">
              <w:r>
                <w:rPr>
                  <w:rStyle w:val="InternetLink"/>
                  <w:rFonts w:ascii="Times New Roman;Times;serif" w:hAnsi="Times New Roman;Times;serif"/>
                  <w:b w:val="false"/>
                  <w:i w:val="false"/>
                  <w:caps w:val="false"/>
                  <w:smallCaps w:val="false"/>
                  <w:sz w:val="20"/>
                </w:rPr>
                <w:t>Unaudited Condensed Consolidated Balance Sheets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StatementsofOperations_713277">
              <w:r>
                <w:rPr>
                  <w:rStyle w:val="InternetLink"/>
                  <w:rFonts w:ascii="Times New Roman;Times;serif" w:hAnsi="Times New Roman;Times;serif"/>
                  <w:b w:val="false"/>
                  <w:i w:val="false"/>
                  <w:caps w:val="false"/>
                  <w:smallCaps w:val="false"/>
                  <w:sz w:val="20"/>
                </w:rPr>
                <w:t>Unaudited Condensed Consolidated Statements of Operations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StockholdersEquity_347330">
              <w:r>
                <w:rPr>
                  <w:rStyle w:val="InternetLink"/>
                  <w:rFonts w:ascii="Times New Roman;Times;serif" w:hAnsi="Times New Roman;Times;serif"/>
                  <w:b w:val="false"/>
                  <w:i w:val="false"/>
                  <w:caps w:val="false"/>
                  <w:smallCaps w:val="false"/>
                  <w:sz w:val="20"/>
                </w:rPr>
                <w:t>Unaudited Condensed Consolidated Statements of Stockholders’ Equity</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CashFlows_133022">
              <w:r>
                <w:rPr>
                  <w:rStyle w:val="InternetLink"/>
                  <w:rFonts w:ascii="Times New Roman;Times;serif" w:hAnsi="Times New Roman;Times;serif"/>
                  <w:b w:val="false"/>
                  <w:i w:val="false"/>
                  <w:caps w:val="false"/>
                  <w:smallCaps w:val="false"/>
                  <w:sz w:val="20"/>
                </w:rPr>
                <w:t>Unaudited Condensed Consolidated Statements of Cash Flows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a1NatureofOperations_790426">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2MANAGEMENTSDISCUSSIONANDANALYSIS_7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MANAGEMENTSDISCUSSIONANDANALYSIS_7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3QUANTITATIVEANDQUALITATIVE_63937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QUANTITATIVEANDQUALITATIVE_63937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4CONTROLSANDPROCEDURES_83023">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CONTROLSANDPROCEDURES_83023">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I_336450">
              <w:r>
                <w:rPr>
                  <w:rStyle w:val="InternetLink"/>
                  <w:rFonts w:ascii="Times New Roman;Times;serif" w:hAnsi="Times New Roman;Times;serif"/>
                  <w:b w:val="false"/>
                  <w:i w:val="false"/>
                  <w:caps w:val="false"/>
                  <w:smallCaps w:val="false"/>
                  <w:sz w:val="20"/>
                </w:rPr>
                <w:t>PART II - OTHER INFORMATION</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1LEGALPROCEEDINGS_12626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LEGALPROCEEDINGS_126264">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RISK">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uto" w:line="304" w:before="0" w:after="0"/>
              <w:ind w:left="0" w:right="0" w:hanging="0"/>
              <w:jc w:val="left"/>
              <w:rPr/>
            </w:pPr>
            <w:hyperlink w:anchor="RISK">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2UNREGISTEREDSALESOFEQUITY_81220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UNREGISTEREDSALESOFEQUITY_812203">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3DEFAULTSUPONSENIORSECURITIES_275025">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DEFAULTSUPONSENIORSECURITIES_275025">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4MINESAFETYDISCLOSURES_756050">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MINESAFETYDISCLOSURES_756050">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5OTHERINFORMATION_9160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uto" w:line="304" w:before="0" w:after="0"/>
              <w:ind w:left="0" w:right="0" w:hanging="0"/>
              <w:jc w:val="left"/>
              <w:rPr/>
            </w:pPr>
            <w:hyperlink w:anchor="ITEM5OTHERINFORMATION_91600">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6EXHIBITS_376179">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uto" w:line="304" w:before="0" w:after="0"/>
              <w:ind w:left="0" w:right="0" w:hanging="0"/>
              <w:jc w:val="left"/>
              <w:rPr/>
            </w:pPr>
            <w:hyperlink w:anchor="ITEM6EXHIBITS_376179">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SIGNATURES_83504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PART1_879002"/>
      <w:bookmarkStart w:id="26" w:name="_9bab3691_e9a7_4c12_90a6_77ac52577479"/>
      <w:bookmarkEnd w:id="25"/>
      <w:bookmarkEnd w:id="26"/>
      <w:r>
        <w:rPr>
          <w:rFonts w:ascii="Times New Roman;Times;serif" w:hAnsi="Times New Roman;Times;serif"/>
          <w:b/>
          <w:sz w:val="20"/>
        </w:rPr>
        <w:t>PART I. FINANCIAL INFORMATION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7" w:name="ITEM1FINANCIALSTATEMENTS_494472"/>
      <w:bookmarkEnd w:id="27"/>
      <w:r>
        <w:rPr>
          <w:rFonts w:ascii="Times New Roman;Times;serif" w:hAnsi="Times New Roman;Times;serif"/>
          <w:b/>
          <w:sz w:val="20"/>
        </w:rPr>
        <w:t>ITEM 1.    FINANCIAL STATEMENTS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bidi w:val="0"/>
        <w:spacing w:before="0" w:after="0"/>
        <w:ind w:left="0" w:right="0" w:hanging="0"/>
        <w:jc w:val="center"/>
        <w:rPr>
          <w:rFonts w:ascii="Times New Roman;Times;serif" w:hAnsi="Times New Roman;Times;serif"/>
          <w:b/>
          <w:sz w:val="20"/>
        </w:rPr>
      </w:pPr>
      <w:bookmarkStart w:id="28" w:name="BalanceSheets_587180"/>
      <w:bookmarkEnd w:id="28"/>
      <w:r>
        <w:rPr>
          <w:rFonts w:ascii="Times New Roman;Times;serif" w:hAnsi="Times New Roman;Times;serif"/>
          <w:b/>
          <w:sz w:val="20"/>
        </w:rPr>
        <w:t>Unaudited 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 w:name="Tc_ZpcrgbToT0CC8FZFdNmTtw_46_5"/>
      <w:bookmarkStart w:id="30" w:name="Tc_5qsDape5sU2LmJR9mnFjyg_46_2"/>
      <w:bookmarkStart w:id="31" w:name="Tc_UeR3tZH0302cbWQ3JaJoeA_46_0"/>
      <w:bookmarkStart w:id="32" w:name="Tc_FtFUv7aTMkm8TROh2ibZpg_44_0"/>
      <w:bookmarkStart w:id="33" w:name="Tc_1YDIOdrnI0iuVO4lTUKIng_43_0"/>
      <w:bookmarkStart w:id="34" w:name="Tc_2a8y-xjzF0KgBcqiMdPeYg_42_0"/>
      <w:bookmarkStart w:id="35" w:name="Tc_qvMlFVp4tUyYSWFLxoCusQ_41_0"/>
      <w:bookmarkStart w:id="36" w:name="Tc_niZudYUbREiVJLavi0F-XQ_40_0"/>
      <w:bookmarkStart w:id="37" w:name="Tc_gy8WfpAp8UqSwZIL7-wyDQ_39_0"/>
      <w:bookmarkStart w:id="38" w:name="_4026f4aa_c3b1_476d_b782_efe3bba2277f_3"/>
      <w:bookmarkStart w:id="39" w:name="_4026f4aa_c3b1_476d_b782_efe3bba2277f_2"/>
      <w:bookmarkStart w:id="40" w:name="_4026f4aa_c3b1_476d_b782_efe3bba2277f"/>
      <w:bookmarkStart w:id="41" w:name="Tc_LBEtDPi4Qk2L0nqWda4VwQ_38_0"/>
      <w:bookmarkStart w:id="42" w:name="Tc_Y3UAb7p3fkOmchln_eDrBA_37_0"/>
      <w:bookmarkStart w:id="43" w:name="Tc_zi3kVMhoLEi5nux4SQCEgg_35_0"/>
      <w:bookmarkStart w:id="44" w:name="Tc_2ym0F7LChE2u6nBecu9Xtg_33_0"/>
      <w:bookmarkStart w:id="45" w:name="Tc_4w2Rkxu8x0m9qcy7nNRimw_32_0"/>
      <w:bookmarkStart w:id="46" w:name="Tc_tnJk5nVGv0yh2YqFoc6xVQ_31_0"/>
      <w:bookmarkStart w:id="47" w:name="Tc_JLqPZFNGM0i1gfMrEREYIA_30_0"/>
      <w:bookmarkStart w:id="48" w:name="Tc_h9oe-B5nlEeascw_PGVx9w_29_0"/>
      <w:bookmarkStart w:id="49" w:name="Tc_uKF5wdso_0uCVX4meE8ecw_28_0"/>
      <w:bookmarkStart w:id="50" w:name="Tc_kWffHGoeskaxYq_iwYyU6g_27_3"/>
      <w:bookmarkStart w:id="51" w:name="Tc_IbqKmU6BTkWiFUhjI0faMA_27_0"/>
      <w:bookmarkStart w:id="52" w:name="Tc_bPRfhAQOX0apKW1JMTdUhg_26_0"/>
      <w:bookmarkStart w:id="53" w:name="Tc_3P217nNyY06qzFWX4WQyqQ_25_0"/>
      <w:bookmarkStart w:id="54" w:name="Tc_2CAAY3Uv50KPeKRyZzZ9vQ_24_0"/>
      <w:bookmarkStart w:id="55" w:name="Tc_KN0WvIIhcUuuUukvQHjdZA_23_5"/>
      <w:bookmarkStart w:id="56" w:name="Tc_Vj6jgHVITU-1E6AdthCvJQ_23_2"/>
      <w:bookmarkStart w:id="57" w:name="Tc_vobBxua-Jk-jYUurYqHoHw_23_0"/>
      <w:bookmarkStart w:id="58" w:name="Tc_K6oeI9gTuk2e3QqaBlo8dA_22_0"/>
      <w:bookmarkStart w:id="59" w:name="Tc_TdYGfh9aEUuFZW2KRt96NQ_21_0"/>
      <w:bookmarkStart w:id="60" w:name="Tc_MS-t5rdD70W5qAw5MT8hVg_19_5"/>
      <w:bookmarkStart w:id="61" w:name="Tc_0AsAvZTbgE--LjjBlPnAtQ_19_2"/>
      <w:bookmarkStart w:id="62" w:name="Tc_5LHPkhISH0q2mJIXNRVZww_19_0"/>
      <w:bookmarkStart w:id="63" w:name="Tc_ar8Ctn_Jk02sA3XsNwJZug_17_0"/>
      <w:bookmarkStart w:id="64" w:name="Tc_dolTd9ELNEy3PX--U7sa2Q_16_0"/>
      <w:bookmarkStart w:id="65" w:name="Tc_aklopZmdhUGRvJMhfi6mMg_15_0"/>
      <w:bookmarkStart w:id="66" w:name="Tc_xjATtnIa4U63S0t4gwB4pg_14_0"/>
      <w:bookmarkStart w:id="67" w:name="Tc_1_AbWHy750q3YEeA34D4sQ_13_0"/>
      <w:bookmarkStart w:id="68" w:name="Tc_9WReVZ6GC0-fgPe49DmYSw_12_0"/>
      <w:bookmarkStart w:id="69" w:name="Tc_vbL_yPBhx0eIwqa-Xe4Bpw_11_0"/>
      <w:bookmarkStart w:id="70" w:name="Tc_GGgefpfq2EWt5GC936kitw_10_0"/>
      <w:bookmarkStart w:id="71" w:name="Tc_EcJ0iNpDzk6Ix6YxrAq0hA_9_0"/>
      <w:bookmarkStart w:id="72" w:name="Tc_nBdFs_uqlUm8ZgB7SRG-OQ_8_0"/>
      <w:bookmarkStart w:id="73" w:name="Tc_579V78QxA0SbT_y_rErydQ_7_0"/>
      <w:bookmarkStart w:id="74" w:name="Tc_HBkZkx7POEqJ_D5_7oaX8A_6_0"/>
      <w:bookmarkStart w:id="75" w:name="Tc_QyFldmGA8kmTvVTB9ibDAg_5_5"/>
      <w:bookmarkStart w:id="76" w:name="Tc_ST7xrPv9t0uPCN1gNLip-w_5_2"/>
      <w:bookmarkStart w:id="77" w:name="Tc_t1QYGfiiA0ONBR2dF3iVMw_5_0"/>
      <w:bookmarkStart w:id="78" w:name="Tc_sVlSfp1S4EafhmkBMjDCbA_4_0"/>
      <w:bookmarkStart w:id="79" w:name="Tc_EWH_MwSeQkixFJzKVIvhWA_3_0"/>
      <w:bookmarkStart w:id="80" w:name="Tc_aIU1MGb8W0-vNtKdxDaxDQ_2_5"/>
      <w:bookmarkStart w:id="81" w:name="Tc_XGytbYIklUmDv8NYdWvM8w_2_2"/>
      <w:bookmarkStart w:id="82" w:name="Tc_qFBLa-cKLEi3Ma8imwVPZQ_1_5"/>
      <w:bookmarkStart w:id="83" w:name="Tc_nH-tsVJG-kODsY6WTJ28aQ_1_2"/>
      <w:bookmarkStart w:id="84" w:name="_ad4be059_e33c_4239_a384_2e75a7a5da68"/>
      <w:bookmarkStart w:id="85" w:name="Tc_ZpcrgbToT0CC8FZFdNmTtw_46_5"/>
      <w:bookmarkStart w:id="86" w:name="Tc_5qsDape5sU2LmJR9mnFjyg_46_2"/>
      <w:bookmarkStart w:id="87" w:name="Tc_UeR3tZH0302cbWQ3JaJoeA_46_0"/>
      <w:bookmarkStart w:id="88" w:name="Tc_FtFUv7aTMkm8TROh2ibZpg_44_0"/>
      <w:bookmarkStart w:id="89" w:name="Tc_1YDIOdrnI0iuVO4lTUKIng_43_0"/>
      <w:bookmarkStart w:id="90" w:name="Tc_2a8y-xjzF0KgBcqiMdPeYg_42_0"/>
      <w:bookmarkStart w:id="91" w:name="Tc_qvMlFVp4tUyYSWFLxoCusQ_41_0"/>
      <w:bookmarkStart w:id="92" w:name="Tc_niZudYUbREiVJLavi0F-XQ_40_0"/>
      <w:bookmarkStart w:id="93" w:name="Tc_gy8WfpAp8UqSwZIL7-wyDQ_39_0"/>
      <w:bookmarkStart w:id="94" w:name="_4026f4aa_c3b1_476d_b782_efe3bba2277f_3"/>
      <w:bookmarkStart w:id="95" w:name="_4026f4aa_c3b1_476d_b782_efe3bba2277f_2"/>
      <w:bookmarkStart w:id="96" w:name="_4026f4aa_c3b1_476d_b782_efe3bba2277f"/>
      <w:bookmarkStart w:id="97" w:name="Tc_LBEtDPi4Qk2L0nqWda4VwQ_38_0"/>
      <w:bookmarkStart w:id="98" w:name="Tc_Y3UAb7p3fkOmchln_eDrBA_37_0"/>
      <w:bookmarkStart w:id="99" w:name="Tc_zi3kVMhoLEi5nux4SQCEgg_35_0"/>
      <w:bookmarkStart w:id="100" w:name="Tc_2ym0F7LChE2u6nBecu9Xtg_33_0"/>
      <w:bookmarkStart w:id="101" w:name="Tc_4w2Rkxu8x0m9qcy7nNRimw_32_0"/>
      <w:bookmarkStart w:id="102" w:name="Tc_tnJk5nVGv0yh2YqFoc6xVQ_31_0"/>
      <w:bookmarkStart w:id="103" w:name="Tc_JLqPZFNGM0i1gfMrEREYIA_30_0"/>
      <w:bookmarkStart w:id="104" w:name="Tc_h9oe-B5nlEeascw_PGVx9w_29_0"/>
      <w:bookmarkStart w:id="105" w:name="Tc_uKF5wdso_0uCVX4meE8ecw_28_0"/>
      <w:bookmarkStart w:id="106" w:name="Tc_kWffHGoeskaxYq_iwYyU6g_27_3"/>
      <w:bookmarkStart w:id="107" w:name="Tc_IbqKmU6BTkWiFUhjI0faMA_27_0"/>
      <w:bookmarkStart w:id="108" w:name="Tc_bPRfhAQOX0apKW1JMTdUhg_26_0"/>
      <w:bookmarkStart w:id="109" w:name="Tc_3P217nNyY06qzFWX4WQyqQ_25_0"/>
      <w:bookmarkStart w:id="110" w:name="Tc_2CAAY3Uv50KPeKRyZzZ9vQ_24_0"/>
      <w:bookmarkStart w:id="111" w:name="Tc_KN0WvIIhcUuuUukvQHjdZA_23_5"/>
      <w:bookmarkStart w:id="112" w:name="Tc_Vj6jgHVITU-1E6AdthCvJQ_23_2"/>
      <w:bookmarkStart w:id="113" w:name="Tc_vobBxua-Jk-jYUurYqHoHw_23_0"/>
      <w:bookmarkStart w:id="114" w:name="Tc_K6oeI9gTuk2e3QqaBlo8dA_22_0"/>
      <w:bookmarkStart w:id="115" w:name="Tc_TdYGfh9aEUuFZW2KRt96NQ_21_0"/>
      <w:bookmarkStart w:id="116" w:name="Tc_MS-t5rdD70W5qAw5MT8hVg_19_5"/>
      <w:bookmarkStart w:id="117" w:name="Tc_0AsAvZTbgE--LjjBlPnAtQ_19_2"/>
      <w:bookmarkStart w:id="118" w:name="Tc_5LHPkhISH0q2mJIXNRVZww_19_0"/>
      <w:bookmarkStart w:id="119" w:name="Tc_ar8Ctn_Jk02sA3XsNwJZug_17_0"/>
      <w:bookmarkStart w:id="120" w:name="Tc_dolTd9ELNEy3PX--U7sa2Q_16_0"/>
      <w:bookmarkStart w:id="121" w:name="Tc_aklopZmdhUGRvJMhfi6mMg_15_0"/>
      <w:bookmarkStart w:id="122" w:name="Tc_xjATtnIa4U63S0t4gwB4pg_14_0"/>
      <w:bookmarkStart w:id="123" w:name="Tc_1_AbWHy750q3YEeA34D4sQ_13_0"/>
      <w:bookmarkStart w:id="124" w:name="Tc_9WReVZ6GC0-fgPe49DmYSw_12_0"/>
      <w:bookmarkStart w:id="125" w:name="Tc_vbL_yPBhx0eIwqa-Xe4Bpw_11_0"/>
      <w:bookmarkStart w:id="126" w:name="Tc_GGgefpfq2EWt5GC936kitw_10_0"/>
      <w:bookmarkStart w:id="127" w:name="Tc_EcJ0iNpDzk6Ix6YxrAq0hA_9_0"/>
      <w:bookmarkStart w:id="128" w:name="Tc_nBdFs_uqlUm8ZgB7SRG-OQ_8_0"/>
      <w:bookmarkStart w:id="129" w:name="Tc_579V78QxA0SbT_y_rErydQ_7_0"/>
      <w:bookmarkStart w:id="130" w:name="Tc_HBkZkx7POEqJ_D5_7oaX8A_6_0"/>
      <w:bookmarkStart w:id="131" w:name="Tc_QyFldmGA8kmTvVTB9ibDAg_5_5"/>
      <w:bookmarkStart w:id="132" w:name="Tc_ST7xrPv9t0uPCN1gNLip-w_5_2"/>
      <w:bookmarkStart w:id="133" w:name="Tc_t1QYGfiiA0ONBR2dF3iVMw_5_0"/>
      <w:bookmarkStart w:id="134" w:name="Tc_sVlSfp1S4EafhmkBMjDCbA_4_0"/>
      <w:bookmarkStart w:id="135" w:name="Tc_EWH_MwSeQkixFJzKVIvhWA_3_0"/>
      <w:bookmarkStart w:id="136" w:name="Tc_aIU1MGb8W0-vNtKdxDaxDQ_2_5"/>
      <w:bookmarkStart w:id="137" w:name="Tc_XGytbYIklUmDv8NYdWvM8w_2_2"/>
      <w:bookmarkStart w:id="138" w:name="Tc_qFBLa-cKLEi3Ma8imwVPZQ_1_5"/>
      <w:bookmarkStart w:id="139" w:name="Tc_nH-tsVJG-kODsY6WTJ28aQ_1_2"/>
      <w:bookmarkStart w:id="140" w:name="_ad4be059_e33c_4239_a384_2e75a7a5da68"/>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6746"/>
        <w:gridCol w:w="326"/>
        <w:gridCol w:w="278"/>
        <w:gridCol w:w="983"/>
        <w:gridCol w:w="326"/>
        <w:gridCol w:w="325"/>
        <w:gridCol w:w="1221"/>
      </w:tblGrid>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6530" cy="175260"/>
                      <wp:effectExtent l="0" t="0" r="0" b="0"/>
                      <wp:wrapNone/>
                      <wp:docPr id="7" name="Frame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24205" cy="175260"/>
                      <wp:effectExtent l="0" t="0" r="0" b="0"/>
                      <wp:wrapNone/>
                      <wp:docPr id="8" name="Frame8"/>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6375" cy="175260"/>
                      <wp:effectExtent l="0" t="0" r="0" b="0"/>
                      <wp:wrapNone/>
                      <wp:docPr id="10" name="Frame10"/>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75335" cy="175260"/>
                      <wp:effectExtent l="0" t="0" r="0" b="0"/>
                      <wp:wrapNone/>
                      <wp:docPr id="11" name="Frame11"/>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1)</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25"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pPr>
            <w:r>
              <w:rPr/>
              <w:t>  </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pPr>
            <w:r>
              <w:rPr/>
              <w:t>  </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1,612</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4,608</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5,969</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5,110</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2,845</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11,712</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14,020</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5,185</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5,420</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Trademarks and other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46,130</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47,665</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method investment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18,680</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19,195</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72,449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74,915</w: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84,161</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88,935</w: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pPr>
            <w:r>
              <w:rPr/>
              <w:t>  </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pPr>
            <w:r>
              <w:rPr/>
              <w:t>  </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3,958</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income taxes payable</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payroll</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operating lease obligations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1,395</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contingent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7,976</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6,561</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pPr>
            <w:r>
              <w:rPr/>
              <w:t>  </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portion of operating lease obligations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5,531</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5,839</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portion of contingent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6,396</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6,396</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long-term liabilities</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11,927</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12,235</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19,903</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18,796</w: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pPr>
            <w:r>
              <w:rPr/>
              <w:t>  </w: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pPr>
            <w:r>
              <w:rPr/>
              <w:t>  </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$.001 par value, 1,000,000 shares authorized, none issued and outstanding</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50,000,000</w:t>
            </w:r>
            <w:r>
              <w:rPr>
                <w:rFonts w:ascii="Times New Roman;Times;serif" w:hAnsi="Times New Roman;Times;serif"/>
                <w:sz w:val="20"/>
              </w:rPr>
              <w:t xml:space="preserve"> </w:t>
            </w:r>
            <w:r>
              <w:rPr>
                <w:rFonts w:ascii="Times New Roman;Times;serif" w:hAnsi="Times New Roman;Times;serif"/>
                <w:sz w:val="16"/>
              </w:rPr>
              <w:t>shares authorized, and 19,633,194</w:t>
            </w:r>
            <w:r>
              <w:rPr>
                <w:rFonts w:ascii="Times New Roman;Times;serif" w:hAnsi="Times New Roman;Times;serif"/>
                <w:sz w:val="20"/>
              </w:rPr>
              <w:t xml:space="preserve"> </w:t>
            </w:r>
            <w:r>
              <w:rPr>
                <w:rFonts w:ascii="Times New Roman;Times;serif" w:hAnsi="Times New Roman;Times;serif"/>
                <w:sz w:val="16"/>
              </w:rPr>
              <w:t>and 19,624,860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at March 31, 2023 and December 31,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Paid-in capital</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103,649</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103,592</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(38,440)</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(32,797)</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Xcel Brands, Inc. stockholders' equity</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65,229</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70,815</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64,258</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70,139</w:t>
            </w:r>
          </w:p>
        </w:tc>
      </w:tr>
      <w:tr>
        <w:trPr/>
        <w:tc>
          <w:tcPr>
            <w:tcW w:w="6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left"/>
              <w:rPr/>
            </w:pPr>
            <w:r>
              <w:rPr/>
              <w:t>​</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84,161</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88,935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1" w:name="_ddb1fa9d_cb73_4f04_b01e_9fd27584ea8b"/>
      <w:bookmarkEnd w:id="141"/>
      <w:r>
        <w:rPr>
          <w:rFonts w:ascii="Times New Roman;Times;serif" w:hAnsi="Times New Roman;Times;serif"/>
          <w:b/>
          <w:sz w:val="20"/>
        </w:rPr>
        <w:t>Xcel Brands, Inc. and Subsidiaries</w:t>
      </w:r>
    </w:p>
    <w:p>
      <w:pPr>
        <w:pStyle w:val="TextBody"/>
        <w:bidi w:val="0"/>
        <w:spacing w:before="0" w:after="0"/>
        <w:ind w:left="0" w:right="0" w:hanging="0"/>
        <w:jc w:val="center"/>
        <w:rPr>
          <w:rFonts w:ascii="Times New Roman;Times;serif" w:hAnsi="Times New Roman;Times;serif"/>
          <w:b/>
          <w:sz w:val="20"/>
        </w:rPr>
      </w:pPr>
      <w:bookmarkStart w:id="142" w:name="StatementsofOperations_713277"/>
      <w:bookmarkEnd w:id="142"/>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3" w:name="Tc_cJ1yl4A0ok6FnwaaEHJenQ_41_0"/>
      <w:bookmarkStart w:id="144" w:name="Tc_ZtE2AVOEaEmg5iERPKP1Ig_40_0"/>
      <w:bookmarkStart w:id="145" w:name="Tc_BdNmyDTZ40iyr1oN_N0BpA_39_0"/>
      <w:bookmarkStart w:id="146" w:name="Tc_k6mojpABOECx0aYWdEsUZw_38_0"/>
      <w:bookmarkStart w:id="147" w:name="Tc_xQX4RAFF5UC6OnZxy5fmMg_36_5"/>
      <w:bookmarkStart w:id="148" w:name="Tc_68ed09i-dU2m1IoRau7EOQ_36_2"/>
      <w:bookmarkStart w:id="149" w:name="Tc_TDrWcmA0C06-AKmhWjMeWg_36_0"/>
      <w:bookmarkStart w:id="150" w:name="Tc_YG9y0n3zUkCRqN4u4cWfCg_35_0"/>
      <w:bookmarkStart w:id="151" w:name="Tc_up10hfeOgECOfKhLH_aLaw_34_0"/>
      <w:bookmarkStart w:id="152" w:name="Tc_1PCz0PlBJUSY2RE_F3zoTg_32_6"/>
      <w:bookmarkStart w:id="153" w:name="Tc_JgGSlk1CMk-HdTubSDydiA_32_3"/>
      <w:bookmarkStart w:id="154" w:name="Tc_TDkY8ucpZEubaopansIIvg_32_0"/>
      <w:bookmarkStart w:id="155" w:name="Tc_beUqXntyukePJB5fxkQPRw_30_0"/>
      <w:bookmarkStart w:id="156" w:name="Tc_hgLSkJhKEkiPLzfROMAmWg_28_0"/>
      <w:bookmarkStart w:id="157" w:name="Tc_39rMoTKA3kCwcqRam2NBgA_27_0"/>
      <w:bookmarkStart w:id="158" w:name="Tc_geIpJgvv6UqXmykSYqukhg_26_3"/>
      <w:bookmarkStart w:id="159" w:name="Tc_LloIyUo2EUGcvXwYEVckQQ_26_0"/>
      <w:bookmarkStart w:id="160" w:name="Tc_Q8FfssKnHUeqqWrwQAuf5A_25_0"/>
      <w:bookmarkStart w:id="161" w:name="Tc_-LcPSdnMiEyfOIHD99hgOA_23_0"/>
      <w:bookmarkStart w:id="162" w:name="Tc_Mwv74MxjtUOmSnv_DzA6HQ_21_0"/>
      <w:bookmarkStart w:id="163" w:name="Tc_VZXa_3kSUEm-0jAL8c3mKA_20_6"/>
      <w:bookmarkStart w:id="164" w:name="Tc_ck-eJ8cYwku6Xd4qet5YpQ_20_0"/>
      <w:bookmarkStart w:id="165" w:name="Tc_9VN3PsI_7E-8Z-8cIEo6Vw_19_0"/>
      <w:bookmarkStart w:id="166" w:name="Tc_XX6aEVLFcEOEWSDnOkhDtA_18_0"/>
      <w:bookmarkStart w:id="167" w:name="Tc_IT1WwX0zxEiafDCdI0AyIw_16_0"/>
      <w:bookmarkStart w:id="168" w:name="Tc_WJujbtgCIEiE4P9iZITtkw_14_0"/>
      <w:bookmarkStart w:id="169" w:name="Tc_tzIUNA4D2Ea2UKvF2q6FDQ_13_0"/>
      <w:bookmarkStart w:id="170" w:name="Tc_1wBg6XM8CEWyJ8NNzLGgRg_12_0"/>
      <w:bookmarkStart w:id="171" w:name="Tc_13h_B62aSEKoIJ5SYAekXg_11_0"/>
      <w:bookmarkStart w:id="172" w:name="Tc_sJMtNiixfEiVDBKh9bBB3g_9_0"/>
      <w:bookmarkStart w:id="173" w:name="Tc_6H56Wtx960SocoEJZYz-vw_8_0"/>
      <w:bookmarkStart w:id="174" w:name="Tc_iMN3pz87tEScQ2PA79p8eg_7_0"/>
      <w:bookmarkStart w:id="175" w:name="Tc_t2RuMIpuVEGFSXfnU8_XJw_6_0"/>
      <w:bookmarkStart w:id="176" w:name="Tc_Jl3USUTMcEq5rFt6l8j9hw_5_5"/>
      <w:bookmarkStart w:id="177" w:name="Tc__lus32n140C2Mdu76ETRzQ_5_2"/>
      <w:bookmarkStart w:id="178" w:name="Tc_8vd6oG1fmkeL0FcG-euJpA_5_0"/>
      <w:bookmarkStart w:id="179" w:name="Tc_o2Wb6EDnF0-Yd0Vp7uQLfA_4_0"/>
      <w:bookmarkStart w:id="180" w:name="Tc_LEEocTmXNUa49xNFv6l50A_3_5"/>
      <w:bookmarkStart w:id="181" w:name="Tc_fF6HWOh1tEGJ3ESiUAVVSw_3_2"/>
      <w:bookmarkStart w:id="182" w:name="Tc_Z94F-YFW3E-OBuHWEw_jmQ_2_2"/>
      <w:bookmarkStart w:id="183" w:name="Tc_7KfvXRoA-0CwFxNKm0NayQ_1_2"/>
      <w:bookmarkStart w:id="184" w:name="_76d06841_fe9a_4874_a928_e38488709836"/>
      <w:bookmarkStart w:id="185" w:name="Tc_cJ1yl4A0ok6FnwaaEHJenQ_41_0"/>
      <w:bookmarkStart w:id="186" w:name="Tc_ZtE2AVOEaEmg5iERPKP1Ig_40_0"/>
      <w:bookmarkStart w:id="187" w:name="Tc_BdNmyDTZ40iyr1oN_N0BpA_39_0"/>
      <w:bookmarkStart w:id="188" w:name="Tc_k6mojpABOECx0aYWdEsUZw_38_0"/>
      <w:bookmarkStart w:id="189" w:name="Tc_xQX4RAFF5UC6OnZxy5fmMg_36_5"/>
      <w:bookmarkStart w:id="190" w:name="Tc_68ed09i-dU2m1IoRau7EOQ_36_2"/>
      <w:bookmarkStart w:id="191" w:name="Tc_TDrWcmA0C06-AKmhWjMeWg_36_0"/>
      <w:bookmarkStart w:id="192" w:name="Tc_YG9y0n3zUkCRqN4u4cWfCg_35_0"/>
      <w:bookmarkStart w:id="193" w:name="Tc_up10hfeOgECOfKhLH_aLaw_34_0"/>
      <w:bookmarkStart w:id="194" w:name="Tc_1PCz0PlBJUSY2RE_F3zoTg_32_6"/>
      <w:bookmarkStart w:id="195" w:name="Tc_JgGSlk1CMk-HdTubSDydiA_32_3"/>
      <w:bookmarkStart w:id="196" w:name="Tc_TDkY8ucpZEubaopansIIvg_32_0"/>
      <w:bookmarkStart w:id="197" w:name="Tc_beUqXntyukePJB5fxkQPRw_30_0"/>
      <w:bookmarkStart w:id="198" w:name="Tc_hgLSkJhKEkiPLzfROMAmWg_28_0"/>
      <w:bookmarkStart w:id="199" w:name="Tc_39rMoTKA3kCwcqRam2NBgA_27_0"/>
      <w:bookmarkStart w:id="200" w:name="Tc_geIpJgvv6UqXmykSYqukhg_26_3"/>
      <w:bookmarkStart w:id="201" w:name="Tc_LloIyUo2EUGcvXwYEVckQQ_26_0"/>
      <w:bookmarkStart w:id="202" w:name="Tc_Q8FfssKnHUeqqWrwQAuf5A_25_0"/>
      <w:bookmarkStart w:id="203" w:name="Tc_-LcPSdnMiEyfOIHD99hgOA_23_0"/>
      <w:bookmarkStart w:id="204" w:name="Tc_Mwv74MxjtUOmSnv_DzA6HQ_21_0"/>
      <w:bookmarkStart w:id="205" w:name="Tc_VZXa_3kSUEm-0jAL8c3mKA_20_6"/>
      <w:bookmarkStart w:id="206" w:name="Tc_ck-eJ8cYwku6Xd4qet5YpQ_20_0"/>
      <w:bookmarkStart w:id="207" w:name="Tc_9VN3PsI_7E-8Z-8cIEo6Vw_19_0"/>
      <w:bookmarkStart w:id="208" w:name="Tc_XX6aEVLFcEOEWSDnOkhDtA_18_0"/>
      <w:bookmarkStart w:id="209" w:name="Tc_IT1WwX0zxEiafDCdI0AyIw_16_0"/>
      <w:bookmarkStart w:id="210" w:name="Tc_WJujbtgCIEiE4P9iZITtkw_14_0"/>
      <w:bookmarkStart w:id="211" w:name="Tc_tzIUNA4D2Ea2UKvF2q6FDQ_13_0"/>
      <w:bookmarkStart w:id="212" w:name="Tc_1wBg6XM8CEWyJ8NNzLGgRg_12_0"/>
      <w:bookmarkStart w:id="213" w:name="Tc_13h_B62aSEKoIJ5SYAekXg_11_0"/>
      <w:bookmarkStart w:id="214" w:name="Tc_sJMtNiixfEiVDBKh9bBB3g_9_0"/>
      <w:bookmarkStart w:id="215" w:name="Tc_6H56Wtx960SocoEJZYz-vw_8_0"/>
      <w:bookmarkStart w:id="216" w:name="Tc_iMN3pz87tEScQ2PA79p8eg_7_0"/>
      <w:bookmarkStart w:id="217" w:name="Tc_t2RuMIpuVEGFSXfnU8_XJw_6_0"/>
      <w:bookmarkStart w:id="218" w:name="Tc_Jl3USUTMcEq5rFt6l8j9hw_5_5"/>
      <w:bookmarkStart w:id="219" w:name="Tc__lus32n140C2Mdu76ETRzQ_5_2"/>
      <w:bookmarkStart w:id="220" w:name="Tc_8vd6oG1fmkeL0FcG-euJpA_5_0"/>
      <w:bookmarkStart w:id="221" w:name="Tc_o2Wb6EDnF0-Yd0Vp7uQLfA_4_0"/>
      <w:bookmarkStart w:id="222" w:name="Tc_LEEocTmXNUa49xNFv6l50A_3_5"/>
      <w:bookmarkStart w:id="223" w:name="Tc_fF6HWOh1tEGJ3ESiUAVVSw_3_2"/>
      <w:bookmarkStart w:id="224" w:name="Tc_Z94F-YFW3E-OBuHWEw_jmQ_2_2"/>
      <w:bookmarkStart w:id="225" w:name="Tc_7KfvXRoA-0CwFxNKm0NayQ_1_2"/>
      <w:bookmarkStart w:id="226" w:name="_76d06841_fe9a_4874_a928_e38488709836"/>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9477" w:type="dxa"/>
        <w:jc w:val="left"/>
        <w:tblInd w:w="0" w:type="dxa"/>
        <w:tblLayout w:type="fixed"/>
        <w:tblCellMar>
          <w:top w:w="0" w:type="dxa"/>
          <w:left w:w="0" w:type="dxa"/>
          <w:bottom w:w="0" w:type="dxa"/>
          <w:right w:w="0" w:type="dxa"/>
        </w:tblCellMar>
      </w:tblPr>
      <w:tblGrid>
        <w:gridCol w:w="6226"/>
        <w:gridCol w:w="326"/>
        <w:gridCol w:w="211"/>
        <w:gridCol w:w="1036"/>
        <w:gridCol w:w="326"/>
        <w:gridCol w:w="211"/>
        <w:gridCol w:w="1141"/>
      </w:tblGrid>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licensing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5,961</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8,747</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7,067</w:t>
            </w:r>
          </w:p>
        </w:tc>
      </w:tr>
      <w:tr>
        <w:trPr/>
        <w:tc>
          <w:tcPr>
            <w:tcW w:w="62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benefits and employment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4,861</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3,416</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8,277</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 before other expense (income), including non-cash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 including non-cash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including non-cash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w:t>
            </w:r>
          </w:p>
        </w:tc>
      </w:tr>
      <w:tr>
        <w:trPr/>
        <w:tc>
          <w:tcPr>
            <w:tcW w:w="62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w:t>
            </w:r>
          </w:p>
        </w:tc>
      </w:tr>
      <w:tr>
        <w:trPr/>
        <w:tc>
          <w:tcPr>
            <w:tcW w:w="62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and finance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 term loan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interest and finance charges,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and finance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benefit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(3,739)</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Xcel Brands, Inc.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(3,487)</w:t>
            </w:r>
          </w:p>
        </w:tc>
      </w:tr>
      <w:tr>
        <w:trPr/>
        <w:tc>
          <w:tcPr>
            <w:tcW w:w="6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common share attributable to Xcel Brands, Inc.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6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common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19,633,194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19,571,119</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3"/>
        </w:rPr>
      </w:pPr>
      <w:bookmarkStart w:id="227" w:name="_768e5836_6f38_4094_845d_9ba5ce5d52ed"/>
      <w:bookmarkEnd w:id="227"/>
      <w:r>
        <w:rPr>
          <w:rFonts w:ascii="Times New Roman;Times;serif" w:hAnsi="Times New Roman;Times;serif"/>
          <w:b/>
          <w:sz w:val="13"/>
        </w:rPr>
        <w:t>Xcel Brands, Inc. and Subsidiaries</w:t>
      </w:r>
    </w:p>
    <w:p>
      <w:pPr>
        <w:pStyle w:val="TextBody"/>
        <w:bidi w:val="0"/>
        <w:spacing w:before="0" w:after="0"/>
        <w:ind w:left="0" w:right="0" w:hanging="0"/>
        <w:jc w:val="center"/>
        <w:rPr>
          <w:rFonts w:ascii="Times New Roman;Times;serif" w:hAnsi="Times New Roman;Times;serif"/>
          <w:b/>
          <w:sz w:val="13"/>
        </w:rPr>
      </w:pPr>
      <w:bookmarkStart w:id="228" w:name="StockholdersEquity_347330"/>
      <w:bookmarkEnd w:id="228"/>
      <w:r>
        <w:rPr>
          <w:rFonts w:ascii="Times New Roman;Times;serif" w:hAnsi="Times New Roman;Times;serif"/>
          <w:b/>
          <w:sz w:val="13"/>
        </w:rPr>
        <w:t>Unaudited Condensed Consolidated Statements of Stockholders’ Equity</w:t>
      </w:r>
    </w:p>
    <w:p>
      <w:pPr>
        <w:pStyle w:val="TextBody"/>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thousands, except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9" w:name="Tc__sSkkp9kfEOijzNp8PsM0w_22_17"/>
      <w:bookmarkStart w:id="230" w:name="Tc_sd5cFrLylUe-qTUNl4I5Bg_22_13"/>
      <w:bookmarkStart w:id="231" w:name="Tc_YazDR2YKDkC3JI6KlX4IPA_22_10"/>
      <w:bookmarkStart w:id="232" w:name="Tc_IOyMBHo5BUiI5z8RZRasYA_22_7"/>
      <w:bookmarkStart w:id="233" w:name="Tc_15Cad-rHLUqLuC872nOksw_22_4"/>
      <w:bookmarkStart w:id="234" w:name="Tc_bBVawhm1z0ytIRnRbfkiDw_22_0"/>
      <w:bookmarkStart w:id="235" w:name="Tc_5qMNCZKDUkiDoUdAiQTVEA_20_8"/>
      <w:bookmarkStart w:id="236" w:name="Tc_ZBJ2_sEGDUGemlInptEZRQ_20_5"/>
      <w:bookmarkStart w:id="237" w:name="Tc_TWm943lr4k2v71ArYpXrzA_20_2"/>
      <w:bookmarkStart w:id="238" w:name="Tc_IeUicJUMkk2mXd6n3_3lmA_20_0"/>
      <w:bookmarkStart w:id="239" w:name="Tc_9wupygnEm0ymEaVfr24UJg_18_14"/>
      <w:bookmarkStart w:id="240" w:name="Tc_Fv21F5t-CUyu7gQ2kyES8g_18_11"/>
      <w:bookmarkStart w:id="241" w:name="Tc_zLquTVHKS0-A7SlMDHFQPQ_18_5"/>
      <w:bookmarkStart w:id="242" w:name="Tc_05d_tWJ_HkesnzQ_tzATiw_18_0"/>
      <w:bookmarkStart w:id="243" w:name="Tc_HmDrHb-V8U-juih5tBMDRg_16_14"/>
      <w:bookmarkStart w:id="244" w:name="Tc_d2juF1R7lEW-WHnlVpaCog_16_11"/>
      <w:bookmarkStart w:id="245" w:name="Tc_hsL72g8I7keAYtpLrsHftg_16_5"/>
      <w:bookmarkStart w:id="246" w:name="Tc_YRwKSOcOk0KfbmW5cw8sdA_16_2"/>
      <w:bookmarkStart w:id="247" w:name="Tc_ZgjZLa0GhUCccq99vdIwgA_16_0"/>
      <w:bookmarkStart w:id="248" w:name="Tc_sxg7OXLppkuIhAASlaZs9g_14_17"/>
      <w:bookmarkStart w:id="249" w:name="Tc_S_9kV2ZV-0ypwrb2mY1Hrg_14_13"/>
      <w:bookmarkStart w:id="250" w:name="Tc_7iuJ6NwlFU2pgZnhKsrDHw_14_10"/>
      <w:bookmarkStart w:id="251" w:name="Tc_jryMGLMTp0O3iV_OJdkT8g_14_7"/>
      <w:bookmarkStart w:id="252" w:name="Tc_T_udrVruG0ytCv0CgS7ZoQ_14_4"/>
      <w:bookmarkStart w:id="253" w:name="Tc_Dl8xfUaXcE6NOQngBLgTWw_14_0"/>
      <w:bookmarkStart w:id="254" w:name="Tc_KqNFLQucpEG38aMc9CuFog_11_17"/>
      <w:bookmarkStart w:id="255" w:name="Tc_M6sS7W2Ac062EhgbomMBSg_11_13"/>
      <w:bookmarkStart w:id="256" w:name="Tc_tDwOnt8T1Ee4Rm8LuSSASQ_11_10"/>
      <w:bookmarkStart w:id="257" w:name="Tc_SCtfLRORtkq0GkiQaCIkuw_11_7"/>
      <w:bookmarkStart w:id="258" w:name="Tc_Qi1gi9EXr0mPgnJ7gwqSbg_11_4"/>
      <w:bookmarkStart w:id="259" w:name="Tc_4NguZqPpiU-urJdzPUCv4w_11_0"/>
      <w:bookmarkStart w:id="260" w:name="Tc_jwouYNf-fEOnOCizoxmiDQ_9_8"/>
      <w:bookmarkStart w:id="261" w:name="Tc_EBLHeGBQeEyu-ngUTYatfA_9_5"/>
      <w:bookmarkStart w:id="262" w:name="Tc_gZTf3tCGb0WlzqmNHkrNNw_9_2"/>
      <w:bookmarkStart w:id="263" w:name="Tc_jusTiXyask2-1RhnOvSVLw_9_0"/>
      <w:bookmarkStart w:id="264" w:name="Tc_J-Qlel_6LUiUvjplV_FuPg_7_14"/>
      <w:bookmarkStart w:id="265" w:name="Tc_imgOHkjJ_UOIMU31tbbKeA_7_11"/>
      <w:bookmarkStart w:id="266" w:name="Tc_MlPpdt0yaU-vQL8czoon4Q_7_5"/>
      <w:bookmarkStart w:id="267" w:name="Tc_dCo_XurI90qJ5cgUN8EW8Q_7_2"/>
      <w:bookmarkStart w:id="268" w:name="Tc_fJFnWXCq00OqfUWjSc943g_7_0"/>
      <w:bookmarkStart w:id="269" w:name="Tc_Ap6DZ0l3bUajgCMhPMMLng_5_17"/>
      <w:bookmarkStart w:id="270" w:name="Tc_P-a8Uk0CQEyE_q5K6UwQsQ_5_13"/>
      <w:bookmarkStart w:id="271" w:name="Tc_U_h5AyyvMkCrSFYggUgKUg_5_10"/>
      <w:bookmarkStart w:id="272" w:name="Tc_WAM2v4Ioc0mmCxrum-psnw_5_7"/>
      <w:bookmarkStart w:id="273" w:name="Tc_VdNn45PhSUyv0TmWes8eXw_5_4"/>
      <w:bookmarkStart w:id="274" w:name="Tc_HFhRgbwc6EyokWWdRhAqvg_5_0"/>
      <w:bookmarkStart w:id="275" w:name="Tc_8mHWXcx_ZUO9F8h6qx3L4g_4_17"/>
      <w:bookmarkStart w:id="276" w:name="Tc_LXfxRfkQwEO_dTpTnnzZvQ_4_13"/>
      <w:bookmarkStart w:id="277" w:name="Tc_hAl0r1FnT0O-g_dXJKFl0A_4_10"/>
      <w:bookmarkStart w:id="278" w:name="Tc_-H_4SXVcjUeKTs1Y-p2mkg_4_7"/>
      <w:bookmarkStart w:id="279" w:name="Tc_MqEwZ-cwxkqR4qFnfKBDjg_4_4"/>
      <w:bookmarkStart w:id="280" w:name="Tc_9ecdiwra606JQ5ocKEqmcg_4_2"/>
      <w:bookmarkStart w:id="281" w:name="Tc_Kcm2SN2fnkq0bxUuYkndtQ_3_17"/>
      <w:bookmarkStart w:id="282" w:name="Tc_GzJmtia8HEyAo5Whu467HA_3_13"/>
      <w:bookmarkStart w:id="283" w:name="Tc_b2nxif9cmE-59jYXFZsyVQ_3_10"/>
      <w:bookmarkStart w:id="284" w:name="Tc_9yS4xMuTRUS7gVGNbIkkhg_3_7"/>
      <w:bookmarkStart w:id="285" w:name="Tc_Mutv65vY3ECBhpYIRCjkiw_3_2"/>
      <w:bookmarkStart w:id="286" w:name="Tc_jxo_yQSkBEWmVrSbvxGpLw_2_2"/>
      <w:bookmarkStart w:id="287" w:name="Tc_Uyewk-hALESgM1c_UU1u4g_1_2"/>
      <w:bookmarkStart w:id="288" w:name="_3fb9e492_2af7_419b_a761_37eb0a5fa133"/>
      <w:bookmarkStart w:id="289" w:name="Tc__sSkkp9kfEOijzNp8PsM0w_22_17"/>
      <w:bookmarkStart w:id="290" w:name="Tc_sd5cFrLylUe-qTUNl4I5Bg_22_13"/>
      <w:bookmarkStart w:id="291" w:name="Tc_YazDR2YKDkC3JI6KlX4IPA_22_10"/>
      <w:bookmarkStart w:id="292" w:name="Tc_IOyMBHo5BUiI5z8RZRasYA_22_7"/>
      <w:bookmarkStart w:id="293" w:name="Tc_15Cad-rHLUqLuC872nOksw_22_4"/>
      <w:bookmarkStart w:id="294" w:name="Tc_bBVawhm1z0ytIRnRbfkiDw_22_0"/>
      <w:bookmarkStart w:id="295" w:name="Tc_5qMNCZKDUkiDoUdAiQTVEA_20_8"/>
      <w:bookmarkStart w:id="296" w:name="Tc_ZBJ2_sEGDUGemlInptEZRQ_20_5"/>
      <w:bookmarkStart w:id="297" w:name="Tc_TWm943lr4k2v71ArYpXrzA_20_2"/>
      <w:bookmarkStart w:id="298" w:name="Tc_IeUicJUMkk2mXd6n3_3lmA_20_0"/>
      <w:bookmarkStart w:id="299" w:name="Tc_9wupygnEm0ymEaVfr24UJg_18_14"/>
      <w:bookmarkStart w:id="300" w:name="Tc_Fv21F5t-CUyu7gQ2kyES8g_18_11"/>
      <w:bookmarkStart w:id="301" w:name="Tc_zLquTVHKS0-A7SlMDHFQPQ_18_5"/>
      <w:bookmarkStart w:id="302" w:name="Tc_05d_tWJ_HkesnzQ_tzATiw_18_0"/>
      <w:bookmarkStart w:id="303" w:name="Tc_HmDrHb-V8U-juih5tBMDRg_16_14"/>
      <w:bookmarkStart w:id="304" w:name="Tc_d2juF1R7lEW-WHnlVpaCog_16_11"/>
      <w:bookmarkStart w:id="305" w:name="Tc_hsL72g8I7keAYtpLrsHftg_16_5"/>
      <w:bookmarkStart w:id="306" w:name="Tc_YRwKSOcOk0KfbmW5cw8sdA_16_2"/>
      <w:bookmarkStart w:id="307" w:name="Tc_ZgjZLa0GhUCccq99vdIwgA_16_0"/>
      <w:bookmarkStart w:id="308" w:name="Tc_sxg7OXLppkuIhAASlaZs9g_14_17"/>
      <w:bookmarkStart w:id="309" w:name="Tc_S_9kV2ZV-0ypwrb2mY1Hrg_14_13"/>
      <w:bookmarkStart w:id="310" w:name="Tc_7iuJ6NwlFU2pgZnhKsrDHw_14_10"/>
      <w:bookmarkStart w:id="311" w:name="Tc_jryMGLMTp0O3iV_OJdkT8g_14_7"/>
      <w:bookmarkStart w:id="312" w:name="Tc_T_udrVruG0ytCv0CgS7ZoQ_14_4"/>
      <w:bookmarkStart w:id="313" w:name="Tc_Dl8xfUaXcE6NOQngBLgTWw_14_0"/>
      <w:bookmarkStart w:id="314" w:name="Tc_KqNFLQucpEG38aMc9CuFog_11_17"/>
      <w:bookmarkStart w:id="315" w:name="Tc_M6sS7W2Ac062EhgbomMBSg_11_13"/>
      <w:bookmarkStart w:id="316" w:name="Tc_tDwOnt8T1Ee4Rm8LuSSASQ_11_10"/>
      <w:bookmarkStart w:id="317" w:name="Tc_SCtfLRORtkq0GkiQaCIkuw_11_7"/>
      <w:bookmarkStart w:id="318" w:name="Tc_Qi1gi9EXr0mPgnJ7gwqSbg_11_4"/>
      <w:bookmarkStart w:id="319" w:name="Tc_4NguZqPpiU-urJdzPUCv4w_11_0"/>
      <w:bookmarkStart w:id="320" w:name="Tc_jwouYNf-fEOnOCizoxmiDQ_9_8"/>
      <w:bookmarkStart w:id="321" w:name="Tc_EBLHeGBQeEyu-ngUTYatfA_9_5"/>
      <w:bookmarkStart w:id="322" w:name="Tc_gZTf3tCGb0WlzqmNHkrNNw_9_2"/>
      <w:bookmarkStart w:id="323" w:name="Tc_jusTiXyask2-1RhnOvSVLw_9_0"/>
      <w:bookmarkStart w:id="324" w:name="Tc_J-Qlel_6LUiUvjplV_FuPg_7_14"/>
      <w:bookmarkStart w:id="325" w:name="Tc_imgOHkjJ_UOIMU31tbbKeA_7_11"/>
      <w:bookmarkStart w:id="326" w:name="Tc_MlPpdt0yaU-vQL8czoon4Q_7_5"/>
      <w:bookmarkStart w:id="327" w:name="Tc_dCo_XurI90qJ5cgUN8EW8Q_7_2"/>
      <w:bookmarkStart w:id="328" w:name="Tc_fJFnWXCq00OqfUWjSc943g_7_0"/>
      <w:bookmarkStart w:id="329" w:name="Tc_Ap6DZ0l3bUajgCMhPMMLng_5_17"/>
      <w:bookmarkStart w:id="330" w:name="Tc_P-a8Uk0CQEyE_q5K6UwQsQ_5_13"/>
      <w:bookmarkStart w:id="331" w:name="Tc_U_h5AyyvMkCrSFYggUgKUg_5_10"/>
      <w:bookmarkStart w:id="332" w:name="Tc_WAM2v4Ioc0mmCxrum-psnw_5_7"/>
      <w:bookmarkStart w:id="333" w:name="Tc_VdNn45PhSUyv0TmWes8eXw_5_4"/>
      <w:bookmarkStart w:id="334" w:name="Tc_HFhRgbwc6EyokWWdRhAqvg_5_0"/>
      <w:bookmarkStart w:id="335" w:name="Tc_8mHWXcx_ZUO9F8h6qx3L4g_4_17"/>
      <w:bookmarkStart w:id="336" w:name="Tc_LXfxRfkQwEO_dTpTnnzZvQ_4_13"/>
      <w:bookmarkStart w:id="337" w:name="Tc_hAl0r1FnT0O-g_dXJKFl0A_4_10"/>
      <w:bookmarkStart w:id="338" w:name="Tc_-H_4SXVcjUeKTs1Y-p2mkg_4_7"/>
      <w:bookmarkStart w:id="339" w:name="Tc_MqEwZ-cwxkqR4qFnfKBDjg_4_4"/>
      <w:bookmarkStart w:id="340" w:name="Tc_9ecdiwra606JQ5ocKEqmcg_4_2"/>
      <w:bookmarkStart w:id="341" w:name="Tc_Kcm2SN2fnkq0bxUuYkndtQ_3_17"/>
      <w:bookmarkStart w:id="342" w:name="Tc_GzJmtia8HEyAo5Whu467HA_3_13"/>
      <w:bookmarkStart w:id="343" w:name="Tc_b2nxif9cmE-59jYXFZsyVQ_3_10"/>
      <w:bookmarkStart w:id="344" w:name="Tc_9yS4xMuTRUS7gVGNbIkkhg_3_7"/>
      <w:bookmarkStart w:id="345" w:name="Tc_Mutv65vY3ECBhpYIRCjkiw_3_2"/>
      <w:bookmarkStart w:id="346" w:name="Tc_jxo_yQSkBEWmVrSbvxGpLw_2_2"/>
      <w:bookmarkStart w:id="347" w:name="Tc_Uyewk-hALESgM1c_UU1u4g_1_2"/>
      <w:bookmarkStart w:id="348" w:name="_3fb9e492_2af7_419b_a761_37eb0a5fa133"/>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tbl>
      <w:tblPr>
        <w:tblW w:w="10205" w:type="dxa"/>
        <w:jc w:val="left"/>
        <w:tblInd w:w="0" w:type="dxa"/>
        <w:tblLayout w:type="fixed"/>
        <w:tblCellMar>
          <w:top w:w="0" w:type="dxa"/>
          <w:left w:w="0" w:type="dxa"/>
          <w:bottom w:w="0" w:type="dxa"/>
          <w:right w:w="0" w:type="dxa"/>
        </w:tblCellMar>
      </w:tblPr>
      <w:tblGrid>
        <w:gridCol w:w="3611"/>
        <w:gridCol w:w="326"/>
        <w:gridCol w:w="766"/>
        <w:gridCol w:w="326"/>
        <w:gridCol w:w="196"/>
        <w:gridCol w:w="375"/>
        <w:gridCol w:w="326"/>
        <w:gridCol w:w="181"/>
        <w:gridCol w:w="586"/>
        <w:gridCol w:w="326"/>
        <w:gridCol w:w="213"/>
        <w:gridCol w:w="658"/>
        <w:gridCol w:w="326"/>
        <w:gridCol w:w="331"/>
        <w:gridCol w:w="690"/>
        <w:gridCol w:w="109"/>
        <w:gridCol w:w="109"/>
        <w:gridCol w:w="181"/>
        <w:gridCol w:w="569"/>
      </w:tblGrid>
      <w:tr>
        <w:trPr/>
        <w:tc>
          <w:tcPr>
            <w:tcW w:w="3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92985" cy="175260"/>
                      <wp:effectExtent l="0" t="0" r="0" b="0"/>
                      <wp:wrapNone/>
                      <wp:docPr id="18" name="Frame18"/>
                      <a:graphic xmlns:a="http://schemas.openxmlformats.org/drawingml/2006/main">
                        <a:graphicData uri="http://schemas.microsoft.com/office/word/2010/wordprocessingShape">
                          <wps:wsp>
                            <wps:cNvSpPr txBox="1"/>
                            <wps:spPr>
                              <a:xfrm>
                                <a:off x="0" y="0"/>
                                <a:ext cx="229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86410" cy="175260"/>
                      <wp:effectExtent l="0" t="0" r="0" b="0"/>
                      <wp:wrapNone/>
                      <wp:docPr id="20" name="Frame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38125" cy="175260"/>
                      <wp:effectExtent l="0" t="0" r="0" b="0"/>
                      <wp:wrapNone/>
                      <wp:docPr id="23" name="Frame2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4935" cy="175260"/>
                      <wp:effectExtent l="0" t="0" r="0" b="0"/>
                      <wp:wrapNone/>
                      <wp:docPr id="25"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2110" cy="175260"/>
                      <wp:effectExtent l="0" t="0" r="0" b="0"/>
                      <wp:wrapNone/>
                      <wp:docPr id="26" name="Frame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5255" cy="175260"/>
                      <wp:effectExtent l="0" t="0" r="0" b="0"/>
                      <wp:wrapNone/>
                      <wp:docPr id="28" name="Frame2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17830" cy="175260"/>
                      <wp:effectExtent l="0" t="0" r="0" b="0"/>
                      <wp:wrapNone/>
                      <wp:docPr id="29" name="Frame29"/>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0185" cy="175260"/>
                      <wp:effectExtent l="0" t="0" r="0" b="0"/>
                      <wp:wrapNone/>
                      <wp:docPr id="31" name="Frame3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150" cy="175260"/>
                      <wp:effectExtent l="0" t="0" r="0" b="0"/>
                      <wp:wrapNone/>
                      <wp:docPr id="32" name="Frame3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1315" cy="175260"/>
                      <wp:effectExtent l="0" t="0" r="0" b="0"/>
                      <wp:wrapNone/>
                      <wp:docPr id="36" name="Frame36"/>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5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Xcel Brands, Inc. Stockholders</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Number of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Noncontrolling</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0"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361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19,571,119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103,039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(28,779)</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662</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74,942</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r>
      <w:tr>
        <w:trPr/>
        <w:tc>
          <w:tcPr>
            <w:tcW w:w="361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Compensation expense related to stock options and restricted stock</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30</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r>
      <w:tr>
        <w:trPr/>
        <w:tc>
          <w:tcPr>
            <w:tcW w:w="361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(3,487)</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(252)</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(3,739)</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1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March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19,571,119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103,069</w:t>
            </w:r>
          </w:p>
        </w:tc>
        <w:tc>
          <w:tcPr>
            <w:tcW w:w="326" w:type="dxa"/>
            <w:tcBorders/>
            <w:shd w:fill="CCEEFF" w:val="clear"/>
            <w:vAlign w:val="center"/>
          </w:tcPr>
          <w:p>
            <w:pPr>
              <w:pStyle w:val="TableContents"/>
              <w:bidi w:val="0"/>
              <w:spacing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(32,266)</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410</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71,233</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r>
      <w:tr>
        <w:trPr/>
        <w:tc>
          <w:tcPr>
            <w:tcW w:w="3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left"/>
              <w:rPr/>
            </w:pPr>
            <w:r>
              <w:rPr/>
              <w:t>​</w:t>
            </w:r>
          </w:p>
        </w:tc>
      </w:tr>
      <w:tr>
        <w:trPr/>
        <w:tc>
          <w:tcPr>
            <w:tcW w:w="361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December 31, 2022</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19,624,860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103,592</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(32,797)</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(676)</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70,139</w:t>
            </w:r>
          </w:p>
        </w:tc>
      </w:tr>
      <w:tr>
        <w:trPr/>
        <w:tc>
          <w:tcPr>
            <w:tcW w:w="3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left"/>
              <w:rPr/>
            </w:pPr>
            <w:r>
              <w:rPr/>
              <w:t>​</w:t>
            </w:r>
          </w:p>
        </w:tc>
      </w:tr>
      <w:tr>
        <w:trPr/>
        <w:tc>
          <w:tcPr>
            <w:tcW w:w="361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Compensation expense related to stock options and restricted stock</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r>
      <w:tr>
        <w:trPr/>
        <w:tc>
          <w:tcPr>
            <w:tcW w:w="3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r>
      <w:tr>
        <w:trPr/>
        <w:tc>
          <w:tcPr>
            <w:tcW w:w="361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consultant in connection with stock grant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8,334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r>
      <w:tr>
        <w:trPr/>
        <w:tc>
          <w:tcPr>
            <w:tcW w:w="3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left"/>
              <w:rPr/>
            </w:pPr>
            <w:r>
              <w:rPr/>
              <w:t>​</w:t>
            </w:r>
          </w:p>
        </w:tc>
      </w:tr>
      <w:tr>
        <w:trPr/>
        <w:tc>
          <w:tcPr>
            <w:tcW w:w="361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(5,643)</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(295)</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(5,938)</w:t>
            </w:r>
          </w:p>
        </w:tc>
      </w:tr>
      <w:tr>
        <w:trPr/>
        <w:tc>
          <w:tcPr>
            <w:tcW w:w="3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61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March 31, 2023</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19,633,194</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103,649</w:t>
            </w:r>
          </w:p>
        </w:tc>
        <w:tc>
          <w:tcPr>
            <w:tcW w:w="326" w:type="dxa"/>
            <w:tcBorders/>
            <w:vAlign w:val="center"/>
          </w:tcPr>
          <w:p>
            <w:pPr>
              <w:pStyle w:val="TableContents"/>
              <w:bidi w:val="0"/>
              <w:spacing w:before="0" w:after="0"/>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(38,440)</w:t>
            </w:r>
          </w:p>
        </w:tc>
        <w:tc>
          <w:tcPr>
            <w:tcW w:w="326" w:type="dxa"/>
            <w:tcBorders/>
            <w:vAlign w:val="center"/>
          </w:tcPr>
          <w:p>
            <w:pPr>
              <w:pStyle w:val="TableContents"/>
              <w:bidi w:val="0"/>
              <w:spacing w:before="0" w:after="0"/>
              <w:ind w:left="0" w:right="0" w:hanging="0"/>
              <w:jc w:val="righ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(971)</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64,258</w:t>
            </w:r>
          </w:p>
        </w:tc>
      </w:tr>
      <w:tr>
        <w:trPr/>
        <w:tc>
          <w:tcPr>
            <w:tcW w:w="3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left"/>
              <w:rPr/>
            </w:pPr>
            <w:r>
              <w:rPr/>
              <w:t>​</w:t>
            </w:r>
          </w:p>
        </w:tc>
      </w:tr>
      <w:tr>
        <w:trPr/>
        <w:tc>
          <w:tcPr>
            <w:tcW w:w="3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3"/>
        </w:rPr>
        <w:t>See accompanying Notes to Unaudited Condensed Consolidated Financial Statements</w:t>
      </w:r>
      <w:r>
        <w:rPr>
          <w:rFonts w:ascii="Times New Roman;Times;serif" w:hAnsi="Times New Roman;Times;serif"/>
          <w:sz w:val="1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5"/>
        </w:rPr>
      </w:pPr>
      <w:bookmarkStart w:id="349" w:name="_07955744_0215_4b77_8047_d1e7e2b8bc33"/>
      <w:bookmarkEnd w:id="349"/>
      <w:r>
        <w:rPr>
          <w:rFonts w:ascii="Times New Roman;Times;serif" w:hAnsi="Times New Roman;Times;serif"/>
          <w:b/>
          <w:sz w:val="15"/>
        </w:rPr>
        <w:t>Xcel Brands, Inc. and Subsidiaries</w:t>
      </w:r>
    </w:p>
    <w:p>
      <w:pPr>
        <w:pStyle w:val="TextBody"/>
        <w:bidi w:val="0"/>
        <w:spacing w:before="0" w:after="0"/>
        <w:ind w:left="0" w:right="0" w:hanging="0"/>
        <w:jc w:val="center"/>
        <w:rPr>
          <w:rFonts w:ascii="Times New Roman;Times;serif" w:hAnsi="Times New Roman;Times;serif"/>
          <w:b/>
          <w:sz w:val="15"/>
        </w:rPr>
      </w:pPr>
      <w:bookmarkStart w:id="350" w:name="CashFlows_133022"/>
      <w:bookmarkEnd w:id="350"/>
      <w:r>
        <w:rPr>
          <w:rFonts w:ascii="Times New Roman;Times;serif" w:hAnsi="Times New Roman;Times;serif"/>
          <w:b/>
          <w:sz w:val="15"/>
        </w:rPr>
        <w:t>Unaudited Condensed Consolidated Statements of Cash Flows</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1" w:name="Tc_fBYklUni1UKOav1ffstpyQ_39_6"/>
      <w:bookmarkStart w:id="352" w:name="Tc_poTiarFaTkSFPY-qvf8a0A_39_5"/>
      <w:bookmarkStart w:id="353" w:name="Tc_z0tHa9FrW0umQqC_TmZTqg_39_2"/>
      <w:bookmarkStart w:id="354" w:name="Tc_Gaws2sLa1kqD9Z7UQUewNQ_39_0"/>
      <w:bookmarkStart w:id="355" w:name="Tc_mS4aEka51U-oNvAwv-6gkQ_38_5"/>
      <w:bookmarkStart w:id="356" w:name="Tc_cHso7CgXHkubiUhT2gSLiA_38_3"/>
      <w:bookmarkStart w:id="357" w:name="Tc_kp5MLJlfD0mgBLoMz8Scrg_38_2"/>
      <w:bookmarkStart w:id="358" w:name="Tc_jz9CrmDzKkGzUvgy2BNNqg_38_0"/>
      <w:bookmarkStart w:id="359" w:name="Tc_hCsujvzVbkykFQcVUL8jYw_37_0"/>
      <w:bookmarkStart w:id="360" w:name="Tc_UFDtj8EXE067Do2jn9keHg_35_5"/>
      <w:bookmarkStart w:id="361" w:name="Tc_rve_Z4iElEOZUzuGBhTqwA_35_2"/>
      <w:bookmarkStart w:id="362" w:name="Tc_G91FQxDBqkeRIi7EJxzw_w_35_0"/>
      <w:bookmarkStart w:id="363" w:name="Tc_fRgB7RFa5kCZp3CQY2szsg_34_3"/>
      <w:bookmarkStart w:id="364" w:name="Tc_dFDWIaKSbUO5YA6L5t2ysg_34_0"/>
      <w:bookmarkStart w:id="365" w:name="Tc_h7PgdFJNKUG-PZCUKznn-g_33_5"/>
      <w:bookmarkStart w:id="366" w:name="Tc_xyOV4RMEt0mAnnK3XzJXfw_33_2"/>
      <w:bookmarkStart w:id="367" w:name="Tc_ntHZbv7tXUibis0UnA8VaA_33_0"/>
      <w:bookmarkStart w:id="368" w:name="Tc_fJ7weCIJtEmlNCdGw17qyA_32_0"/>
      <w:bookmarkStart w:id="369" w:name="Tc_dE8I1vSy_kOMmo8sr9b0dA_30_5"/>
      <w:bookmarkStart w:id="370" w:name="Tc_LkbGh6h2eU69x4zZnzdULw_30_2"/>
      <w:bookmarkStart w:id="371" w:name="Tc_6t6hrNvOAkaw57_UY-sp8g_30_0"/>
      <w:bookmarkStart w:id="372" w:name="Tc_ZZRk3zUrcEKsQnW4kdQKqw_28_0"/>
      <w:bookmarkStart w:id="373" w:name="Tc_G44U9VE3sEmKX6p0bf_roA_26_0"/>
      <w:bookmarkStart w:id="374" w:name="Tc_G83D6sfKWkKvqNHE20HSEg_24_3"/>
      <w:bookmarkStart w:id="375" w:name="Tc_Tbxr7GvwKEedPtvTAaMFHA_24_0"/>
      <w:bookmarkStart w:id="376" w:name="Tc_TncUPSFqbUiHrGDHKR0pXg_23_3"/>
      <w:bookmarkStart w:id="377" w:name="Tc_hgEz5JB0q0yh9e6xAhmpgg_23_0"/>
      <w:bookmarkStart w:id="378" w:name="Tc_pEpSi0XgzkOTF1iFpgMQaA_22_0"/>
      <w:bookmarkStart w:id="379" w:name="Tc_25AKxpPtz023uq8ypGaQ4A_20_0"/>
      <w:bookmarkStart w:id="380" w:name="Tc_saSjWMsuPki9wzghuRgdNA_19_0"/>
      <w:bookmarkStart w:id="381" w:name="Tc_13zmr1Sr8kiFkNtg8p9Blw_18_0"/>
      <w:bookmarkStart w:id="382" w:name="Tc_vwvG8YPX-kewezYCYFSibQ_16_0"/>
      <w:bookmarkStart w:id="383" w:name="Tc_ZwqItjZU3UagMM9rnk8-mg_15_0"/>
      <w:bookmarkStart w:id="384" w:name="Tc_YpLqr-KDyEetzCouPMZn1g_14_0"/>
      <w:bookmarkStart w:id="385" w:name="Tc_RQGn-g4COUeZcH1ixnQL9w_13_0"/>
      <w:bookmarkStart w:id="386" w:name="Tc_1NpGHr9adUuU30z9c-QNng_12_0"/>
      <w:bookmarkStart w:id="387" w:name="Tc_xwlgr_pIO0KyywAtXXKAxw_11_0"/>
      <w:bookmarkStart w:id="388" w:name="Tc_-QqWAr6W1EKFGpCo0CEENQ_10_0"/>
      <w:bookmarkStart w:id="389" w:name="Tc_SCv8ZRCjOk2YXHks73LJDQ_9_6"/>
      <w:bookmarkStart w:id="390" w:name="Tc_FuvpKLn3nUC6TkaHgeSokQ_9_0"/>
      <w:bookmarkStart w:id="391" w:name="Tc_ezmyKVqrZEWu7zHopmo4kw_8_0"/>
      <w:bookmarkStart w:id="392" w:name="Tc_vJPLVgWXq0mp9iEoN1SAag_7_3"/>
      <w:bookmarkStart w:id="393" w:name="Tc_fSJuggbqUkKQi4mL7br4xw_7_0"/>
      <w:bookmarkStart w:id="394" w:name="Tc_FJjGPfnphEiTn0NSZcj6gA_6_0"/>
      <w:bookmarkStart w:id="395" w:name="Tc_kYs8iL4140Gkh99BdligKA_5_0"/>
      <w:bookmarkStart w:id="396" w:name="Tc_sInRfwgwSEyZePtE_6EwvA_4_5"/>
      <w:bookmarkStart w:id="397" w:name="Tc_8MFT5moibkelF-Q2TIfIRw_4_2"/>
      <w:bookmarkStart w:id="398" w:name="Tc_jlXBMXQE6UOiattE-Wchdg_4_0"/>
      <w:bookmarkStart w:id="399" w:name="Tc_viU3ZRVjkUC9M0sdHkN6Wg_3_0"/>
      <w:bookmarkStart w:id="400" w:name="Tc_ptkKIlPewUajetDAX0UUBg_2_5"/>
      <w:bookmarkStart w:id="401" w:name="Tc_OB0_ba0iLkSgN0NVDZ9uYw_2_2"/>
      <w:bookmarkStart w:id="402" w:name="Tc_I3Baah47tEu_FX91L3QAvg_1_2"/>
      <w:bookmarkStart w:id="403" w:name="_ab001f9b_83cd_4b2c_a392_2cace55c5949"/>
      <w:bookmarkStart w:id="404" w:name="Tc_fBYklUni1UKOav1ffstpyQ_39_6"/>
      <w:bookmarkStart w:id="405" w:name="Tc_poTiarFaTkSFPY-qvf8a0A_39_5"/>
      <w:bookmarkStart w:id="406" w:name="Tc_z0tHa9FrW0umQqC_TmZTqg_39_2"/>
      <w:bookmarkStart w:id="407" w:name="Tc_Gaws2sLa1kqD9Z7UQUewNQ_39_0"/>
      <w:bookmarkStart w:id="408" w:name="Tc_mS4aEka51U-oNvAwv-6gkQ_38_5"/>
      <w:bookmarkStart w:id="409" w:name="Tc_cHso7CgXHkubiUhT2gSLiA_38_3"/>
      <w:bookmarkStart w:id="410" w:name="Tc_kp5MLJlfD0mgBLoMz8Scrg_38_2"/>
      <w:bookmarkStart w:id="411" w:name="Tc_jz9CrmDzKkGzUvgy2BNNqg_38_0"/>
      <w:bookmarkStart w:id="412" w:name="Tc_hCsujvzVbkykFQcVUL8jYw_37_0"/>
      <w:bookmarkStart w:id="413" w:name="Tc_UFDtj8EXE067Do2jn9keHg_35_5"/>
      <w:bookmarkStart w:id="414" w:name="Tc_rve_Z4iElEOZUzuGBhTqwA_35_2"/>
      <w:bookmarkStart w:id="415" w:name="Tc_G91FQxDBqkeRIi7EJxzw_w_35_0"/>
      <w:bookmarkStart w:id="416" w:name="Tc_fRgB7RFa5kCZp3CQY2szsg_34_3"/>
      <w:bookmarkStart w:id="417" w:name="Tc_dFDWIaKSbUO5YA6L5t2ysg_34_0"/>
      <w:bookmarkStart w:id="418" w:name="Tc_h7PgdFJNKUG-PZCUKznn-g_33_5"/>
      <w:bookmarkStart w:id="419" w:name="Tc_xyOV4RMEt0mAnnK3XzJXfw_33_2"/>
      <w:bookmarkStart w:id="420" w:name="Tc_ntHZbv7tXUibis0UnA8VaA_33_0"/>
      <w:bookmarkStart w:id="421" w:name="Tc_fJ7weCIJtEmlNCdGw17qyA_32_0"/>
      <w:bookmarkStart w:id="422" w:name="Tc_dE8I1vSy_kOMmo8sr9b0dA_30_5"/>
      <w:bookmarkStart w:id="423" w:name="Tc_LkbGh6h2eU69x4zZnzdULw_30_2"/>
      <w:bookmarkStart w:id="424" w:name="Tc_6t6hrNvOAkaw57_UY-sp8g_30_0"/>
      <w:bookmarkStart w:id="425" w:name="Tc_ZZRk3zUrcEKsQnW4kdQKqw_28_0"/>
      <w:bookmarkStart w:id="426" w:name="Tc_G44U9VE3sEmKX6p0bf_roA_26_0"/>
      <w:bookmarkStart w:id="427" w:name="Tc_G83D6sfKWkKvqNHE20HSEg_24_3"/>
      <w:bookmarkStart w:id="428" w:name="Tc_Tbxr7GvwKEedPtvTAaMFHA_24_0"/>
      <w:bookmarkStart w:id="429" w:name="Tc_TncUPSFqbUiHrGDHKR0pXg_23_3"/>
      <w:bookmarkStart w:id="430" w:name="Tc_hgEz5JB0q0yh9e6xAhmpgg_23_0"/>
      <w:bookmarkStart w:id="431" w:name="Tc_pEpSi0XgzkOTF1iFpgMQaA_22_0"/>
      <w:bookmarkStart w:id="432" w:name="Tc_25AKxpPtz023uq8ypGaQ4A_20_0"/>
      <w:bookmarkStart w:id="433" w:name="Tc_saSjWMsuPki9wzghuRgdNA_19_0"/>
      <w:bookmarkStart w:id="434" w:name="Tc_13zmr1Sr8kiFkNtg8p9Blw_18_0"/>
      <w:bookmarkStart w:id="435" w:name="Tc_vwvG8YPX-kewezYCYFSibQ_16_0"/>
      <w:bookmarkStart w:id="436" w:name="Tc_ZwqItjZU3UagMM9rnk8-mg_15_0"/>
      <w:bookmarkStart w:id="437" w:name="Tc_YpLqr-KDyEetzCouPMZn1g_14_0"/>
      <w:bookmarkStart w:id="438" w:name="Tc_RQGn-g4COUeZcH1ixnQL9w_13_0"/>
      <w:bookmarkStart w:id="439" w:name="Tc_1NpGHr9adUuU30z9c-QNng_12_0"/>
      <w:bookmarkStart w:id="440" w:name="Tc_xwlgr_pIO0KyywAtXXKAxw_11_0"/>
      <w:bookmarkStart w:id="441" w:name="Tc_-QqWAr6W1EKFGpCo0CEENQ_10_0"/>
      <w:bookmarkStart w:id="442" w:name="Tc_SCv8ZRCjOk2YXHks73LJDQ_9_6"/>
      <w:bookmarkStart w:id="443" w:name="Tc_FuvpKLn3nUC6TkaHgeSokQ_9_0"/>
      <w:bookmarkStart w:id="444" w:name="Tc_ezmyKVqrZEWu7zHopmo4kw_8_0"/>
      <w:bookmarkStart w:id="445" w:name="Tc_vJPLVgWXq0mp9iEoN1SAag_7_3"/>
      <w:bookmarkStart w:id="446" w:name="Tc_fSJuggbqUkKQi4mL7br4xw_7_0"/>
      <w:bookmarkStart w:id="447" w:name="Tc_FJjGPfnphEiTn0NSZcj6gA_6_0"/>
      <w:bookmarkStart w:id="448" w:name="Tc_kYs8iL4140Gkh99BdligKA_5_0"/>
      <w:bookmarkStart w:id="449" w:name="Tc_sInRfwgwSEyZePtE_6EwvA_4_5"/>
      <w:bookmarkStart w:id="450" w:name="Tc_8MFT5moibkelF-Q2TIfIRw_4_2"/>
      <w:bookmarkStart w:id="451" w:name="Tc_jlXBMXQE6UOiattE-Wchdg_4_0"/>
      <w:bookmarkStart w:id="452" w:name="Tc_viU3ZRVjkUC9M0sdHkN6Wg_3_0"/>
      <w:bookmarkStart w:id="453" w:name="Tc_ptkKIlPewUajetDAX0UUBg_2_5"/>
      <w:bookmarkStart w:id="454" w:name="Tc_OB0_ba0iLkSgN0NVDZ9uYw_2_2"/>
      <w:bookmarkStart w:id="455" w:name="Tc_I3Baah47tEu_FX91L3QAvg_1_2"/>
      <w:bookmarkStart w:id="456" w:name="_ab001f9b_83cd_4b2c_a392_2cace55c5949"/>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tbl>
      <w:tblPr>
        <w:tblW w:w="9939" w:type="dxa"/>
        <w:jc w:val="left"/>
        <w:tblInd w:w="0" w:type="dxa"/>
        <w:tblLayout w:type="fixed"/>
        <w:tblCellMar>
          <w:top w:w="0" w:type="dxa"/>
          <w:left w:w="0" w:type="dxa"/>
          <w:bottom w:w="0" w:type="dxa"/>
          <w:right w:w="0" w:type="dxa"/>
        </w:tblCellMar>
      </w:tblPr>
      <w:tblGrid>
        <w:gridCol w:w="6811"/>
        <w:gridCol w:w="326"/>
        <w:gridCol w:w="279"/>
        <w:gridCol w:w="836"/>
        <w:gridCol w:w="503"/>
        <w:gridCol w:w="279"/>
        <w:gridCol w:w="905"/>
      </w:tblGrid>
      <w:tr>
        <w:trPr/>
        <w:tc>
          <w:tcPr>
            <w:tcW w:w="6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24985" cy="175260"/>
                      <wp:effectExtent l="0" t="0" r="0" b="0"/>
                      <wp:wrapNone/>
                      <wp:docPr id="37" name="Frame37"/>
                      <a:graphic xmlns:a="http://schemas.openxmlformats.org/drawingml/2006/main">
                        <a:graphicData uri="http://schemas.microsoft.com/office/word/2010/wordprocessingShape">
                          <wps:wsp>
                            <wps:cNvSpPr txBox="1"/>
                            <wps:spPr>
                              <a:xfrm>
                                <a:off x="0" y="0"/>
                                <a:ext cx="432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77165" cy="175260"/>
                      <wp:effectExtent l="0" t="0" r="0" b="0"/>
                      <wp:wrapNone/>
                      <wp:docPr id="39" name="Frame3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30860" cy="175260"/>
                      <wp:effectExtent l="0" t="0" r="0" b="0"/>
                      <wp:wrapNone/>
                      <wp:docPr id="40" name="Frame4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19405" cy="175260"/>
                      <wp:effectExtent l="0" t="0" r="0" b="0"/>
                      <wp:wrapNone/>
                      <wp:docPr id="41" name="Frame4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7165" cy="175260"/>
                      <wp:effectExtent l="0" t="0" r="0" b="0"/>
                      <wp:wrapNone/>
                      <wp:docPr id="42" name="Frame4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4675" cy="175260"/>
                      <wp:effectExtent l="0" t="0" r="0" b="0"/>
                      <wp:wrapNone/>
                      <wp:docPr id="43" name="Frame4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For the Three Months Ended March 31, </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503" w:type="dxa"/>
            <w:tcBorders/>
            <w:vAlign w:val="center"/>
          </w:tcPr>
          <w:p>
            <w:pPr>
              <w:pStyle w:val="TableContents"/>
              <w:bidi w:val="0"/>
              <w:spacing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  </w:t>
            </w:r>
          </w:p>
        </w:tc>
        <w:tc>
          <w:tcPr>
            <w:tcW w:w="503"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  </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(5,938)</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(3,739)</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 expense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1,797</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1,820</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deferred finance costs included in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Undistributed proportional share of net loss of equity method investee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515</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(859)</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Inventory</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(566)</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current and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 accrued expenses, accrued payroll, accrued income taxes payable, and other current liabilities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1,396</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2,620</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Lease-related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(2,915)</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(891)</w:t>
            </w:r>
          </w:p>
        </w:tc>
      </w:tr>
      <w:tr>
        <w:trPr/>
        <w:tc>
          <w:tcPr>
            <w:tcW w:w="6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  </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  </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(81)</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(81)</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w:t>
            </w:r>
          </w:p>
        </w:tc>
      </w:tr>
      <w:tr>
        <w:trPr/>
        <w:tc>
          <w:tcPr>
            <w:tcW w:w="6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  </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  </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6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(2,996)</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(1,551)</w:t>
            </w:r>
          </w:p>
        </w:tc>
      </w:tr>
      <w:tr>
        <w:trPr/>
        <w:tc>
          <w:tcPr>
            <w:tcW w:w="6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4,608</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5,222</w:t>
            </w:r>
          </w:p>
        </w:tc>
      </w:tr>
      <w:tr>
        <w:trPr/>
        <w:tc>
          <w:tcPr>
            <w:tcW w:w="6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1,612</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3,671</w:t>
            </w:r>
          </w:p>
        </w:tc>
      </w:tr>
      <w:tr>
        <w:trPr/>
        <w:tc>
          <w:tcPr>
            <w:tcW w:w="6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Reconciliation to amounts on consolidated balance sheets: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  </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  </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1,612</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3,063</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1,612</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3,671</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503"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  </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during the period for interest</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03"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623</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during the period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503"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b/>
          <w:sz w:val="20"/>
        </w:rPr>
      </w:pPr>
      <w:bookmarkStart w:id="457" w:name="a1NatureofOperations_790426"/>
      <w:bookmarkEnd w:id="457"/>
      <w:r>
        <w:rPr>
          <w:rFonts w:ascii="Times New Roman;Times;serif" w:hAnsi="Times New Roman;Times;serif"/>
          <w:b/>
          <w:sz w:val="20"/>
        </w:rPr>
        <w:t>1. Nature of Operations, Background, and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balance sheet as of December 31, 2022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2022, as filed with the SEC on April 17,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 </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Lori Goldstein Brand, Halston Brand, Ripka Brand, and C Wonder Brand are wholly owned by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manages the Longaberger Brand through its 50%</w:t>
            </w:r>
            <w:r>
              <w:rPr>
                <w:caps w:val="false"/>
                <w:smallCaps w:val="false"/>
              </w:rPr>
              <w:t xml:space="preserve"> </w:t>
            </w:r>
            <w:r>
              <w:rPr>
                <w:rFonts w:ascii="Times New Roman;Times;serif" w:hAnsi="Times New Roman;Times;serif"/>
                <w:b w:val="false"/>
                <w:i w:val="false"/>
                <w:caps w:val="false"/>
                <w:smallCaps w:val="false"/>
                <w:sz w:val="20"/>
              </w:rPr>
              <w:t xml:space="preserve">ownership interest in Longaberger Licensing, LLC; the Company consolidates Longaberger Licensing, LLC and recognizes noncontrolling interest for the remaining ownership interest held by a third party.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manages the Q Optix business through its 50%</w:t>
            </w:r>
            <w:r>
              <w:rPr>
                <w:caps w:val="false"/>
                <w:smallCaps w:val="false"/>
              </w:rPr>
              <w:t xml:space="preserve"> </w:t>
            </w:r>
            <w:r>
              <w:rPr>
                <w:rFonts w:ascii="Times New Roman;Times;serif" w:hAnsi="Times New Roman;Times;serif"/>
                <w:b w:val="false"/>
                <w:i w:val="false"/>
                <w:caps w:val="false"/>
                <w:smallCaps w:val="false"/>
                <w:sz w:val="20"/>
              </w:rPr>
              <w:t>ownership interest in Q Optix, LLC; the Company consolidates Q Optix, LLC and recognizes noncontrolling interest for the remaining ownership interest held by a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wholly owned and managed the Isaac Mizrahi Brand through May 31, 2022. On May 31, 2022, the Company sold to a third party a majority interest in a newly-created subsidiary that was formed to hold the Isaac Mizrahi Brand trademarks, but retained a noncontrolling interest in the brand through a 30%</w:t>
            </w:r>
            <w:r>
              <w:rPr>
                <w:caps w:val="false"/>
                <w:smallCaps w:val="false"/>
              </w:rPr>
              <w:t xml:space="preserve"> </w:t>
            </w:r>
            <w:r>
              <w:rPr>
                <w:rFonts w:ascii="Times New Roman;Times;serif" w:hAnsi="Times New Roman;Times;serif"/>
                <w:b w:val="false"/>
                <w:i w:val="false"/>
                <w:caps w:val="false"/>
                <w:smallCaps w:val="false"/>
                <w:sz w:val="20"/>
              </w:rPr>
              <w:t>ownership interest in IM Topco, LLC, and continues to contribute to the operations of the brand through a service agreement (see Note 2 and Note 11 for additional details). The Company accounts for its interest in IM Topco, LLC using the equity method of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wholesale and direct-to-consumer operations are presented as "Net sales" and "Cost of goods sold" in the Condensed Consolidated Statements of Operations, separately from the Company’s net licensing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Management’s Plans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incurred a net loss of approximately $5.6 million during the three months ended March 31, 2023 (which included non-cash expenses of approximately $2.4 million), and had an accumulated deficit of approximately $38.4 million as of March 31, 2023. Net cash used in operating activities was approximately $2.9 million for the three months ended March 31, 2023. The Company had working capital (current assets less current liabilities, excluding the current portion of lease obligations and any contingent obligations payable in common stock) of approximately $5.1 million as of March 31, 2023. The Company’s cash and cash equivalents were approximately $1.6 million as of March 31, 2023. The aforementioned factors raise uncertainties about the Company’s ability to continue as a going concern.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plans to mitigate an expected shortfall of capital and to support future operations by shifting the business from a wholesale/licensing hybrid model into a “licensing-plus” business model. In the first quarter of 2023, the Company began to restructure its business operations by entering into new licensing agreements and joint venture arrangements with best-in-class business partners. The Company entered into a new interactive television licensing agreement with America’s Collectibles Network, Inc. d/b/a Jewelry Television (“JTV”) for the Ripka Brand, and a separate license with JTV for the Ripka Brand’s e-commerce business. For apparel, similar transactions have recently been executed. In conjunction with the launch of the C Wonder Brand on HSN, the Company licensed the wholesale operations related to the brand to One Jeanswear Group, LLC (“OJG”); this new license with OJG also includes certain other new celebrity brands that the Company plans to launch in 2023 and beyond. For the Halston Brand, on May 15, 2023 the Company entered into a new master license agreement for men’s, women’s, and children’s apparel, fashion accessories, and other product categories with an industry-leading wholesale apparel company for distribution through department stores, e-commerce, and other retailers (see Note 13). This new master license for the Halston Brand provides for an upfront cash payment and royalties, including certain guaranteed minimum royalties to the Company, includes significant annual minimum net sales requirements, and has a </w:t>
      </w:r>
      <w:r>
        <w:rPr>
          <w:rFonts w:ascii="Times New Roman;Times;serif" w:hAnsi="Times New Roman;Times;serif"/>
          <w:b w:val="false"/>
          <w:i w:val="false"/>
          <w:caps w:val="false"/>
          <w:smallCaps w:val="false"/>
          <w:sz w:val="20"/>
        </w:rPr>
        <w:t>twenty-five</w:t>
      </w:r>
      <w:r>
        <w:rPr>
          <w:rFonts w:ascii="Times New Roman;Times;serif" w:hAnsi="Times New Roman;Times;serif"/>
          <w:sz w:val="20"/>
        </w:rPr>
        <w:t xml:space="preserve">-year term (consisting of an initial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-year period, followed by a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-year period), subject to the licensee’s right to terminate with at least 120 days’ notice prior to the end of each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-year period during the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expects the transition of these operating businesses to be completed by the end of the second quarter of 2023. Management believes that this evolution of the Company’s operating model will provide the Company with significant cost savings and allow the Company to reduce and better manage its exposure to operating risks. As of March 31, 2023, the Company took steps that will reduce payroll costs by $6 million and operating expenses by $7 million over the next twelve months.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these recent events and changes in the Company’s business model, management expects to generate adequate cash flows to meet the Company’s operating and capital expenditure needs, for at least the twelve months subsequent to the filing date of this Quarterly Report on Form 10-Q, and therefore, such conditions and uncertainties with respect to the Company’s ability to continue as a going concern as of March 31, 2023, have subsequently been alleviated.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adopted the provisions of Accounting Standards Update (“ASU”) No. 2016-13, "Financial Instruments – Credit Losses (Topic 326): Measurement of Credit Losses on Financial Instruments" (as amended by ASU No. 2018-19 in November 2018, ASU No. 2019-05 in May 2019, ASU No. 2019-10 and 2019-11 in November 2019, ASU No. 2020-02 in February 2020, and ASU No. 2022-02 in March 2022) effective January 1, 2023. This ASU requires entities to estimate lifetime expected credit losses for financial instruments, including trade and other receivables, which will result in earlier recognition of credit losses. The adoption of this new guidance did not have a significant impact on the Company’s results of operations, cash flows, or financial condition.</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bookmarkStart w:id="458" w:name="Tc_3OVonUe-_UmXxrdYQ0z0kg_5_0"/>
      <w:bookmarkStart w:id="459" w:name="Tc_6yK8d8huwUaLSZYmC1tVJw_4_0"/>
      <w:bookmarkStart w:id="460" w:name="Tc_apLIlUvsJk-ossytKeqMOg_3_0"/>
      <w:bookmarkStart w:id="461" w:name="Tc_ercnAXbbg0qYsl8Bm7Ylqg_2_2"/>
      <w:bookmarkStart w:id="462" w:name="Tc_VLwq1TpTcEGPfCNrCATuaA_2_0"/>
      <w:bookmarkStart w:id="463" w:name="Tc_uPppYV35lky_XOSGHIz4gw_1_0"/>
      <w:bookmarkEnd w:id="458"/>
      <w:bookmarkEnd w:id="459"/>
      <w:bookmarkEnd w:id="460"/>
      <w:bookmarkEnd w:id="461"/>
      <w:bookmarkEnd w:id="462"/>
      <w:bookmarkEnd w:id="463"/>
      <w:r>
        <w:rPr>
          <w:rFonts w:ascii="Times New Roman;Times;serif" w:hAnsi="Times New Roman;Times;serif"/>
          <w:b/>
          <w:sz w:val="20"/>
        </w:rPr>
        <w:t>2.      Equity Method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 Topco, LLC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w:t>
      </w:r>
      <w:r>
        <w:rPr>
          <w:rFonts w:ascii="Times New Roman;Times;serif" w:hAnsi="Times New Roman;Times;serif"/>
          <w:b/>
          <w:sz w:val="20"/>
        </w:rPr>
        <w:t xml:space="preserve"> </w:t>
      </w:r>
      <w:r>
        <w:rPr>
          <w:rFonts w:ascii="Times New Roman;Times;serif" w:hAnsi="Times New Roman;Times;serif"/>
          <w:b w:val="false"/>
          <w:sz w:val="20"/>
        </w:rPr>
        <w:t>of the membership interests of IM Topco to WHP. The Company accounts for its 30%</w:t>
      </w:r>
      <w:r>
        <w:rPr>
          <w:rFonts w:ascii="Times New Roman;Times;serif" w:hAnsi="Times New Roman;Times;serif"/>
          <w:b/>
          <w:sz w:val="20"/>
        </w:rPr>
        <w:t xml:space="preserve"> </w:t>
      </w:r>
      <w:r>
        <w:rPr>
          <w:rFonts w:ascii="Times New Roman;Times;serif" w:hAnsi="Times New Roman;Times;serif"/>
          <w:b w:val="false"/>
          <w:sz w:val="20"/>
        </w:rPr>
        <w:t>interest in the ongoing operations of IM Topco as other expense (income) under the equity method of accounting.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business venture agreement between the Company and WHP governing the operation of IM Topco, IM Topco’s net cash flow (as defined in the agreement) shall be distributed to the members during each fiscal year no less than once per fiscal quarter, as follows:</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first, 100%</w:t>
            </w:r>
            <w:r>
              <w:rPr>
                <w:caps w:val="false"/>
                <w:smallCaps w:val="false"/>
              </w:rPr>
              <w:t xml:space="preserve"> </w:t>
            </w:r>
            <w:r>
              <w:rPr>
                <w:rFonts w:ascii="Times New Roman;Times;serif" w:hAnsi="Times New Roman;Times;serif"/>
                <w:b w:val="false"/>
                <w:i w:val="false"/>
                <w:caps w:val="false"/>
                <w:smallCaps w:val="false"/>
                <w:sz w:val="20"/>
              </w:rPr>
              <w:t xml:space="preserve">to WHP, until WHP has received an aggregate amount during such fiscal year equal to $8,852,000 (subject to adjustment in certain circumstances as set forth in the agreement); </w:t>
            </w:r>
          </w:p>
        </w:tc>
      </w:tr>
    </w:tbl>
    <w:tbl>
      <w:tblPr>
        <w:tblW w:w="10205" w:type="dxa"/>
        <w:jc w:val="left"/>
        <w:tblInd w:w="0" w:type="dxa"/>
        <w:tblLayout w:type="fixed"/>
        <w:tblCellMar>
          <w:top w:w="28" w:type="dxa"/>
          <w:left w:w="28" w:type="dxa"/>
          <w:bottom w:w="28" w:type="dxa"/>
          <w:right w:w="28"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second, 100%</w:t>
            </w:r>
            <w:r>
              <w:rPr>
                <w:caps w:val="false"/>
                <w:smallCaps w:val="false"/>
              </w:rPr>
              <w:t xml:space="preserve"> </w:t>
            </w:r>
            <w:r>
              <w:rPr>
                <w:rFonts w:ascii="Times New Roman;Times;serif" w:hAnsi="Times New Roman;Times;serif"/>
                <w:b w:val="false"/>
                <w:i w:val="false"/>
                <w:caps w:val="false"/>
                <w:smallCaps w:val="false"/>
                <w:sz w:val="20"/>
              </w:rPr>
              <w:t>to Xcel, until Xcel has received an aggregate amount during such fiscal year equal to $1,316,200</w:t>
            </w:r>
            <w:r>
              <w:rPr>
                <w:caps w:val="false"/>
                <w:smallCaps w:val="false"/>
              </w:rPr>
              <w:t xml:space="preserve"> </w:t>
            </w:r>
            <w:r>
              <w:rPr>
                <w:rFonts w:ascii="Times New Roman;Times;serif" w:hAnsi="Times New Roman;Times;serif"/>
                <w:b w:val="false"/>
                <w:i w:val="false"/>
                <w:caps w:val="false"/>
                <w:smallCaps w:val="false"/>
                <w:sz w:val="20"/>
              </w:rPr>
              <w:t xml:space="preserve">(subject to adjustment in certain circumstances as set forth in the agreement); and </w:t>
            </w:r>
          </w:p>
        </w:tc>
      </w:tr>
    </w:tbl>
    <w:tbl>
      <w:tblPr>
        <w:tblW w:w="6516" w:type="dxa"/>
        <w:jc w:val="left"/>
        <w:tblInd w:w="0" w:type="dxa"/>
        <w:tblLayout w:type="fixed"/>
        <w:tblCellMar>
          <w:top w:w="28" w:type="dxa"/>
          <w:left w:w="28" w:type="dxa"/>
          <w:bottom w:w="28" w:type="dxa"/>
          <w:right w:w="28" w:type="dxa"/>
        </w:tblCellMar>
      </w:tblPr>
      <w:tblGrid>
        <w:gridCol w:w="124"/>
        <w:gridCol w:w="40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in proportion to the members’ respective percentage interests.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an equity method loss of $0.52 million related to its investment for the three months ended March 31, 2023, based on the distribution provisions described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Summarized financial information for IM Topco for the three months ended March 31, 2023 is as follows:</w:t>
      </w:r>
    </w:p>
    <w:p>
      <w:pPr>
        <w:pStyle w:val="TextBody"/>
        <w:bidi w:val="0"/>
        <w:spacing w:before="0" w:after="0"/>
        <w:ind w:left="0" w:right="0" w:hanging="0"/>
        <w:jc w:val="left"/>
        <w:rPr/>
      </w:pPr>
      <w:r>
        <w:rPr/>
        <w:t>​</w:t>
      </w:r>
    </w:p>
    <w:tbl>
      <w:tblPr>
        <w:tblW w:w="3697" w:type="dxa"/>
        <w:jc w:val="left"/>
        <w:tblInd w:w="0" w:type="dxa"/>
        <w:tblLayout w:type="fixed"/>
        <w:tblCellMar>
          <w:top w:w="0" w:type="dxa"/>
          <w:left w:w="0" w:type="dxa"/>
          <w:bottom w:w="0" w:type="dxa"/>
          <w:right w:w="0" w:type="dxa"/>
        </w:tblCellMar>
      </w:tblPr>
      <w:tblGrid>
        <w:gridCol w:w="2761"/>
        <w:gridCol w:w="109"/>
        <w:gridCol w:w="211"/>
        <w:gridCol w:w="61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753235" cy="175260"/>
                      <wp:effectExtent l="0" t="0" r="0" b="0"/>
                      <wp:wrapNone/>
                      <wp:docPr id="44" name="Frame44"/>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91160" cy="175260"/>
                      <wp:effectExtent l="0" t="0" r="0" b="0"/>
                      <wp:wrapNone/>
                      <wp:docPr id="47" name="Frame4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in thousands)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b/>
          <w:sz w:val="20"/>
        </w:rPr>
      </w:pPr>
      <w:bookmarkStart w:id="464" w:name="Tc_Y0xrmM7rCUSHVEEe78xb8A_7_10"/>
      <w:bookmarkStart w:id="465" w:name="Tc_8vV-Pw0wfUe17E6w_weuDQ_7_7"/>
      <w:bookmarkStart w:id="466" w:name="Tc_4ab7gdHUtkOqBw17ur3XQw_7_4"/>
      <w:bookmarkStart w:id="467" w:name="Tc_p2ojgqhsIU2Zs19UyUzXlA_7_0"/>
      <w:bookmarkStart w:id="468" w:name="Tc_u1Rd5ZdcQUywBHhJFw0u9g_6_0"/>
      <w:bookmarkStart w:id="469" w:name="Tc_P_V2qWRuekGSlvNEmedVxA_5_0"/>
      <w:bookmarkStart w:id="470" w:name="Tc_OE8839On_EiSacR8FiQIQg_4_10"/>
      <w:bookmarkStart w:id="471" w:name="Tc_kN11KSSpi0KQJPIfKIpQUA_4_7"/>
      <w:bookmarkStart w:id="472" w:name="Tc_k8JCeneqZUmBRYqV7KRG7A_4_4"/>
      <w:bookmarkStart w:id="473" w:name="Tc_9yVGJAUpnkyvJcnwREQkkw_4_2"/>
      <w:bookmarkStart w:id="474" w:name="Tc_je5oTpjKBkGYh7tGQebK8g_4_0"/>
      <w:bookmarkStart w:id="475" w:name="Tc_OOdC3TTgkEythXPZ9RasMw_3_10"/>
      <w:bookmarkStart w:id="476" w:name="Tc_O4kpmuzheEafrWQzdNAZng_3_7"/>
      <w:bookmarkStart w:id="477" w:name="Tc_kqip8cI80UOoetla_xCbCg_3_4"/>
      <w:bookmarkStart w:id="478" w:name="Tc_m3NyNFkjFUeA9fjIGAvh2w_3_2"/>
      <w:bookmarkStart w:id="479" w:name="Tc_J7Tg0vURgUux0zRcywa5qw_2_4"/>
      <w:bookmarkStart w:id="480" w:name="Tc_huTUVknNVESrFzRp0RY26g_2_2"/>
      <w:bookmarkStart w:id="481" w:name="Tc_KTnNxEk3jUuMFMnVnyocdQ_1_2"/>
      <w:bookmarkStart w:id="482" w:name="_af009f8d_5d36_4acf_b25a_7781680696ea"/>
      <w:bookmarkStart w:id="483" w:name="Tc_BOA6972NI0qidJxIVbBO-g_7_10"/>
      <w:bookmarkStart w:id="484" w:name="Tc_R18R0F7DQ0-ZdF7i4Os9EQ_7_7"/>
      <w:bookmarkStart w:id="485" w:name="Tc_vM6FFWn7Skq0vH44LkS2wA_7_4"/>
      <w:bookmarkStart w:id="486" w:name="Tc_s5V2HOTmi0mtKhG5DW672g_7_0"/>
      <w:bookmarkStart w:id="487" w:name="Tc_jdEJs7cQx0OC6czJUBUKFQ_6_0"/>
      <w:bookmarkStart w:id="488" w:name="Tc_TYeALSw71kCzLCTVE_ZMNw_5_0"/>
      <w:bookmarkStart w:id="489" w:name="Tc_w4Kyw0RVc02ZkxfOJVp--A_4_10"/>
      <w:bookmarkStart w:id="490" w:name="Tc_0biZM6MytU6_iZehs-gvng_4_7"/>
      <w:bookmarkStart w:id="491" w:name="Tc_xVS-2sl0X0SNqRd4TLxSKg_4_4"/>
      <w:bookmarkStart w:id="492" w:name="Tc_BpYBbQ7xS0aYxPGuT9ATIw_4_2"/>
      <w:bookmarkStart w:id="493" w:name="Tc_IZNFvx7UsUW6Ld-eghLadA_4_0"/>
      <w:bookmarkStart w:id="494" w:name="Tc_bBK8rq2PgEK1zpk8Ct0Puw_3_10"/>
      <w:bookmarkStart w:id="495" w:name="Tc_LhpcCVUrKE2zwIFSR6mJrg_3_7"/>
      <w:bookmarkStart w:id="496" w:name="Tc_KkTYvNVK2E6Fc5l5YKpZ8w_3_4"/>
      <w:bookmarkStart w:id="497" w:name="Tc_GNdp0fsvfkCuJScOKyYRyg_3_2"/>
      <w:bookmarkStart w:id="498" w:name="Tc_-gdbEYB9FUOXEnPHvfWblQ_2_4"/>
      <w:bookmarkStart w:id="499" w:name="Tc_0_9SO5tkJUuUamOy-GxAzQ_2_2"/>
      <w:bookmarkStart w:id="500" w:name="Tc_w5gtnLS97EKxnRSEJQV6Ew_1_2"/>
      <w:bookmarkStart w:id="501" w:name="_bb00bb6d_d7f8_4e36_af67_c06680059b3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ascii="Times New Roman;Times;serif" w:hAnsi="Times New Roman;Times;serif"/>
          <w:b/>
          <w:sz w:val="20"/>
        </w:rPr>
        <w:t xml:space="preserve">3.      Trademarks and Other Intangibles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Trademarks and other intangibles, net consist of the following:</w:t>
      </w:r>
    </w:p>
    <w:p>
      <w:pPr>
        <w:pStyle w:val="TextBody"/>
        <w:bidi w:val="0"/>
        <w:spacing w:before="0" w:after="240"/>
        <w:ind w:left="0" w:right="0" w:hanging="0"/>
        <w:jc w:val="both"/>
        <w:rPr/>
      </w:pPr>
      <w:r>
        <w:rPr/>
        <w:t>​</w:t>
      </w:r>
    </w:p>
    <w:tbl>
      <w:tblPr>
        <w:tblW w:w="9394" w:type="dxa"/>
        <w:jc w:val="left"/>
        <w:tblInd w:w="0" w:type="dxa"/>
        <w:tblLayout w:type="fixed"/>
        <w:tblCellMar>
          <w:top w:w="0" w:type="dxa"/>
          <w:left w:w="0" w:type="dxa"/>
          <w:bottom w:w="0" w:type="dxa"/>
          <w:right w:w="0" w:type="dxa"/>
        </w:tblCellMar>
      </w:tblPr>
      <w:tblGrid>
        <w:gridCol w:w="3556"/>
        <w:gridCol w:w="326"/>
        <w:gridCol w:w="1081"/>
        <w:gridCol w:w="326"/>
        <w:gridCol w:w="296"/>
        <w:gridCol w:w="950"/>
        <w:gridCol w:w="326"/>
        <w:gridCol w:w="257"/>
        <w:gridCol w:w="824"/>
        <w:gridCol w:w="326"/>
        <w:gridCol w:w="239"/>
        <w:gridCol w:w="887"/>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58060" cy="175260"/>
                      <wp:effectExtent l="0" t="0" r="0" b="0"/>
                      <wp:wrapNone/>
                      <wp:docPr id="48" name="Frame48"/>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86435" cy="175260"/>
                      <wp:effectExtent l="0" t="0" r="0" b="0"/>
                      <wp:wrapNone/>
                      <wp:docPr id="50" name="Frame5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7960" cy="175260"/>
                      <wp:effectExtent l="0" t="0" r="0" b="0"/>
                      <wp:wrapNone/>
                      <wp:docPr id="52" name="Frame5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03250" cy="175260"/>
                      <wp:effectExtent l="0" t="0" r="0" b="0"/>
                      <wp:wrapNone/>
                      <wp:docPr id="53" name="Frame53"/>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3195" cy="175260"/>
                      <wp:effectExtent l="0" t="0" r="0" b="0"/>
                      <wp:wrapNone/>
                      <wp:docPr id="55" name="Frame5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23240" cy="175260"/>
                      <wp:effectExtent l="0" t="0" r="0" b="0"/>
                      <wp:wrapNone/>
                      <wp:docPr id="56" name="Frame56"/>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1765" cy="175260"/>
                      <wp:effectExtent l="0" t="0" r="0" b="0"/>
                      <wp:wrapNone/>
                      <wp:docPr id="58" name="Frame5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63245" cy="175260"/>
                      <wp:effectExtent l="0" t="0" r="0" b="0"/>
                      <wp:wrapNone/>
                      <wp:docPr id="59" name="Frame5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296"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7" w:type="dxa"/>
            <w:tcBorders/>
            <w:vAlign w:val="center"/>
          </w:tcPr>
          <w:p>
            <w:pPr>
              <w:pStyle w:val="TableContents"/>
              <w:bidi w:val="0"/>
              <w:spacing w:before="0" w:after="1"/>
              <w:ind w:left="0" w:right="0" w:hanging="0"/>
              <w:jc w:val="center"/>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39"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 </w:t>
            </w:r>
          </w:p>
        </w:tc>
        <w:tc>
          <w:tcPr>
            <w:tcW w:w="410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35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 (finite-lived)</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68,880</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46,014</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Copyrights and other intellectual property</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years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69,309</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23,179</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46,130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9394" w:type="dxa"/>
        <w:jc w:val="left"/>
        <w:tblInd w:w="0" w:type="dxa"/>
        <w:tblLayout w:type="fixed"/>
        <w:tblCellMar>
          <w:top w:w="0" w:type="dxa"/>
          <w:left w:w="0" w:type="dxa"/>
          <w:bottom w:w="0" w:type="dxa"/>
          <w:right w:w="0" w:type="dxa"/>
        </w:tblCellMar>
      </w:tblPr>
      <w:tblGrid>
        <w:gridCol w:w="3556"/>
        <w:gridCol w:w="326"/>
        <w:gridCol w:w="1081"/>
        <w:gridCol w:w="326"/>
        <w:gridCol w:w="296"/>
        <w:gridCol w:w="950"/>
        <w:gridCol w:w="326"/>
        <w:gridCol w:w="257"/>
        <w:gridCol w:w="824"/>
        <w:gridCol w:w="326"/>
        <w:gridCol w:w="239"/>
        <w:gridCol w:w="887"/>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58060" cy="175260"/>
                      <wp:effectExtent l="0" t="0" r="0" b="0"/>
                      <wp:wrapNone/>
                      <wp:docPr id="60" name="Frame60"/>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86435" cy="175260"/>
                      <wp:effectExtent l="0" t="0" r="0" b="0"/>
                      <wp:wrapNone/>
                      <wp:docPr id="62" name="Frame6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87960" cy="175260"/>
                      <wp:effectExtent l="0" t="0" r="0" b="0"/>
                      <wp:wrapNone/>
                      <wp:docPr id="64" name="Frame6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03250" cy="175260"/>
                      <wp:effectExtent l="0" t="0" r="0" b="0"/>
                      <wp:wrapNone/>
                      <wp:docPr id="65" name="Frame65"/>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3195" cy="175260"/>
                      <wp:effectExtent l="0" t="0" r="0" b="0"/>
                      <wp:wrapNone/>
                      <wp:docPr id="67" name="Frame6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23240" cy="175260"/>
                      <wp:effectExtent l="0" t="0" r="0" b="0"/>
                      <wp:wrapNone/>
                      <wp:docPr id="68" name="Frame68"/>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1765" cy="175260"/>
                      <wp:effectExtent l="0" t="0" r="0" b="0"/>
                      <wp:wrapNone/>
                      <wp:docPr id="70" name="Frame7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63245" cy="175260"/>
                      <wp:effectExtent l="0" t="0" r="0" b="0"/>
                      <wp:wrapNone/>
                      <wp:docPr id="71" name="Frame7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 </w:t>
            </w:r>
          </w:p>
        </w:tc>
        <w:tc>
          <w:tcPr>
            <w:tcW w:w="410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Gross</w:t>
            </w:r>
            <w:r>
              <w:rPr>
                <w:rFonts w:ascii="Times New Roman;Times;serif" w:hAnsi="Times New Roman;Times;serif"/>
                <w:sz w:val="16"/>
              </w:rPr>
              <w:t> </w:t>
            </w: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35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 (finite-lived)</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68,880</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21,346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47,534</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Copyrights and other intellectual property</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years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69,309</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21,644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47,665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expense for intangible assets was approximately $1.54 million for the three-month period ended March 31, 2023 (the "current quarter") and was approximately $1.53 million for the three-month period ended March 31, 2022 (the "prior year quarter").</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4.      Significant Contracts and Concentrations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Qurate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Company’s agreements with Qurate Retail Group (“Qurate”), collectively referred to as the Qurate Agreements, Qurate is obligated to make payments to the Company on a quarterly basis, based primarily upon a percentage of net retail sales of certain specified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licensing revenue from the Qurate Agreements totaled $1.52</w:t>
            </w:r>
            <w:r>
              <w:rPr>
                <w:caps w:val="false"/>
                <w:smallCaps w:val="false"/>
              </w:rPr>
              <w:t xml:space="preserve"> </w:t>
            </w:r>
            <w:r>
              <w:rPr>
                <w:rFonts w:ascii="Times New Roman;Times;serif" w:hAnsi="Times New Roman;Times;serif"/>
                <w:b w:val="false"/>
                <w:i w:val="false"/>
                <w:caps w:val="false"/>
                <w:smallCaps w:val="false"/>
                <w:sz w:val="20"/>
              </w:rPr>
              <w:t>million and $5.01</w:t>
            </w:r>
            <w:r>
              <w:rPr>
                <w:caps w:val="false"/>
                <w:smallCaps w:val="false"/>
              </w:rPr>
              <w:t xml:space="preserve"> </w:t>
            </w:r>
            <w:r>
              <w:rPr>
                <w:rFonts w:ascii="Times New Roman;Times;serif" w:hAnsi="Times New Roman;Times;serif"/>
                <w:b w:val="false"/>
                <w:i w:val="false"/>
                <w:caps w:val="false"/>
                <w:smallCaps w:val="false"/>
                <w:sz w:val="20"/>
              </w:rPr>
              <w:t>million for the current quarter and prior year quarter, respectively, representing approximately 25%</w:t>
            </w:r>
            <w:r>
              <w:rPr>
                <w:caps w:val="false"/>
                <w:smallCaps w:val="false"/>
              </w:rPr>
              <w:t xml:space="preserve"> </w:t>
            </w:r>
            <w:r>
              <w:rPr>
                <w:rFonts w:ascii="Times New Roman;Times;serif" w:hAnsi="Times New Roman;Times;serif"/>
                <w:b w:val="false"/>
                <w:i w:val="false"/>
                <w:caps w:val="false"/>
                <w:smallCaps w:val="false"/>
                <w:sz w:val="20"/>
              </w:rPr>
              <w:t>and 57%</w:t>
            </w:r>
            <w:r>
              <w:rPr>
                <w:caps w:val="false"/>
                <w:smallCaps w:val="false"/>
              </w:rPr>
              <w:t xml:space="preserve"> </w:t>
            </w:r>
            <w:r>
              <w:rPr>
                <w:rFonts w:ascii="Times New Roman;Times;serif" w:hAnsi="Times New Roman;Times;serif"/>
                <w:b w:val="false"/>
                <w:i w:val="false"/>
                <w:caps w:val="false"/>
                <w:smallCaps w:val="false"/>
                <w:sz w:val="20"/>
              </w:rPr>
              <w:t>of the Company’s total net revenue for the current quarter and prior year quarter, respectively. The prior year quarter included revenues from Qurate Agreement related to the Isaac Mizrahi Brand; such agreement was assigned to IM Topco on May 31,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March 31, 2023 and December 31, 2022, the Company had receivables from Qurate of $1.5</w:t>
            </w:r>
            <w:r>
              <w:rPr>
                <w:caps w:val="false"/>
                <w:smallCaps w:val="false"/>
              </w:rPr>
              <w:t xml:space="preserve"> </w:t>
            </w:r>
            <w:r>
              <w:rPr>
                <w:rFonts w:ascii="Times New Roman;Times;serif" w:hAnsi="Times New Roman;Times;serif"/>
                <w:b w:val="false"/>
                <w:i w:val="false"/>
                <w:caps w:val="false"/>
                <w:smallCaps w:val="false"/>
                <w:sz w:val="20"/>
              </w:rPr>
              <w:t>million and $0.9</w:t>
            </w:r>
            <w:r>
              <w:rPr>
                <w:caps w:val="false"/>
                <w:smallCaps w:val="false"/>
              </w:rPr>
              <w:t xml:space="preserve"> </w:t>
            </w:r>
            <w:r>
              <w:rPr>
                <w:rFonts w:ascii="Times New Roman;Times;serif" w:hAnsi="Times New Roman;Times;serif"/>
                <w:b w:val="false"/>
                <w:i w:val="false"/>
                <w:caps w:val="false"/>
                <w:smallCaps w:val="false"/>
                <w:sz w:val="20"/>
              </w:rPr>
              <w:t>million, respectively, representing approximately 25%</w:t>
            </w:r>
            <w:r>
              <w:rPr>
                <w:caps w:val="false"/>
                <w:smallCaps w:val="false"/>
              </w:rPr>
              <w:t xml:space="preserve"> </w:t>
            </w:r>
            <w:r>
              <w:rPr>
                <w:rFonts w:ascii="Times New Roman;Times;serif" w:hAnsi="Times New Roman;Times;serif"/>
                <w:b w:val="false"/>
                <w:i w:val="false"/>
                <w:caps w:val="false"/>
                <w:smallCaps w:val="false"/>
                <w:sz w:val="20"/>
              </w:rPr>
              <w:t>and 17%</w:t>
            </w:r>
            <w:r>
              <w:rPr>
                <w:caps w:val="false"/>
                <w:smallCaps w:val="false"/>
              </w:rPr>
              <w:t xml:space="preserve"> </w:t>
            </w:r>
            <w:r>
              <w:rPr>
                <w:rFonts w:ascii="Times New Roman;Times;serif" w:hAnsi="Times New Roman;Times;serif"/>
                <w:b w:val="false"/>
                <w:i w:val="false"/>
                <w:caps w:val="false"/>
                <w:smallCaps w:val="false"/>
                <w:sz w:val="20"/>
              </w:rPr>
              <w:t>of the Company’s total net accounts receivable, respectively.</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5. Accounts Receivable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presented on the Company’s condensed consolidated balance sheets net of allowances for credit losses. Such allowances were approximately $0.0 million as of both March 31, 2023 and December 31, 2022.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did not recognize any credit loss expense in the current quarter or prior year quarter. For the current quarter, there were no significant write-offs or recoveries.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allowance for credit losses is determined based upon a variety of judgments and factors. Factors considered in determining the allowance include historical collection, write-off experience, and management's assessment of collectibility from customers, including current conditions, reasonable forecasts, and expectations of future collectibility and collection efforts. Management continuously assesses the collectibility of receivables and adjusts estimates based on actual experience and future expectations based on economic indicators. Management also monitors the aging analysis of receivables to determine if there are changes in the collections of accounts receivable. Receivable balances are written-off against the allowance for credit losses when such balances are deemed to be uncollectible.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as of March 31, 2023 and December 31, 2022, approximately $1.86 million and $1.65 million, respectively, of the Company's outstanding receivables were assigned to a third-party agent pursuant to a services agreement entered into during the third quarter of 2022, under which the Company assigned, for purposes of collection only, the right to collect certain specified receivables on the Company's behalf and solely for the Company's benefit. Under such agreement, the Company retains ownership of such assigned receivables, and receives payment from the agent (less certain fees charged by the agent) upon the agent's collection of the receivables from customers. During the current quarter, the Company paid approximately $0.05 million in fees to the agent under the aforementioned services agreement. </w:t>
      </w:r>
    </w:p>
    <w:p>
      <w:pPr>
        <w:pStyle w:val="TextBody"/>
        <w:bidi w:val="0"/>
        <w:spacing w:before="0" w:after="240"/>
        <w:ind w:left="0" w:right="0" w:hanging="0"/>
        <w:jc w:val="left"/>
        <w:rPr>
          <w:rFonts w:ascii="Times New Roman;Times;serif" w:hAnsi="Times New Roman;Times;serif"/>
          <w:b/>
          <w:sz w:val="20"/>
        </w:rPr>
      </w:pPr>
      <w:bookmarkStart w:id="502" w:name="Tc_H3aFTWo4QEyHlMVrxbV-WA_12_2"/>
      <w:bookmarkStart w:id="503" w:name="Tc_7bPgS3VM_ka4wzvwAiOzSw_12_0"/>
      <w:bookmarkStart w:id="504" w:name="Tc_vlO24QOYnEKGWOlqv30mlw_11_0"/>
      <w:bookmarkStart w:id="505" w:name="Tc_osK8z-5uM06yLuUMTGvDcg_10_0"/>
      <w:bookmarkStart w:id="506" w:name="Tc_sZcG5j5zY0mCPy1E3vQK5g_9_0"/>
      <w:bookmarkStart w:id="507" w:name="Tc_kV_WyjITqUuYDeBNn3pwdQ_8_0"/>
      <w:bookmarkStart w:id="508" w:name="Tc_-F3CzgCaLU-fbS-dzqeFcA_7_0"/>
      <w:bookmarkStart w:id="509" w:name="Tc_9UslCueMRE6fjw2vR567Ng_6_0"/>
      <w:bookmarkStart w:id="510" w:name="Tc_a32-6JisS0e-kuPGSuiDlw_5_0"/>
      <w:bookmarkStart w:id="511" w:name="Tc_MnUYr3iTM0axei5s305DiA_4_0"/>
      <w:bookmarkStart w:id="512" w:name="Tc_L7_XUISmq0G94LU9aAh3WQ_3_0"/>
      <w:bookmarkStart w:id="513" w:name="Tc_6mYzHBJmm0apCyuCacIJUw_2_2"/>
      <w:bookmarkStart w:id="514" w:name="Tc_0azDSxoglE6wb3KCezr9Yw_2_0"/>
      <w:bookmarkStart w:id="515" w:name="Tc_H_PBAevGL0iITfsGLax8qQ_1_0"/>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Pr>
          <w:rFonts w:ascii="Times New Roman;Times;serif" w:hAnsi="Times New Roman;Times;serif"/>
          <w:b/>
          <w:sz w:val="20"/>
        </w:rPr>
        <w:t xml:space="preserve">6. Leases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an operating lease for its corporate offices and operations facility, as well as certain equipment with a term of 12 months or less. The Company also has an operating lease for its former retail store location, which was closed in 2022; the Company is currently in the process of negotiating the termination of this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2023, the Company’s real estate leases have remaining lease terms of 4 – 6 years, with a weighted average remaining lease term of approximately 4.7 years and a weighted average discount rate of 6.25%.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 expense included in selling, general and administrative expenses on the Company’s unaudited condensed consolidated statements of operations was approximately $0.4 million for both the current quarter and prior year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was $0.4 million and $0.6 million in the current quarter and prior year quarter,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2023, the maturities of lease obligations were as follows:</w:t>
      </w:r>
    </w:p>
    <w:p>
      <w:pPr>
        <w:pStyle w:val="TextBody"/>
        <w:bidi w:val="0"/>
        <w:spacing w:before="0" w:after="240"/>
        <w:ind w:left="0" w:right="0" w:hanging="0"/>
        <w:jc w:val="both"/>
        <w:rPr/>
      </w:pPr>
      <w:r>
        <w:rPr/>
        <w:t>​</w:t>
      </w:r>
    </w:p>
    <w:tbl>
      <w:tblPr>
        <w:tblW w:w="4439" w:type="dxa"/>
        <w:jc w:val="left"/>
        <w:tblInd w:w="0" w:type="dxa"/>
        <w:tblLayout w:type="fixed"/>
        <w:tblCellMar>
          <w:top w:w="0" w:type="dxa"/>
          <w:left w:w="0" w:type="dxa"/>
          <w:bottom w:w="0" w:type="dxa"/>
          <w:right w:w="0" w:type="dxa"/>
        </w:tblCellMar>
      </w:tblPr>
      <w:tblGrid>
        <w:gridCol w:w="3226"/>
        <w:gridCol w:w="326"/>
        <w:gridCol w:w="211"/>
        <w:gridCol w:w="67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48510" cy="175260"/>
                      <wp:effectExtent l="0" t="0" r="0" b="0"/>
                      <wp:wrapNone/>
                      <wp:docPr id="72" name="Frame72"/>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9260" cy="175260"/>
                      <wp:effectExtent l="0" t="0" r="0" b="0"/>
                      <wp:wrapNone/>
                      <wp:docPr id="75" name="Frame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 (April 1 through December 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 (through 2028)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8,033</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Discount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6,926</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5,531</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Debt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did not have any debt obligations as of March 31, 2023 or December 31,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December 30, 2021 through May 31, 2022, the Company had term loan debt outstanding pursuant to an agreement with First Eagle Alternative Credit Agent, LLC (“FEAC”); this debt was repaid in full and extinguished on May 31, 2022. For the prior year quarter, the Company incurred interest expense (including both interest paid in cash and the amortization of deferred finance costs) related to term loan debt of approximately $0.71 million, and the effective interest rate related to term loan debt was approximately 9.8%.</w:t>
      </w:r>
    </w:p>
    <w:p>
      <w:pPr>
        <w:pStyle w:val="TextBody"/>
        <w:bidi w:val="0"/>
        <w:spacing w:before="0" w:after="240"/>
        <w:ind w:left="0" w:right="0" w:hanging="0"/>
        <w:jc w:val="both"/>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sz w:val="20"/>
        </w:rPr>
        <w:t xml:space="preserve"> </w:t>
      </w:r>
      <w:r>
        <w:rPr>
          <w:rFonts w:ascii="Times New Roman;Times;serif" w:hAnsi="Times New Roman;Times;serif"/>
          <w:b/>
          <w:sz w:val="20"/>
        </w:rPr>
        <w:t xml:space="preserve">Stockholders’ Equity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total of 4,000,000 shares of common stock are eligible for issuance under the Company’s 2021 Equity Incentive Plan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Stock-based Compensation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stock-based compensation in accordance with Accounting Standards Codification (“ASC”) Topic 718, “Compensation - Stock Compensation,” by recognizing the fair value of stock-based compensation as an operating expense over the service period of the award or term of the corresponding contract, as applicable. Forfeitures are accounted for as a reduction of compensation cost in the period when such forfeitures occur. 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Total expense recognized in the current quarter and prior year quarter for all forms of stock-based compensation was approximately $0.06 million and $0.03 million, respectively. Of the current quarter expense amount, substantially all of the expense related to directors and consultants, and was recorded within other selling, general and administrative expenses in the accompanying condensed consolidated statements of operations. Of the prior year quarter expense amount, approximately $0.01 million related to employees and was recorded within salaries, benefits and expenses, while approximately $0.02 million related to directors and consultants and was recorded within other selling, general and administrative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b/>
          <w:i/>
          <w:sz w:val="20"/>
        </w:rPr>
      </w:pPr>
      <w:bookmarkStart w:id="516" w:name="Tc_eks8tP0jJUOkfX9zjesQpA_12_9"/>
      <w:bookmarkStart w:id="517" w:name="Tc_8HNNdCHQukChWgoxemkHmw_12_4"/>
      <w:bookmarkStart w:id="518" w:name="Tc_TJjiIJCQoUCa2q5YA_UpeA_12_0"/>
      <w:bookmarkStart w:id="519" w:name="Tc_fhKrZ6tm-UqzkPBGjN2uVg_11_0"/>
      <w:bookmarkStart w:id="520" w:name="Tc_Lf8b1g_ZtkWxIDMGkMvc7A_10_0"/>
      <w:bookmarkStart w:id="521" w:name="Tc_G0sHaBLxXEOmWvpelElquA_9_0"/>
      <w:bookmarkStart w:id="522" w:name="Tc_ET7CxMc4Z0ucQxv3605jeA_8_0"/>
      <w:bookmarkStart w:id="523" w:name="Tc_Ka0pHvyJmkCz9lAxU5GcXA_7_9"/>
      <w:bookmarkStart w:id="524" w:name="Tc_R04-qnHYu0SM4O2YeFnjrg_7_4"/>
      <w:bookmarkStart w:id="525" w:name="Tc_ldzaxDXEH0CvWUNxruXk7Q_7_0"/>
      <w:bookmarkStart w:id="526" w:name="Tc_tS8QFR5pl0S41BxzOSs08w_6_9"/>
      <w:bookmarkStart w:id="527" w:name="Tc_NfkS1Uzg4kWXqw4dUTy0oQ_6_7"/>
      <w:bookmarkStart w:id="528" w:name="Tc_deJ_Lbad0ESFTs-8UPo26g_6_4"/>
      <w:bookmarkStart w:id="529" w:name="Tc_DP9vBs1U9Ui3IM1hJWqqGg_6_2"/>
      <w:bookmarkStart w:id="530" w:name="Tc_9IsY-a3cGEqC4Z5h1eYHKQ_5_9"/>
      <w:bookmarkStart w:id="531" w:name="Tc_RqRnUIK8ekGomqng69ZczA_5_7"/>
      <w:bookmarkStart w:id="532" w:name="Tc_57yVLkI-gEin0mW5BtQmXQ_5_4"/>
      <w:bookmarkStart w:id="533" w:name="Tc_XAarsap9NESnLtJCR-GCdQ_5_2"/>
      <w:bookmarkStart w:id="534" w:name="Tc_9-eWjW9CYUGUXeE30bouIQ_4_9"/>
      <w:bookmarkStart w:id="535" w:name="Tc__vYUuytfnkKg0kwgYAv2pA_4_7"/>
      <w:bookmarkStart w:id="536" w:name="Tc_sgSsEQG5R0qvY8yHRJezLA_4_4"/>
      <w:bookmarkStart w:id="537" w:name="Tc_5F-noN8kMEGkreiEXAND7A_3_7"/>
      <w:bookmarkStart w:id="538" w:name="Tc_Vf6GZd1EbUqaE7xfzNuEYw_3_4"/>
      <w:bookmarkStart w:id="539" w:name="Tc_VmiT8EevrEKt5RDvXhD50A_2_7"/>
      <w:bookmarkStart w:id="540" w:name="Tc_mju_sNLzvUWNQhmHmtuy5Q_1_7"/>
      <w:bookmarkStart w:id="541" w:name="Tc_82zGZzKKfUecwg-DYmyeVA_9_4"/>
      <w:bookmarkStart w:id="542" w:name="Tc_hJgcwfSMeEy8gCRKTe-dyw_9_0"/>
      <w:bookmarkStart w:id="543" w:name="Tc_Y7xhd25L9EGRbNqNuU8ntA_8_5"/>
      <w:bookmarkStart w:id="544" w:name="Tc_PvcgwDZYKEOsvNdCDdKGkg_8_2"/>
      <w:bookmarkStart w:id="545" w:name="Tc_1HpeVcAdK0Oz_oY7qOvKJA_8_0"/>
      <w:bookmarkStart w:id="546" w:name="Tc_9XqTASOBcUG7ZeeWpWX9qQ_7_5"/>
      <w:bookmarkStart w:id="547" w:name="Tc_P-fDwi-NwU-Nl2TOPmuZaw_7_2"/>
      <w:bookmarkStart w:id="548" w:name="Tc_Xl6NFySC4km-ezsQ63_dRA_7_0"/>
      <w:bookmarkStart w:id="549" w:name="Tc_mVjUPHBBsEqNkuv2IdnVkA_6_5"/>
      <w:bookmarkStart w:id="550" w:name="Tc_TCFu0tKE2kCelPMZnYlRbQ_6_2"/>
      <w:bookmarkStart w:id="551" w:name="Tc_PAev2LZeD0GrU_hob_LPtA_6_0"/>
      <w:bookmarkStart w:id="552" w:name="Tc_61QkJWMeJEy94A7ct-Qo3A_5_4"/>
      <w:bookmarkStart w:id="553" w:name="Tc_kr_QAmlej0aSiikqCYb3tw_5_0"/>
      <w:bookmarkStart w:id="554" w:name="Tc_nLR8XU3pJ0S8tyJVhR8lkA_4_4"/>
      <w:bookmarkStart w:id="555" w:name="Tc_xaZ2OVLAfEa414jZF2Frxg_4_2"/>
      <w:bookmarkStart w:id="556" w:name="Tc_09QP7RAB7kGwf2irjT4vtQ_3_4"/>
      <w:bookmarkStart w:id="557" w:name="Tc_RqShGBcoa0-FYeVq99RIhg_3_2"/>
      <w:bookmarkStart w:id="558" w:name="Tc_sVyt9hRMJEWlA84NXHwT2w_2_4"/>
      <w:bookmarkStart w:id="559" w:name="Tc_nlGXAw57RkmcHHyUZb7FqQ_1_4"/>
      <w:bookmarkStart w:id="560" w:name="Tc_KSwDcEn8lkqZ1gs2UjG36w_13_9"/>
      <w:bookmarkStart w:id="561" w:name="Tc_fVldXTuKUESaRXlnp5DuwQ_13_4"/>
      <w:bookmarkStart w:id="562" w:name="Tc_rQYFvlnly0WpfiLgV6_GHw_13_0"/>
      <w:bookmarkStart w:id="563" w:name="Tc_lGNsuVlw702-Nety5YKCJQ_12_9"/>
      <w:bookmarkStart w:id="564" w:name="Tc_9O6_EwuUdEmz4HM_J6y8OQ_12_4"/>
      <w:bookmarkStart w:id="565" w:name="Tc_ZgUFiBivsUaCUtirPgaSnA_12_0"/>
      <w:bookmarkStart w:id="566" w:name="Tc_LYa7RkeNKUeUhPbvSKB5mw_11_0"/>
      <w:bookmarkStart w:id="567" w:name="Tc_NwYxNKdPFEWtypgeY6T7yA_10_0"/>
      <w:bookmarkStart w:id="568" w:name="Tc_1Y3LdcINjUWDSZg56M78uA_9_0"/>
      <w:bookmarkStart w:id="569" w:name="Tc_lq3uMtk56E6VaKcqs84Igw_8_0"/>
      <w:bookmarkStart w:id="570" w:name="Tc_SjLQBuRYnk20EVuQ91AKjw_7_9"/>
      <w:bookmarkStart w:id="571" w:name="Tc_6FpQEtIOQUqiMTG-HAfJnQ_7_4"/>
      <w:bookmarkStart w:id="572" w:name="Tc_zoc2yr0pZEeT1Mxra3joQw_7_0"/>
      <w:bookmarkStart w:id="573" w:name="Tc_j6FMTf-WjUij7BTTXqH1sw_6_9"/>
      <w:bookmarkStart w:id="574" w:name="Tc_GlfycN4C30OJ1Qi_tXGXcg_6_7"/>
      <w:bookmarkStart w:id="575" w:name="Tc_EqfkIFyVvEefaVLLcWP7Qg_6_4"/>
      <w:bookmarkStart w:id="576" w:name="Tc_p1szrlJfGkuiRGitSR86-A_6_2"/>
      <w:bookmarkStart w:id="577" w:name="Tc_IF60-ZFO-kK89gautUU2zw_5_9"/>
      <w:bookmarkStart w:id="578" w:name="Tc_wMP095IBI0KFYpSPvwlxeQ_5_7"/>
      <w:bookmarkStart w:id="579" w:name="Tc_yhxH1VVAF0yrQUtyyz8Qrg_5_4"/>
      <w:bookmarkStart w:id="580" w:name="Tc_NRPzVjvi20qenUExliRbwA_5_2"/>
      <w:bookmarkStart w:id="581" w:name="Tc_tNC6VINhakSwHB3USeDx8w_4_9"/>
      <w:bookmarkStart w:id="582" w:name="Tc_wVyF-rP38Ui5njyX0mw4IA_4_7"/>
      <w:bookmarkStart w:id="583" w:name="Tc_THBgnLzaa0SA36tY_ltv5w_4_4"/>
      <w:bookmarkStart w:id="584" w:name="Tc_DSmBlMTaJUmsql5xLvSVvw_3_7"/>
      <w:bookmarkStart w:id="585" w:name="Tc_wXTnwwBjokad0Ot_vFw03w_3_4"/>
      <w:bookmarkStart w:id="586" w:name="Tc_ULbyf_t_YECLpd2rjWK3sQ_2_7"/>
      <w:bookmarkStart w:id="587" w:name="Tc_jr281p1E-E6W4nQNL8jBUQ_1_7"/>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r>
        <w:rPr>
          <w:rFonts w:ascii="Times New Roman;Times;serif" w:hAnsi="Times New Roman;Times;serif"/>
          <w:b/>
          <w:i/>
          <w:sz w:val="20"/>
        </w:rPr>
        <w:t>Stock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summary of the Company’s stock options activity for the current quarter is as follows: </w:t>
      </w:r>
    </w:p>
    <w:p>
      <w:pPr>
        <w:pStyle w:val="TextBody"/>
        <w:bidi w:val="0"/>
        <w:spacing w:before="0" w:after="240"/>
        <w:ind w:left="0" w:right="0" w:hanging="0"/>
        <w:jc w:val="both"/>
        <w:rPr/>
      </w:pPr>
      <w:r>
        <w:rPr/>
        <w:t>​</w:t>
      </w:r>
    </w:p>
    <w:tbl>
      <w:tblPr>
        <w:tblW w:w="9349" w:type="dxa"/>
        <w:jc w:val="left"/>
        <w:tblInd w:w="0" w:type="dxa"/>
        <w:tblLayout w:type="fixed"/>
        <w:tblCellMar>
          <w:top w:w="0" w:type="dxa"/>
          <w:left w:w="0" w:type="dxa"/>
          <w:bottom w:w="0" w:type="dxa"/>
          <w:right w:w="0" w:type="dxa"/>
        </w:tblCellMar>
      </w:tblPr>
      <w:tblGrid>
        <w:gridCol w:w="4411"/>
        <w:gridCol w:w="326"/>
        <w:gridCol w:w="931"/>
        <w:gridCol w:w="326"/>
        <w:gridCol w:w="248"/>
        <w:gridCol w:w="548"/>
        <w:gridCol w:w="326"/>
        <w:gridCol w:w="991"/>
        <w:gridCol w:w="326"/>
        <w:gridCol w:w="291"/>
        <w:gridCol w:w="625"/>
      </w:tblGrid>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8" w:type="dxa"/>
            <w:tcBorders/>
            <w:vAlign w:val="center"/>
          </w:tcPr>
          <w:p>
            <w:pPr>
              <w:pStyle w:val="TableContents"/>
              <w:bidi w:val="0"/>
              <w:spacing w:before="0" w:after="1"/>
              <w:ind w:left="0" w:right="0" w:hanging="0"/>
              <w:jc w:val="center"/>
              <w:rPr/>
            </w:pPr>
            <w:r>
              <w:rPr/>
              <w:t>​</w:t>
            </w:r>
          </w:p>
        </w:tc>
        <w:tc>
          <w:tcPr>
            <w:tcW w:w="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625" w:type="dxa"/>
            <w:tcBorders/>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8" w:type="dxa"/>
            <w:tcBorders/>
            <w:vAlign w:val="center"/>
          </w:tcPr>
          <w:p>
            <w:pPr>
              <w:pStyle w:val="TableContents"/>
              <w:bidi w:val="0"/>
              <w:spacing w:before="0" w:after="1"/>
              <w:ind w:left="0" w:right="0" w:hanging="0"/>
              <w:jc w:val="center"/>
              <w:rPr/>
            </w:pPr>
            <w:r>
              <w:rPr/>
              <w:t>​</w:t>
            </w:r>
          </w:p>
        </w:tc>
        <w:tc>
          <w:tcPr>
            <w:tcW w:w="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625" w:type="dxa"/>
            <w:tcBorders/>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625" w:type="dxa"/>
            <w:tcBorders/>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5,614,310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pPr>
            <w:r>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left"/>
              <w:rPr/>
            </w:pPr>
            <w:r>
              <w:rPr/>
              <w:t>  </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left"/>
              <w:rPr/>
            </w:pPr>
            <w:r>
              <w:rPr/>
              <w:t>  </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left"/>
              <w:rPr/>
            </w:pPr>
            <w:r>
              <w:rPr/>
              <w:t>  </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(245,530)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March 31, 2023, and expected to vest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5,368,780</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1,671,280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expense related to stock options for the current quarter and the prior year quarter was approximately $0.03 million and $0.02 million, respectively. Total unrecognized compensation expense related to unvested stock options at March 31, 2023 was approximately $0.06 million and is expected to be recognized over a weighted average period of approximately 1.01 years.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summary of the Company’s non-vested stock options activity for the current quarter is as follows: </w:t>
      </w:r>
    </w:p>
    <w:p>
      <w:pPr>
        <w:pStyle w:val="TextBody"/>
        <w:bidi w:val="0"/>
        <w:spacing w:before="0" w:after="240"/>
        <w:ind w:left="0" w:right="0" w:hanging="0"/>
        <w:jc w:val="both"/>
        <w:rPr/>
      </w:pPr>
      <w:r>
        <w:rPr/>
        <w:t>​</w:t>
      </w:r>
    </w:p>
    <w:tbl>
      <w:tblPr>
        <w:tblW w:w="4930" w:type="dxa"/>
        <w:jc w:val="left"/>
        <w:tblInd w:w="0" w:type="dxa"/>
        <w:tblLayout w:type="fixed"/>
        <w:tblCellMar>
          <w:top w:w="0" w:type="dxa"/>
          <w:left w:w="0" w:type="dxa"/>
          <w:bottom w:w="0" w:type="dxa"/>
          <w:right w:w="0" w:type="dxa"/>
        </w:tblCellMar>
      </w:tblPr>
      <w:tblGrid>
        <w:gridCol w:w="2311"/>
        <w:gridCol w:w="326"/>
        <w:gridCol w:w="931"/>
        <w:gridCol w:w="326"/>
        <w:gridCol w:w="278"/>
        <w:gridCol w:w="758"/>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67485" cy="175260"/>
                      <wp:effectExtent l="0" t="0" r="0" b="0"/>
                      <wp:wrapNone/>
                      <wp:docPr id="76" name="Frame7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1185" cy="175260"/>
                      <wp:effectExtent l="0" t="0" r="0" b="0"/>
                      <wp:wrapNone/>
                      <wp:docPr id="78" name="Frame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6530" cy="175260"/>
                      <wp:effectExtent l="0" t="0" r="0" b="0"/>
                      <wp:wrapNone/>
                      <wp:docPr id="80" name="Frame8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81330" cy="175260"/>
                      <wp:effectExtent l="0" t="0" r="0" b="0"/>
                      <wp:wrapNone/>
                      <wp:docPr id="81" name="Frame81"/>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Average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3,697,500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58"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or Canceled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3,697,500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summary of the Company’s warrants activity for the current quarter is as follows: </w:t>
      </w:r>
    </w:p>
    <w:p>
      <w:pPr>
        <w:pStyle w:val="TextBody"/>
        <w:bidi w:val="0"/>
        <w:spacing w:before="0" w:after="240"/>
        <w:ind w:left="0" w:right="0" w:hanging="0"/>
        <w:jc w:val="both"/>
        <w:rPr/>
      </w:pPr>
      <w:r>
        <w:rPr/>
        <w:t>​</w:t>
      </w:r>
    </w:p>
    <w:tbl>
      <w:tblPr>
        <w:tblW w:w="8854" w:type="dxa"/>
        <w:jc w:val="left"/>
        <w:tblInd w:w="0" w:type="dxa"/>
        <w:tblLayout w:type="fixed"/>
        <w:tblCellMar>
          <w:top w:w="0" w:type="dxa"/>
          <w:left w:w="0" w:type="dxa"/>
          <w:bottom w:w="0" w:type="dxa"/>
          <w:right w:w="0" w:type="dxa"/>
        </w:tblCellMar>
      </w:tblPr>
      <w:tblGrid>
        <w:gridCol w:w="3961"/>
        <w:gridCol w:w="326"/>
        <w:gridCol w:w="886"/>
        <w:gridCol w:w="326"/>
        <w:gridCol w:w="248"/>
        <w:gridCol w:w="548"/>
        <w:gridCol w:w="326"/>
        <w:gridCol w:w="991"/>
        <w:gridCol w:w="326"/>
        <w:gridCol w:w="291"/>
        <w:gridCol w:w="625"/>
      </w:tblGrid>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exercisable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exercisable at March 31, 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116,065</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bookmarkStart w:id="588" w:name="Tc_tDhninB6yk-sBVeH80W86Q_10_4"/>
      <w:bookmarkStart w:id="589" w:name="Tc_36e19v9qSEavo8iLZS_DgA_10_0"/>
      <w:bookmarkStart w:id="590" w:name="Tc_ONi89-s720i-jUhjce75CQ_9_0"/>
      <w:bookmarkStart w:id="591" w:name="Tc_omGH8882DkmvL2H4WcrJcA_8_0"/>
      <w:bookmarkStart w:id="592" w:name="Tc_N-EnFW-z20SdJUYj4VLCEQ_7_0"/>
      <w:bookmarkStart w:id="593" w:name="Tc_qHE1neBbu06v1xZaeik0Wg_6_0"/>
      <w:bookmarkStart w:id="594" w:name="Tc_a36toqpmoUaIhXJY3MDhkA_5_4"/>
      <w:bookmarkStart w:id="595" w:name="Tc_18bB_8jBKESyk8upWZsWnw_5_0"/>
      <w:bookmarkStart w:id="596" w:name="Tc_l3LCPs9TB06HBF_ZPQYmBg_4_4"/>
      <w:bookmarkStart w:id="597" w:name="Tc_5LIRZwYnd0irN0329PnRAw_4_2"/>
      <w:bookmarkStart w:id="598" w:name="Tc_h51TWXJwnU6VXJ54z098aQ_3_4"/>
      <w:bookmarkStart w:id="599" w:name="Tc_q07HhiwJok-gJuGrxD6CTQ_3_2"/>
      <w:bookmarkStart w:id="600" w:name="Tc_qBNTHX-ptkWDCotG3QOwlA_2_4"/>
      <w:bookmarkStart w:id="601" w:name="Tc_GadxVpCC20S5rO9zSjDBgg_2_2"/>
      <w:bookmarkStart w:id="602" w:name="Tc_KpGstcG0QEeALqq0cWDzsg_1_4"/>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compensation expense related to warrants was recognized in the current quarter or prior year quarter.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Awards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restricted stock activity for the current quarter is as follows:  </w:t>
      </w:r>
    </w:p>
    <w:p>
      <w:pPr>
        <w:pStyle w:val="TextBody"/>
        <w:bidi w:val="0"/>
        <w:spacing w:before="0" w:after="240"/>
        <w:ind w:left="0" w:right="0" w:hanging="0"/>
        <w:jc w:val="both"/>
        <w:rPr/>
      </w:pPr>
      <w:r>
        <w:rPr/>
        <w:t>​</w:t>
      </w:r>
    </w:p>
    <w:tbl>
      <w:tblPr>
        <w:tblW w:w="5184" w:type="dxa"/>
        <w:jc w:val="left"/>
        <w:tblInd w:w="0" w:type="dxa"/>
        <w:tblLayout w:type="fixed"/>
        <w:tblCellMar>
          <w:top w:w="0" w:type="dxa"/>
          <w:left w:w="0" w:type="dxa"/>
          <w:bottom w:w="0" w:type="dxa"/>
          <w:right w:w="0" w:type="dxa"/>
        </w:tblCellMar>
      </w:tblPr>
      <w:tblGrid>
        <w:gridCol w:w="2656"/>
        <w:gridCol w:w="326"/>
        <w:gridCol w:w="886"/>
        <w:gridCol w:w="326"/>
        <w:gridCol w:w="266"/>
        <w:gridCol w:w="72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86560" cy="175260"/>
                      <wp:effectExtent l="0" t="0" r="0" b="0"/>
                      <wp:wrapNone/>
                      <wp:docPr id="82" name="Frame8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62610" cy="175260"/>
                      <wp:effectExtent l="0" t="0" r="0" b="0"/>
                      <wp:wrapNone/>
                      <wp:docPr id="84" name="Frame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8910" cy="175260"/>
                      <wp:effectExtent l="0" t="0" r="0" b="0"/>
                      <wp:wrapNone/>
                      <wp:docPr id="86" name="Frame8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59740" cy="175260"/>
                      <wp:effectExtent l="0" t="0" r="0" b="0"/>
                      <wp:wrapNone/>
                      <wp:docPr id="87" name="Frame8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333,333</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333,333</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 2023, the Company issued 8,334 shares of common stock to a consultant, which vested immediately.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expense related to stock awards was approximately $0.03 million for the current quarter and approximately $0.01 million for the prior year quarter. Total unrecognized compensation expense related to unvested restricted stock grants at March 31, 2023 was approximately $0.04 million and is expected to be recognized over a weighted average period of approximately 1.04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restricted stock units outstanding as of March 31, 2023 and December 31, 2022, and no restricted stock units have been issued since the inception of the 2021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Shares Available Under the Company’s Equity Incentive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there were 3,321,075 shares of common stock available for award grants under the 2021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Shares Reserved for Issuance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2023, there were 8,805,920 shares of common stock reserved for issuance, including 5,484,845 shares reserved pursuant to unexercised warrants and stock options previously granted under the 2011 Plan, 376,850 shares reserved pursuant to unexercised stock options granted under the 2021 Plan, and 3,321,075 shares available for issuance under the 2021 Plan.</w:t>
      </w:r>
    </w:p>
    <w:p>
      <w:pPr>
        <w:pStyle w:val="TextBody"/>
        <w:bidi w:val="0"/>
        <w:spacing w:before="0" w:after="240"/>
        <w:ind w:left="0" w:right="0" w:firstLine="720"/>
        <w:jc w:val="both"/>
        <w:rPr/>
      </w:pPr>
      <w:r>
        <w:rPr/>
        <w:t>​</w:t>
      </w:r>
    </w:p>
    <w:p>
      <w:pPr>
        <w:pStyle w:val="TextBody"/>
        <w:pBdr/>
        <w:bidi w:val="0"/>
        <w:spacing w:before="0" w:after="240"/>
        <w:ind w:left="0" w:right="0" w:hanging="202"/>
        <w:jc w:val="left"/>
        <w:rPr>
          <w:rFonts w:ascii="Times New Roman;Times;serif" w:hAnsi="Times New Roman;Times;serif"/>
          <w:b/>
          <w:sz w:val="20"/>
        </w:rPr>
      </w:pPr>
      <w:r>
        <w:rPr>
          <w:rFonts w:ascii="Times New Roman;Times;serif" w:hAnsi="Times New Roman;Times;serif"/>
          <w:b/>
          <w:sz w:val="20"/>
        </w:rPr>
        <w:t xml:space="preserve">9.    Earnings (Loss) Per Share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earnings (loss)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 The following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sz w:val="20"/>
        </w:rPr>
      </w:pPr>
      <w:bookmarkStart w:id="603" w:name="Tc_i2t28hcfD0miZ_U6PY56Sg_6_0"/>
      <w:bookmarkStart w:id="604" w:name="Tc_KJodWjMGaE-M3Y0_yv1Wpg_5_0"/>
      <w:bookmarkStart w:id="605" w:name="Tc_ZrF9tQ9qk0-tm31ssCA0IQ_4_0"/>
      <w:bookmarkStart w:id="606" w:name="Tc_dtYj6uM1602_1a75f4jlLg_3_4"/>
      <w:bookmarkStart w:id="607" w:name="Tc_VkQihbi9v0K1PQSwJ5VVzQ_3_2"/>
      <w:bookmarkStart w:id="608" w:name="Tc_kQWNNMFkoUe1HQgj4WZ5cQ_2_2"/>
      <w:bookmarkStart w:id="609" w:name="Tc_GnYh3kcY_06AhM7YizdAqg_1_2"/>
      <w:bookmarkStart w:id="610" w:name="Tc_gjhhlV4bm02INE4M0Mz2Eg_14_5"/>
      <w:bookmarkStart w:id="611" w:name="Tc_pjbPzZ1GHUyhryJH_33MBw_14_2"/>
      <w:bookmarkStart w:id="612" w:name="Tc_y4QjZkYpo0SHKURQNj6LIA_14_0"/>
      <w:bookmarkStart w:id="613" w:name="Tc_Nz5oVFPTLEyGCQg4wbtpog_13_5"/>
      <w:bookmarkStart w:id="614" w:name="Tc_As353ywVskSo-wd8-qo3Yg_13_2"/>
      <w:bookmarkStart w:id="615" w:name="Tc_6aXDKleOkEiRw5kZmEu4jQ_13_0"/>
      <w:bookmarkStart w:id="616" w:name="Tc_e0so2Nq9pUuvMvILkdl_mg_11_0"/>
      <w:bookmarkStart w:id="617" w:name="Tc_V6wPMWN9kEm5CRj8LmJl2Q_10_6"/>
      <w:bookmarkStart w:id="618" w:name="Tc_-hdTNZ_LwEuJxhUX9E5tuA_10_3"/>
      <w:bookmarkStart w:id="619" w:name="Tc_k6y0JKdK-UOwQg9E5WL8rg_10_0"/>
      <w:bookmarkStart w:id="620" w:name="Tc_O2TBRTH8dkqosb6qTYz42Q_9_6"/>
      <w:bookmarkStart w:id="621" w:name="Tc_jiadzJ8jRkWCJZFCxbNUpw_9_3"/>
      <w:bookmarkStart w:id="622" w:name="Tc_KGqG2FiOX0mefeMWse3XBA_9_0"/>
      <w:bookmarkStart w:id="623" w:name="Tc_fbN0hxYTGUCUHRpMC3Q-jg_8_0"/>
      <w:bookmarkStart w:id="624" w:name="Tc_FupX6MPKXUuq2brKSI407Q_7_0"/>
      <w:bookmarkStart w:id="625" w:name="Tc_rZUyVXYcAEyvrWIrzwbpcQ_5_5"/>
      <w:bookmarkStart w:id="626" w:name="Tc_piF21fnfS0maRURFO4z4sA_5_2"/>
      <w:bookmarkStart w:id="627" w:name="Tc_ySMprTIiMk2t7dKCPWkBig_5_0"/>
      <w:bookmarkStart w:id="628" w:name="Tc_Ul36CqsVwEOLiQpVOKYqgA_4_0"/>
      <w:bookmarkStart w:id="629" w:name="Tc_F5XUxqEWSUqrHAtq2UOXBg_3_5"/>
      <w:bookmarkStart w:id="630" w:name="Tc_Y6_BDDwgFkegOoWs-q8Igw_3_2"/>
      <w:bookmarkStart w:id="631" w:name="Tc_y1Kx8BnA-UumKKw2bIY1yQ_2_2"/>
      <w:bookmarkStart w:id="632" w:name="Tc_NSQGRRQjmkytxJj-qy1n_Q_1_3"/>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ascii="Times New Roman;Times;serif" w:hAnsi="Times New Roman;Times;serif"/>
          <w:sz w:val="20"/>
        </w:rPr>
        <w:t>table is a reconciliation of the numerator and denominator of the basic and diluted net (loss) income per share computations for the three months ended March 31, 2023 and 2022:</w:t>
      </w:r>
    </w:p>
    <w:p>
      <w:pPr>
        <w:pStyle w:val="TextBody"/>
        <w:bidi w:val="0"/>
        <w:spacing w:before="0" w:after="0"/>
        <w:ind w:left="0" w:right="0" w:hanging="0"/>
        <w:jc w:val="left"/>
        <w:rPr/>
      </w:pPr>
      <w:r>
        <w:rPr/>
        <w:t>​</w:t>
      </w:r>
    </w:p>
    <w:tbl>
      <w:tblPr>
        <w:tblW w:w="9008" w:type="dxa"/>
        <w:jc w:val="left"/>
        <w:tblInd w:w="0" w:type="dxa"/>
        <w:tblLayout w:type="fixed"/>
        <w:tblCellMar>
          <w:top w:w="0" w:type="dxa"/>
          <w:left w:w="0" w:type="dxa"/>
          <w:bottom w:w="0" w:type="dxa"/>
          <w:right w:w="0" w:type="dxa"/>
        </w:tblCellMar>
      </w:tblPr>
      <w:tblGrid>
        <w:gridCol w:w="5671"/>
        <w:gridCol w:w="326"/>
        <w:gridCol w:w="211"/>
        <w:gridCol w:w="1036"/>
        <w:gridCol w:w="326"/>
        <w:gridCol w:w="211"/>
        <w:gridCol w:w="1036"/>
        <w:gridCol w:w="19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01085" cy="175260"/>
                      <wp:effectExtent l="0" t="0" r="0" b="0"/>
                      <wp:wrapNone/>
                      <wp:docPr id="88" name="Frame88"/>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260"/>
                      <wp:effectExtent l="0" t="0" r="0" b="0"/>
                      <wp:wrapNone/>
                      <wp:docPr id="91" name="Frame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57860" cy="175260"/>
                      <wp:effectExtent l="0" t="0" r="0" b="0"/>
                      <wp:wrapNone/>
                      <wp:docPr id="94" name="Frame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1285" cy="175260"/>
                      <wp:effectExtent l="0" t="0" r="0" b="0"/>
                      <wp:wrapNone/>
                      <wp:docPr id="95" name="Frame9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60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1"/>
              <w:ind w:left="0" w:right="0" w:hanging="0"/>
              <w:jc w:val="center"/>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1" w:type="dxa"/>
            <w:tcBorders/>
            <w:vAlign w:val="center"/>
          </w:tcPr>
          <w:p>
            <w:pPr>
              <w:pStyle w:val="TableContents"/>
              <w:bidi w:val="0"/>
              <w:spacing w:before="0" w:after="1"/>
              <w:ind w:left="0" w:right="0" w:hanging="0"/>
              <w:jc w:val="center"/>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 (in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(5,643)</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w:t>
            </w:r>
          </w:p>
        </w:tc>
        <w:tc>
          <w:tcPr>
            <w:tcW w:w="1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number of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19,633,194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19,571,119</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 </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number of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19,633,194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19,571,119</w:t>
            </w:r>
          </w:p>
        </w:tc>
        <w:tc>
          <w:tcPr>
            <w:tcW w:w="1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net loss for the current quarter and prior year quarter, the Company calculated diluted EPS using basic weighted average shares outstanding for such periods, as utilizing diluted shares would be anti-dilutive to loss per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computation of diluted EPS excludes the following potentially dilutive securities because their inclusion would be anti-dilutive:  </w:t>
      </w:r>
    </w:p>
    <w:p>
      <w:pPr>
        <w:pStyle w:val="TextBody"/>
        <w:bidi w:val="0"/>
        <w:spacing w:before="0" w:after="240"/>
        <w:ind w:left="0" w:right="0" w:hanging="0"/>
        <w:jc w:val="both"/>
        <w:rPr/>
      </w:pPr>
      <w:r>
        <w:rPr/>
        <w:t>​</w:t>
      </w:r>
    </w:p>
    <w:tbl>
      <w:tblPr>
        <w:tblW w:w="3951" w:type="dxa"/>
        <w:jc w:val="left"/>
        <w:tblInd w:w="0" w:type="dxa"/>
        <w:tblLayout w:type="fixed"/>
        <w:tblCellMar>
          <w:top w:w="0" w:type="dxa"/>
          <w:left w:w="0" w:type="dxa"/>
          <w:bottom w:w="0" w:type="dxa"/>
          <w:right w:w="0" w:type="dxa"/>
        </w:tblCellMar>
      </w:tblPr>
      <w:tblGrid>
        <w:gridCol w:w="1246"/>
        <w:gridCol w:w="326"/>
        <w:gridCol w:w="931"/>
        <w:gridCol w:w="326"/>
        <w:gridCol w:w="931"/>
        <w:gridCol w:w="19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91210" cy="175260"/>
                      <wp:effectExtent l="0" t="0" r="0" b="0"/>
                      <wp:wrapNone/>
                      <wp:docPr id="96" name="Frame9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1185" cy="175260"/>
                      <wp:effectExtent l="0" t="0" r="0" b="0"/>
                      <wp:wrapNone/>
                      <wp:docPr id="98" name="Frame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91185" cy="175260"/>
                      <wp:effectExtent l="0" t="0" r="0" b="0"/>
                      <wp:wrapNone/>
                      <wp:docPr id="100" name="Frame1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1285" cy="175260"/>
                      <wp:effectExtent l="0" t="0" r="0" b="0"/>
                      <wp:wrapNone/>
                      <wp:docPr id="101" name="Frame10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8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1"/>
              <w:ind w:left="0" w:right="0" w:hanging="0"/>
              <w:jc w:val="left"/>
              <w:rPr/>
            </w:pPr>
            <w:r>
              <w:rPr/>
              <w:t>​</w: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1" w:type="dxa"/>
            <w:tcBorders/>
            <w:vAlign w:val="center"/>
          </w:tcPr>
          <w:p>
            <w:pPr>
              <w:pStyle w:val="TableContents"/>
              <w:bidi w:val="0"/>
              <w:spacing w:before="0" w:after="1"/>
              <w:ind w:left="0" w:right="0" w:hanging="0"/>
              <w:jc w:val="left"/>
              <w:rPr/>
            </w:pPr>
            <w:r>
              <w:rPr/>
              <w:t>​</w: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1"/>
              <w:ind w:left="0" w:right="0" w:hanging="0"/>
              <w:jc w:val="left"/>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5,368,780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5,266,660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116,065</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116,065</w:t>
            </w:r>
          </w:p>
        </w:tc>
        <w:tc>
          <w:tcPr>
            <w:tcW w:w="191" w:type="dxa"/>
            <w:tcBorders/>
            <w:vAlign w:val="center"/>
          </w:tcPr>
          <w:p>
            <w:pPr>
              <w:pStyle w:val="TableContents"/>
              <w:bidi w:val="0"/>
              <w:spacing w:before="0" w:after="1"/>
              <w:ind w:left="0" w:right="0" w:hanging="0"/>
              <w:jc w:val="left"/>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5,484,845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5,382,725</w:t>
            </w:r>
          </w:p>
        </w:tc>
        <w:tc>
          <w:tcPr>
            <w:tcW w:w="19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estimated annual effective income tax rate for the current quarter and the prior year quarter was approximately 0% for both periods, resulting in an income tax benefit of $0 for both periods.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both the current quarter and the prior year quarter,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Related Party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 Topco,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holds a noncontrolling interest in IM Topco, which is accounted for under the equity method of accounting.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entered into a services agreement with IM Topco, pursuant to which the Company provides certain design and support services (including assistance with the operations of the interactive television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related talent support) to IM Topco in exchange for payments of $300,000 per year. For the three months ended March 31, 2023, the Company recognized service fee income related to this agreement of $75,000.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 December 31, 2026, and provided guaranteed royalties to IM Topco of $400,000 per year. 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three months ended March 31, 2023, the estimated amount of such shortfall was approximately $60,000, which the Company recognized as royalty expense in the condensed consolidated statements of operations.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Lori Goldstein Earn-Out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April 1, 2021 purchase of the Lori Goldstein trademarks, the Company agreed to pay the seller additional cash consideration (the “Lori Goldstein Earn-Out”) of up to $12.5 million, based on royalties earned during the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calendar year period commencing in 2021. The Lori Goldstein Earn-Out was initially recorded as a liability of $6.6 million, based on the difference between the fair value of the acquired assets of the Lori Goldstein brand and the total consideration paid, in accordance with the guidance in Accounting Standards Codification Subtopic 805-50. Based on the performance of the Lori Goldstein brand through December 31, 2022, approximately $0.2 million of additional consideration has been earned by the seller to date, and this amount was paid to the seller in the current quarter. At December 31, 2022, $0.2 million of the balance was recorded as a current liability and $6.4 million was recorded as a long-term liability; at March 31, 2023, the entire remaining balance of $6.4 million is recorded as a long-term liability.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Isaac Mizrahi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May 31, 2022 transaction related to the sale of a majority interest in the Isaac Mizrahi Brand (see Note 2), the Company agreed with WHP that, in the event that IM Topco receives less than $13.3 million in aggregate royalties for any four consecutive calendar quarters over a three-year period ending on May 31, 2025, WHP will be entitled to receive from the Company up to $16 million, less all amounts of net cash flow distributed to WHP on an accumulated basis, as an adjustment to the purchase price previously paid by WHP. Such amount would be payable by the Company in either cash or equity interests in IM Topco held by the Company. No amount has been recorded in the accompanying condensed consolidated balance sheets related to this contingent obligation, and management believes the likelihood of any such payment is remote. Based on IM Topco’s earnings from May 31, 2022 through March 31, 2023 and the applicable distribution provisions, WHP earned $5.89 million in cash flow, which reduces the maximum potential purchase price adjustment to $10.11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22, 2022, the Company received a letter from the Listing Qualifications Department of The Nasdaq Stock Market (“Nasdaq”) notifying the Company that the minimum bid price per share for its common stock fell below $1.00 for a period of 30 consecutive business days. Therefore, the Company did not meet the minimum bid price requirement set forth in the Nasdaq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letter also states that pursuant to Nasdaq Listing Rules 5810(c)(3)(A), the Company will be provided 180 calendar days to regain compliance with the minimum bid price requirement, or until May 22,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Nasdaq Listing Rule 5810(c)(3)(A), the Company can regain compliance if, at any time during the Tolling Period or such 180-day period, the closing bid price of the Company’s common stock is at least $1.00 for a minimum period of 10 consecutive business days. If by May 22, 2023, the Company does not regain compliance with the Nasdaq Listing Rules, the Company may be eligible for additional time to regain compliance pursuant to Nasdaq Listing Rule 5810(c)(3)(A)(ii). To qualify, the Company would need to submit a transfer application and a $5,000 application fee. The Company would also need to provide written notice to Nasdaq of its intention to cure the minimum bid price deficiency during the second compliance period by effecting a reverse stock split, if necessary. As part of its review process, the Nasdaq staff will make a determination of whether it believes the Company will be able to cure this deficiency. Should the Nasdaq staff conclude that the Company will not be able to cure the deficiency, or should the Company determine not to submit a transfer application or make the required representation, Nasdaq will provide notice that the Company’s shares of common stock will be subject to delisting.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does not regain compliance within the allotted compliance period, including any extensions that may be granted by Nasdaq, Nasdaq will provide notice that the Company’s shares of common stock will be subject to delisting from the Nasdaq Global Market. At such time, the Company may appeal the delisting determination to a hearings panel.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intends to monitor its closing bid price and the market value of its publicly held common stock between now and May 22, 2023, and will consider available options to resolve the Company’s noncompliance with the minimum bid price requirement, as may be necessary. There can be no assurance that the Company will be able to regain compliance with the minimum bid price requirement or will otherwise be in compliance with other Nasdaq listing criteria.</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15, 2023, the Company, through its subsidiaries, H Halston, LLC and H Heritage Licensing, LLC (collectively, the “Licensor”), entered into a master license agreement relating to the Halston Brand (the “Halston Master License”) with an industry-leading wholesale apparel company, for men’s and women’s apparel, men’s and women’s fashion accessories, children’s apparel and accessories, home, airline amenity and amenity kits, and such other product categories as mutually agreed upon. The Halston Master License provides for an upfront cash payment and royalties payable to the Company, including certain guaranteed minimum royalties, includes significant annual minimum net sales requirements, and has a </w:t>
      </w:r>
      <w:r>
        <w:rPr>
          <w:rFonts w:ascii="Times New Roman;Times;serif" w:hAnsi="Times New Roman;Times;serif"/>
          <w:b w:val="false"/>
          <w:i w:val="false"/>
          <w:caps w:val="false"/>
          <w:smallCaps w:val="false"/>
          <w:sz w:val="20"/>
        </w:rPr>
        <w:t>twenty-five</w:t>
      </w:r>
      <w:r>
        <w:rPr>
          <w:rFonts w:ascii="Times New Roman;Times;serif" w:hAnsi="Times New Roman;Times;serif"/>
          <w:sz w:val="20"/>
        </w:rPr>
        <w:t xml:space="preserve">-year term (consisting of an initial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-year period, followed by a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-year period), subject to the licensee’s right to terminate with at least 120 days’ notice prior to the end of each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-year period during the term. The licensee has an option to purchase the Halston Brand for $5.0 million at the end of the </w:t>
      </w:r>
      <w:r>
        <w:rPr>
          <w:rFonts w:ascii="Times New Roman;Times;serif" w:hAnsi="Times New Roman;Times;serif"/>
          <w:b w:val="false"/>
          <w:i w:val="false"/>
          <w:caps w:val="false"/>
          <w:smallCaps w:val="false"/>
          <w:sz w:val="20"/>
        </w:rPr>
        <w:t>twenty-five</w:t>
      </w:r>
      <w:r>
        <w:rPr>
          <w:rFonts w:ascii="Times New Roman;Times;serif" w:hAnsi="Times New Roman;Times;serif"/>
          <w:sz w:val="20"/>
        </w:rPr>
        <w:t xml:space="preserve">-year term, which right may be accelerated under certain conditions associated with an uncured material breach of the Halston Master License in accordance with the terms of the Halston Master License. The Licensor granted to the licensee a security interest in the Halston trademarks to secure the Licensor’s obligations under the Halston Master License, including to honor the obligations under the purchase option. In connection with the Halston Master License, the Company issued to the licensee a </w:t>
      </w:r>
      <w:r>
        <w:rPr>
          <w:rFonts w:ascii="Times New Roman;Times;serif" w:hAnsi="Times New Roman;Times;serif"/>
          <w:b w:val="false"/>
          <w:i w:val="false"/>
          <w:caps w:val="false"/>
          <w:smallCaps w:val="false"/>
          <w:sz w:val="20"/>
        </w:rPr>
        <w:t>ten</w:t>
      </w:r>
      <w:r>
        <w:rPr>
          <w:rFonts w:ascii="Times New Roman;Times;serif" w:hAnsi="Times New Roman;Times;serif"/>
          <w:sz w:val="20"/>
        </w:rPr>
        <w:t>-year warrant to purchase up to 1,000,000 shares of the Company’s common stock at an exercise price of $1.50 per share, which vest based upon certain annual royalty targets being satisfied.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936"/>
        <w:jc w:val="left"/>
        <w:rPr>
          <w:rFonts w:ascii="Times New Roman;Times;serif" w:hAnsi="Times New Roman;Times;serif"/>
          <w:b/>
          <w:sz w:val="20"/>
        </w:rPr>
      </w:pPr>
      <w:bookmarkStart w:id="633" w:name="ITEM2MANAGEMENTSDISCUSSIONANDANALYSIS_77"/>
      <w:bookmarkStart w:id="634" w:name="_00000865_b395_406f_93e4_467d92cfaec4"/>
      <w:bookmarkEnd w:id="633"/>
      <w:bookmarkEnd w:id="634"/>
      <w:r>
        <w:rPr>
          <w:rFonts w:ascii="Times New Roman;Times;serif" w:hAnsi="Times New Roman;Times;serif"/>
          <w:b/>
          <w:sz w:val="20"/>
        </w:rPr>
        <w:t xml:space="preserve">ITEM 2.    MANAGEMENT’S DISCUSSION AND ANALYSIS OF FINANCIAL CONDITION AND RESULTS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Safe Harbor Statement under the Private Securities Litigation Reform Act of 1995.</w:t>
      </w:r>
      <w:r>
        <w:rPr>
          <w:rFonts w:ascii="Times New Roman;Times;serif" w:hAnsi="Times New Roman;Times;serif"/>
          <w:sz w:val="20"/>
        </w:rPr>
        <w:t xml:space="preserve"> The statements that are not historical 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2022, as filed with the SEC on April 17, 2023. The words “believe,” “anticipate,” “expect,” “continue,” “estimate,” “appear,” “suggest,” “goal,” “potential,” “predicts,” “seek,” “will,” “confident,” “project,” “provide,” “plan,” “likely,” “future,” “ongoing,” “intend,” “may,” “should,” “would,” “could,” “guidance,” and similar expressions identify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Xcel Brands, Inc. (“Xcel,” the “Company,” “we,” “us,” or “our”)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Lori Goldstein Brand, Halston Brand, Ripka Brand, and C Wonder Brand are wholly owned by the Company.</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the Longaberger Brand through our 50% ownership interest in Longaberger Licensing, LLC.</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the Q Optix business through our 50% ownership interest in Q Optix, LLC.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wholly owned and managed the Isaac Mizrahi Brand through May 31, 2022. On May 31, 2022, we sold a majority interest in the brand to a third party, but retained a 30% noncontrolling interest in the brand and continue to contribute to the operations of the brand through a service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Xcel continues to pioneer a true omni-channel sales strategy which includes the promotion and sale of products under its brands through interactive television, digital live-stream shopping, brick-and-mortar retail, wholesale, and e-commerce channels to be everywhere its customers shop. Our brands have generated over $3 billion in retail sales via live streaming in interactive television and digital channels alone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objective is to build a diversified portfolio of lifestyle consumer brands through organic growth and the strategic acquisition of new brands. To grow our brands, we are focused on the following primary strategies: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and/or licensing of our brands for sale through interactive television (i.e., QVC, HSN, The Shopping Channel, TVSN, CJO, JTV, etc.);</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wholesale distribution through joint ventures or licensing of our brands to retailers that sell to the end consumer;</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direct-to-consumer distribution of our brands through e-commerce and live streaming;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licensing our brands to manufacturers and retailers for promotion and distribution through e-commerce, social commerce, and traditional brick-and-mortar retail channels whereby we provide certain design services;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acquiring additional consumer brands and integrating them into our operating platform and leveraging our operating infrastructure and distribution relationships.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Xcel offers a unique value proposition to our retail and direct-to-consumer customers and our licensees for the following reasons:</w:t>
      </w:r>
    </w:p>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including our officers’ and directors’ experience in, and relationships within the industry;</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deep knowledge , expertise, and proprietary technology in live streaming;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design, production, sales, marketing, and supply chain and integrated technology platform that enables us to design and distribute trend-right product; and</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media and internet presence.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utilize state-of-the-art supply chain management technology, trend analytics, and data science to actively monitor fashion trends and read and react to customer demands.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Three months ended March 31, 2023 (the “current quarter”) compared with the three months ended March 31, 2022 (the “prior year quarter”)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 quarter net revenue decreased approximately $2.7 million to $6.1 million from $8.7 million for the prior year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licensing revenue decreased by approximately $3.7 million in the current quarter to $2.2 million, compared with $6.0 million in the prior year quarter. This decrease in licensing revenue was primarily attributable to the May 31, 2022 sale of a majority interest in the Isaac Mizrahi brand through the sale of a 70% interest in IM Topco, LLC to WHP. Since the closing of such sale, we no longer record Isaac Mizrahi brand licensing revenue as part of our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sales increased by approximately $1.0 million in the current quarter to $3.8 million, compared with $2.8 million in the prior year quarter. This increase was primarily attributable to sale of all of our C Wonder apparel inventory to HSN as part of the restructuring and transformation of our business operating model, which we began in the current quarter and expect to complete by the end of the second quarter of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 quarter cost of goods sold was $2.7 million, compared with $1.7 million for the prior year quarter.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margin from net product sales (net sales less cost of goods sold, divided by net sales) decreased from approximately 40% in the prior year quarter to approximately 30% in the current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(net revenue less cost of goods sold) decreased approximately $3.7 million to $3.4 million from $7.1 million in the prior year quarter, primarily driven by the aforementioned decrease in net licensing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Costs and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costs and expenses decreased approximately $1.3 million from $8.3 million in the prior year quarter to $7.0 million in the current quarter. This decrease was primarily attributable to lower salaries, benefits and employment costs, driven by the combination of (i) the May 31, 2022 sale of a majority interest in the Isaac Mizrahi brand and the transfer of the employees associated with the Isaac Mizrahi brand to the IM Topco, LLC business venture, and (ii) reductions in staffing levels during the current quarter related to the restructuring and transformation of our business operating model.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 (Income), Including Non-cash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account for our interest in the ongoing operations of IM Topco, LLC using the equity method of accounting. We recognized an equity method loss of $0.52 million related to our investment for the current quarter, based on the distribution provisions set forth in the related business venture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was approximately $1.8 million in both the current quarter and prior year quarter.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and Finance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and finance expense for the current quarter was approximately $0.0 million, compared with $0.7 million for the prior year quarter. This decrease was attributable to the May 31, 2022 repayment of all of our outstanding term loan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Benefit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estimated annual effective income tax rate for the current quarter and the prior year quarter was approximately 0% for both periods, resulting in an income tax benefit of $0 for both periods.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both the current quarter and the prior year quarter,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Attributable to Xcel Brands, Inc.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 net loss of $5.6 million for the current quarter, compared with a net loss of $3.5 million for the prior year quarter, due to the combination of the factors outlined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Non-GAAP Net (Loss) Income, Non-GAAP Diluted EPS, and Adjusted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 non-GAAP net loss of approximately $3.6 million, or $0.18 per diluted share (“non-GAAP diluted EPS”), for the current quarter and a non-GAAP net loss of $1.9 million, or $0.10 per diluted share, for the prior year quarter. Non-GAAP net (loss) income is a non-GAAP unaudited term, which we define as net (loss) income attributable to Xcel Brands, Inc. stockholders, exclusive of amortization of trademarks, our proportional share of trademark amortization of equity method investees, stock-based compensation, loss on extinguishment of debt, gain on sales of assets, gain on reduction of contingent obligations, costs (recoveries) in connection with potential acquisitions, certain adjustments to the provision for doubtful accounts related to the bankruptcy of and economic impact on certain retail customers due to the COVID-19 pandemic, asset impairments, and income taxes. Non-GAAP net income and non-GAAP diluted EPS measures do not include the tax effect of the aforementioned adjusting items, due to the nature of these items and the Company’s tax strategy.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had Adjusted EBITDA of approximately $(3.2) million for the current quarter, compared with approximately $(0.9) million for the prior year quarter. Adjusted EBITDA is a non-GAAP unaudited measure, which we define as net (loss) income attributable to Xcel Brands, Inc. stockholders before depreciation and amortization, our proportional share of trademark amortization of equity method investees, interest and finance expenses (including loss on extinguishment of debt, if any), income taxes, other state and local franchise taxes, stock-based compensation, gains on reduction of contingent obligations, gains on sale of assets, costs (recoveries) in connection with potential acquisitions, asset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impairments, and certain adjustments to the provision for doubtful accounts related to the bankruptcy of and economic impact on certain retail customers due to the COVID-19 pandemic.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non-GAAP net (loss) income:</w:t>
      </w:r>
    </w:p>
    <w:p>
      <w:pPr>
        <w:pStyle w:val="TextBody"/>
        <w:bidi w:val="0"/>
        <w:spacing w:before="0" w:after="240"/>
        <w:ind w:left="0" w:right="0" w:hanging="0"/>
        <w:jc w:val="both"/>
        <w:rPr>
          <w:shd w:fill="FFFF00" w:val="clear"/>
        </w:rPr>
      </w:pPr>
      <w:r>
        <w:rPr>
          <w:shd w:fill="FFFF00" w:val="clear"/>
        </w:rPr>
        <w:t>​</w:t>
      </w:r>
    </w:p>
    <w:tbl>
      <w:tblPr>
        <w:tblW w:w="8412" w:type="dxa"/>
        <w:jc w:val="left"/>
        <w:tblInd w:w="0" w:type="dxa"/>
        <w:tblLayout w:type="fixed"/>
        <w:tblCellMar>
          <w:top w:w="0" w:type="dxa"/>
          <w:left w:w="0" w:type="dxa"/>
          <w:bottom w:w="0" w:type="dxa"/>
          <w:right w:w="0" w:type="dxa"/>
        </w:tblCellMar>
      </w:tblPr>
      <w:tblGrid>
        <w:gridCol w:w="5911"/>
        <w:gridCol w:w="326"/>
        <w:gridCol w:w="211"/>
        <w:gridCol w:w="691"/>
        <w:gridCol w:w="326"/>
        <w:gridCol w:w="211"/>
        <w:gridCol w:w="736"/>
      </w:tblGrid>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38785" cy="175260"/>
                      <wp:effectExtent l="0" t="0" r="0" b="0"/>
                      <wp:wrapNone/>
                      <wp:docPr id="104" name="Frame1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67360" cy="175260"/>
                      <wp:effectExtent l="0" t="0" r="0" b="0"/>
                      <wp:wrapNone/>
                      <wp:docPr id="107" name="Frame10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trademarks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Proportional share of trademark amortization of equity method investee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net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(1,941)</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diluted loss per share (our most directly comparable financial measure presented in accordance with GAAP) to non-GAAP diluted EPS:</w:t>
      </w:r>
    </w:p>
    <w:p>
      <w:pPr>
        <w:pStyle w:val="TextBody"/>
        <w:bidi w:val="0"/>
        <w:spacing w:before="0" w:after="0"/>
        <w:ind w:left="0" w:right="0" w:hanging="0"/>
        <w:jc w:val="left"/>
        <w:rPr>
          <w:shd w:fill="FFFF00" w:val="clear"/>
        </w:rPr>
      </w:pPr>
      <w:r>
        <w:rPr>
          <w:shd w:fill="FFFF00" w:val="clear"/>
        </w:rPr>
        <w:t>​</w:t>
      </w:r>
    </w:p>
    <w:tbl>
      <w:tblPr>
        <w:tblW w:w="9162" w:type="dxa"/>
        <w:jc w:val="left"/>
        <w:tblInd w:w="0" w:type="dxa"/>
        <w:tblLayout w:type="fixed"/>
        <w:tblCellMar>
          <w:top w:w="0" w:type="dxa"/>
          <w:left w:w="0" w:type="dxa"/>
          <w:bottom w:w="0" w:type="dxa"/>
          <w:right w:w="0" w:type="dxa"/>
        </w:tblCellMar>
      </w:tblPr>
      <w:tblGrid>
        <w:gridCol w:w="5911"/>
        <w:gridCol w:w="326"/>
        <w:gridCol w:w="211"/>
        <w:gridCol w:w="1036"/>
        <w:gridCol w:w="326"/>
        <w:gridCol w:w="211"/>
        <w:gridCol w:w="1141"/>
      </w:tblGrid>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57860" cy="175260"/>
                      <wp:effectExtent l="0" t="0" r="0" b="0"/>
                      <wp:wrapNone/>
                      <wp:docPr id="110" name="Frame1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24535" cy="175260"/>
                      <wp:effectExtent l="0" t="0" r="0" b="0"/>
                      <wp:wrapNone/>
                      <wp:docPr id="113" name="Frame1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trademarks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Proportional share of trademark amortization of equity method investee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0.00 </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diluted EPS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weighted average diluted shares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19,633,194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19,571,119</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Adjusted EBITDA:</w:t>
      </w:r>
    </w:p>
    <w:p>
      <w:pPr>
        <w:pStyle w:val="TextBody"/>
        <w:bidi w:val="0"/>
        <w:spacing w:before="0" w:after="240"/>
        <w:ind w:left="0" w:right="0" w:hanging="0"/>
        <w:jc w:val="both"/>
        <w:rPr>
          <w:shd w:fill="FFFF00" w:val="clear"/>
        </w:rPr>
      </w:pPr>
      <w:r>
        <w:rPr>
          <w:shd w:fill="FFFF00" w:val="clear"/>
        </w:rPr>
        <w:t>​</w:t>
      </w:r>
    </w:p>
    <w:tbl>
      <w:tblPr>
        <w:tblW w:w="8412" w:type="dxa"/>
        <w:jc w:val="left"/>
        <w:tblInd w:w="0" w:type="dxa"/>
        <w:tblLayout w:type="fixed"/>
        <w:tblCellMar>
          <w:top w:w="0" w:type="dxa"/>
          <w:left w:w="0" w:type="dxa"/>
          <w:bottom w:w="0" w:type="dxa"/>
          <w:right w:w="0" w:type="dxa"/>
        </w:tblCellMar>
      </w:tblPr>
      <w:tblGrid>
        <w:gridCol w:w="5911"/>
        <w:gridCol w:w="326"/>
        <w:gridCol w:w="211"/>
        <w:gridCol w:w="691"/>
        <w:gridCol w:w="326"/>
        <w:gridCol w:w="211"/>
        <w:gridCol w:w="736"/>
      </w:tblGrid>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785" cy="175260"/>
                      <wp:effectExtent l="0" t="0" r="0" b="0"/>
                      <wp:wrapNone/>
                      <wp:docPr id="116" name="Frame1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67360" cy="175260"/>
                      <wp:effectExtent l="0" t="0" r="0" b="0"/>
                      <wp:wrapNone/>
                      <wp:docPr id="119" name="Frame11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Proportional share of trademark amortization of equity method investee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finance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franchise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and December 31, 2022, our cash and cash equivalents were $1.6 million and $4.6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principal capital requirements have been to fund working capital needs, acquire new brands, and to a lesser extent, capital expenditures. Notwithstanding our recent investments in our ERP system and our brick-and-mortal retail store in 2020 and 2021, respectively, our business operating model generally does not require material capital expenditures, and as of March 31, 2023, we have no significant commitments for future capital expenditures.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working capital (current assets less current liabilities, excluding the current portion of operating lease obligations and any contingent obligations payable in common stock) was $5.1 million and $8.8 million as of March 31, 2023 and December 31, 2022, respectively.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Management’s Plans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incurred a net loss of approximately $5.6 million during the three months ended March 31, 2023 (which included non-cash expenses of approximately $2.4 million), and had an accumulated deficit of approximately $38.4 million as of March 31, 2023. Net cash used in operating activities was approximately $2.9 million for the three months ended March 31, 2023. These factors, along with our current levels of cash and working capital, raise uncertainties about the Company’s ability to continue as a going concern.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plans to mitigate an expected shortfall of capital and to support future operations by shifting the business from a wholesale/licensing hybrid model into a “licensing-plus” business model. In the first quarter of 2023, we began to restructure our business operations by entering into new licensing agreements and joint venture arrangements with best-in-class business partners. We entered into a new interactive television licensing agreement with America’s Collectibles Network, Inc. d/b/a Jewelry Television (“JTV”) for the Ripka Brand, and a separate license with JTV for the Ripka Brand’s e-commerce business. For apparel, similar transactions have recently been executed. In conjunction with the launch of the C Wonder Brand on HSN, we licensed the wholesale operations related to the brand to One Jeanswear Group, LLC (“OJG”); this new license with OJG also includes other new celebrity brands that we plan to launch in 2023 and beyond. For the Halston Brand, on May 15, 2023 we entered into a new master license agreement for men’s, women’s, and children’s apparel, fashion accessories, and other product categories with an industry-leading wholesale apparel company for distribution through department stores, e-commerce, and other retailers. This new master license for the Halston Brand provides for an upfront cash payment and royalties to the Company, including certain guaranteed minimum royalties, includes significant annual minimum net sales requirements, and has a twenty-five-year term (consisting of an initial five-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year period, followed by a twenty-year period), subject to the licensee’s right to terminate with at least 120 days’ notice prior to the end of each five-year period during the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expects the transition of these operating businesses to be completed by the end of the second quarter of 2023. We believe that this evolution of our operating model will provide significant cost savings and allow us to reduce and better manage our exposure to operating risks. As of March 31, 2023, the Company has taken steps that will reduce payroll costs by $6 million and operating expenses by $7 million over the next twelve months.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these recent events and changes in our business model, management expects to generate adequate cash flows to meet the Company’s operating and capital expenditure needs, for at least the twelve months subsequent to the filing date of this Quarterly Report on Form 10-Q, and therefore, such conditions and uncertainties with respect to the Company’s ability to continue as a going concern as of March 31, 2023, have subsequently been alleviated.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Commentary on the components of our cash flows for the current quarter as compared with the prior year quarter is set forth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approximately $2.92 million in the current quarter, compared with approximately $0.89 million in the prior year nine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current quarter cash used in operating activities was primarily attributable to the combination of the net loss of $(5.94) million plus non-cash items of approximately $2.37 million and the net change in operating assets and liabilities of approximately $0.65 million. Non-cash items were primarily comprised of $1.80 million of depreciation and amortization and the $0.52 million undistributed proportional share of net loss of equity method investee. The net change in operating assets and liabilities was primarily comprised of increases in various operating liabilities of approximately $1.40 million, partially offset by an increase in accounts receivable of $(0.86)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prior year quarter cash used in operating activities was primarily attributable to the combination of the net loss of $(3.74) million plus non-cash expenses of approximately $1.94 million and the net change in operating assets and liabilities of approximately $0.91 million. Non-cash net expenses were primarily comprised of $1.82 million of depreciation and amortization and $0.09 million of amortization of deferred finance costs. The net change in operating assets and liabilities was primarily comprised of an increase in various operating liabilities of $2.62 million, partially offset by an increase in accounts receivable of $(1.04) million and an increase in inventory of $(0.57) million.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for the current quarter consisted of approximately $0.08 million of capital expenditures, primarily related to software. Net cash used in the investing activities for the prior year quarter consisted of approximately $0.04 million of capital expenditures.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for the prior year quarter consisted of approximately $(0.63) million of scheduled principal payments on term loan debt. There was no cash used in or provided by financing activities in the current quarter.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Lori Goldstein brand, Halston brand, and C Wonder brand have a core business in fashion apparel and accessories. The Ripka brand is a fine jewelry business which we believe helps diversify our industry focus while at the same time complements our business operations and relationships.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 recent sale of a majority interest in the Isaac Mizrahi brand has resulted in a short-term decrease in our revenues, as that brand represented a significant portion of our historical revenues, we are taking actions to replace those revenues in the long-term with new strategic business initiatives, as we concentrate our resources on growing our brands, launching new brands, and entering into new business partnerships. We continue to seek new opportunities, including expansion through interactive television, live streaming, additional domestic and international licensing arrangements, and acquiring additional brands, including recent launches of our Victor Glemaud and C Wonder by Christian Siriano businesses on HSN.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first quarter of 2023, we began to restructure our business operations by shifting our business from a wholesale/licensing hybrid model into a “licensing-plus” business model. These efforts include entering into new structured contractual arrangements with best-in-class business partners in order to more efficiently operate our wholesale and e-commerce businesses and reduce and better manage our exposure to operating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same time, we continue to face a number of headwinds in the current macroeconomic environment. The global shipping industry has experienced and continues to experience challenges related to port delays and reduced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for us and our licensees. Such higher costs are currently expected to continue for at least some portion of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the cost of raw materials, labor, manufacturing, energy, fuel, shipping and logistics, and other inputs related to the production and distribution of our products have increased and may continue to increase unexpectedly. Beginning in the first quarter of 2022, input costs increased significantly. We expect the pressures of input cost inflation to continue for at least the majority of 2023. We may not be able to mitigate the impact of inflation and cost increases or pass these costs along to our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inflation as well as a potential recession,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long-term success, however, will still remain largely dependent on our ability to build and maintain our brands’ awareness and continue to attract wholesale and direct-to-consumer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Item 1A of our most recent Annual Report on Form 10-K could adversely affect our licensees’ ability to meet and/or exceed their contractual commitments to us and thereby adversely affect our future operating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off-balance sheet arrangements that have or are reasonably likely to have a current or future material effect on our financial condition, results of operations, or liquidity.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Please refer to our Annual Report on Form 10-K for the year ended December 31, 2022, filed with the SEC on April 17, 2023, for a discussion of our critical accounting policies and estimates. </w:t>
      </w:r>
    </w:p>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Effective January 1, 2023, we adopted the provisions of Accounting Standards Update No. 2016-13, "Financial Instruments – Credit Losses (Topic 326): Measurement of Credit Losses on Financial Instruments" (as amended). Although the adoption of this new guidance did not have a significant impact on the Company’s results of operations, cash flows, or financial condition, it represented a change in our accounting policy with respect to the estimation of allowance for uncollectible accounts. Refer to Part I, Item 1, Note 5 of this Quarterly Report on Form 10-Q for additional information. During the three months ended March 31, 2023, there were no other material changes to our accounting policies.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635" w:name="ITEM3QUANTITATIVEANDQUALITATIVE_639377"/>
      <w:bookmarkStart w:id="636" w:name="_a069c9fd_92bf_4815_bb26_2f7f8b50e5e9"/>
      <w:bookmarkEnd w:id="635"/>
      <w:bookmarkEnd w:id="636"/>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 to smaller reporting companies.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37" w:name="ITEM4CONTROLSANDPROCEDURES_83023"/>
      <w:bookmarkStart w:id="638" w:name="_42ab1372_0e71_429c_97f3_6440eb6ecac6"/>
      <w:bookmarkEnd w:id="637"/>
      <w:bookmarkEnd w:id="63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2023, the end of the period covered by this report. Based on, and as of the date of such evaluation, the Chief Executive Officer and the Chief Financial Officer have concluded that our disclosure controls and procedures were effective as of March 31, 2023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defined in Rules 13a-15(f) and 15d-15(f) under the Exchange Act) during the fiscal quarter ended March 31,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39" w:name="PARTII_336450"/>
      <w:bookmarkStart w:id="640" w:name="_67bb0b22_b149_4b75_87a9_10088414d913"/>
      <w:bookmarkEnd w:id="639"/>
      <w:bookmarkEnd w:id="640"/>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641" w:name="ITEM1LEGALPROCEEDINGS_126264"/>
      <w:bookmarkEnd w:id="641"/>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2" w:name="RISK"/>
      <w:bookmarkStart w:id="643" w:name="Item1ARISKFACTORS_475000"/>
      <w:bookmarkStart w:id="644" w:name="_23c661eb_f5cd_49de_abc0_09a46dc2207e"/>
      <w:bookmarkEnd w:id="642"/>
      <w:bookmarkEnd w:id="643"/>
      <w:bookmarkEnd w:id="644"/>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in a highly competitive industry that involves numerous known and unknown risks and uncertainties that could impact our operations. The risks described in Part I, Item 1A, “Risk Factors” of our Annual Report on Form 10-K for the year ended December 31, 2022 are not the only risks we face. Additional risks and uncertainties not currently known to us or that we currently deem to be immaterial also may materially adversely affect our financial condition and/or operating results.</w:t>
      </w:r>
    </w:p>
    <w:p>
      <w:pPr>
        <w:pStyle w:val="TextBody"/>
        <w:bidi w:val="0"/>
        <w:spacing w:before="0" w:after="240"/>
        <w:ind w:left="0" w:right="0" w:hanging="0"/>
        <w:jc w:val="left"/>
        <w:rPr>
          <w:rFonts w:ascii="Times New Roman;Times;serif" w:hAnsi="Times New Roman;Times;serif"/>
          <w:b/>
          <w:sz w:val="20"/>
        </w:rPr>
      </w:pPr>
      <w:bookmarkStart w:id="645" w:name="ITEM2UNREGISTEREDSALESOFEQUITY_812203"/>
      <w:bookmarkStart w:id="646" w:name="_a1c14927_118e_47bf_b9ae_f423e630e2f4"/>
      <w:bookmarkEnd w:id="645"/>
      <w:bookmarkEnd w:id="646"/>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sales of unregistered or registered securities during the three months ended March 31,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47" w:name="ITEM3DEFAULTSUPONSENIORSECURITIES_275025"/>
      <w:bookmarkStart w:id="648" w:name="_c89192fe_6045_4d58_b9ca_439db17ce70c"/>
      <w:bookmarkEnd w:id="647"/>
      <w:bookmarkEnd w:id="648"/>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49" w:name="ITEM4MINESAFETYDISCLOSURES_756050"/>
      <w:bookmarkStart w:id="650" w:name="_b46ae826_7a45_442a_8357_b5b48516c47c"/>
      <w:bookmarkEnd w:id="649"/>
      <w:bookmarkEnd w:id="650"/>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51" w:name="ITEM5OTHERINFORMATION_91600"/>
      <w:bookmarkStart w:id="652" w:name="_0ba44426_5712_4058_ac7e_3369881ae79c"/>
      <w:bookmarkEnd w:id="651"/>
      <w:bookmarkEnd w:id="652"/>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15, 2023, the Company, through its subsidiaries, H Halston, LLC and H Heritage Licensing, LLC (collectively, the “Licensor”), entered into a master license agreement relating to the Halston Brand (the “Halston Master License”) with an industry-leading wholesale apparel company, for men’s and women’s apparel, men’s and women’s fashion accessories, children’s apparel and accessories, home, airline amenity and amenity kits, and such other product categories as mutually agreed upon. The Halston Master License provides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the licensee’s right to terminate with at least 120 days’ notice prior to the end of each five-year period during the term. The licensee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to the licensee a security interest in the Halston trademarks to secure the Licensor’s obligations under the Halston Master License, including to honor the obligations under the purchase option. In connection with the Halston Master License, the Company issued to the licensee a ten-year warrant to purchase up to 1,000,000 shares of the Company’s common stock at an exercise price of $1.50 per share, which vest based upon certain annual royalty targets being satisfied.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3" w:name="ITEM6EXHIBITS_376179"/>
      <w:bookmarkStart w:id="654" w:name="_cfbe9c33_16ac_4ed9_a01d_782fb5a84de0"/>
      <w:bookmarkEnd w:id="653"/>
      <w:bookmarkEnd w:id="654"/>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filed herewith:</w:t>
      </w:r>
    </w:p>
    <w:tbl>
      <w:tblPr>
        <w:tblW w:w="7831" w:type="dxa"/>
        <w:jc w:val="left"/>
        <w:tblInd w:w="0" w:type="dxa"/>
        <w:tblLayout w:type="fixed"/>
        <w:tblCellMar>
          <w:top w:w="0" w:type="dxa"/>
          <w:left w:w="0" w:type="dxa"/>
          <w:bottom w:w="0" w:type="dxa"/>
          <w:right w:w="0" w:type="dxa"/>
        </w:tblCellMar>
      </w:tblPr>
      <w:tblGrid>
        <w:gridCol w:w="7831"/>
      </w:tblGrid>
      <w:tr>
        <w:trPr/>
        <w:tc>
          <w:tcPr>
            <w:tcW w:w="7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72685" cy="175260"/>
                      <wp:effectExtent l="0" t="0" r="0" b="0"/>
                      <wp:wrapNone/>
                      <wp:docPr id="120" name="Frame120"/>
                      <a:graphic xmlns:a="http://schemas.openxmlformats.org/drawingml/2006/main">
                        <a:graphicData uri="http://schemas.microsoft.com/office/word/2010/wordprocessingShape">
                          <wps:wsp>
                            <wps:cNvSpPr txBox="1"/>
                            <wps:spPr>
                              <a:xfrm>
                                <a:off x="0" y="0"/>
                                <a:ext cx="497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31" w:type="dxa"/>
            <w:tcBorders/>
            <w:vAlign w:val="center"/>
          </w:tcPr>
          <w:p>
            <w:pPr>
              <w:pStyle w:val="TableContents"/>
              <w:bidi w:val="0"/>
              <w:spacing w:before="0" w:after="22"/>
              <w:ind w:left="0" w:right="0" w:hanging="0"/>
              <w:jc w:val="left"/>
              <w:rPr/>
            </w:pPr>
            <w:hyperlink w:anchor="xelb-20230331xex31d1.htm">
              <w:r>
                <w:rPr>
                  <w:rStyle w:val="InternetLink"/>
                  <w:rFonts w:ascii="Times New Roman;Times;serif" w:hAnsi="Times New Roman;Times;serif"/>
                  <w:b w:val="false"/>
                  <w:i w:val="false"/>
                  <w:caps w:val="false"/>
                  <w:smallCaps w:val="false"/>
                  <w:sz w:val="20"/>
                </w:rPr>
                <w:t>31.1 Rule 13a-14(a)/15d-14(a) Certification (CEO)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pPr>
            <w:hyperlink w:anchor="xelb-20230331xex31d2.htm">
              <w:r>
                <w:rPr>
                  <w:rStyle w:val="InternetLink"/>
                  <w:rFonts w:ascii="Times New Roman;Times;serif" w:hAnsi="Times New Roman;Times;serif"/>
                  <w:b w:val="false"/>
                  <w:i w:val="false"/>
                  <w:caps w:val="false"/>
                  <w:smallCaps w:val="false"/>
                  <w:sz w:val="20"/>
                </w:rPr>
                <w:t>31.2 Rule 13a-14(a)/15d-14(a) Certification (CFO)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pPr>
            <w:hyperlink w:anchor="xelb-20230331xex32d1.htm">
              <w:r>
                <w:rPr>
                  <w:rStyle w:val="InternetLink"/>
                  <w:rFonts w:ascii="Times New Roman;Times;serif" w:hAnsi="Times New Roman;Times;serif"/>
                  <w:b w:val="false"/>
                  <w:i w:val="false"/>
                  <w:caps w:val="false"/>
                  <w:smallCaps w:val="false"/>
                  <w:sz w:val="20"/>
                </w:rPr>
                <w:t>32.1 Section 1350 Certification (CEO)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pPr>
            <w:hyperlink w:anchor="xelb-20230331xex32d2.htm">
              <w:r>
                <w:rPr>
                  <w:rStyle w:val="InternetLink"/>
                  <w:rFonts w:ascii="Times New Roman;Times;serif" w:hAnsi="Times New Roman;Times;serif"/>
                  <w:b w:val="false"/>
                  <w:i w:val="false"/>
                  <w:caps w:val="false"/>
                  <w:smallCaps w:val="false"/>
                  <w:sz w:val="20"/>
                </w:rPr>
                <w:t>32.2 Section 1350 Certification (CFO)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101.INS Inline XBRL Instance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101.SCH Inline XBRL Taxonomy Extension Schema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101.CAL Inline XBRL Taxonomy Extension Calculation Linkbase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101.DEF Inline XBRL Taxonomy Extension Definitions Linkbase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101.LAB Inline XBRL Taxonomy Extension Label Linkbase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101.PRE Inline XBRL Taxonomy Extension Presentation Linkbase Document</w:t>
            </w:r>
          </w:p>
        </w:tc>
      </w:tr>
      <w:tr>
        <w:trPr/>
        <w:tc>
          <w:tcPr>
            <w:tcW w:w="7831"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104 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bookmarkStart w:id="655" w:name="_a9432260_4869_42fc_952a_0609c7c4d9f6"/>
      <w:bookmarkEnd w:id="655"/>
      <w:r>
        <w:rPr/>
        <w:t>​</w:t>
      </w:r>
    </w:p>
    <w:p>
      <w:pPr>
        <w:pStyle w:val="TextBody"/>
        <w:bidi w:val="0"/>
        <w:spacing w:before="0" w:after="240"/>
        <w:ind w:left="0" w:right="0" w:hanging="0"/>
        <w:jc w:val="center"/>
        <w:rPr>
          <w:rFonts w:ascii="Times New Roman;Times;serif" w:hAnsi="Times New Roman;Times;serif"/>
          <w:b/>
          <w:sz w:val="20"/>
        </w:rPr>
      </w:pPr>
      <w:bookmarkStart w:id="656" w:name="SIGNATURES_835049"/>
      <w:bookmarkEnd w:id="65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caused this report to be signed on its behalf by the undersigned, thereunto duly authorized.</w:t>
      </w:r>
    </w:p>
    <w:tbl>
      <w:tblPr>
        <w:tblW w:w="6213" w:type="dxa"/>
        <w:jc w:val="left"/>
        <w:tblInd w:w="0" w:type="dxa"/>
        <w:tblLayout w:type="fixed"/>
        <w:tblCellMar>
          <w:top w:w="0" w:type="dxa"/>
          <w:left w:w="0" w:type="dxa"/>
          <w:bottom w:w="0" w:type="dxa"/>
          <w:right w:w="0" w:type="dxa"/>
        </w:tblCellMar>
      </w:tblPr>
      <w:tblGrid>
        <w:gridCol w:w="1741"/>
        <w:gridCol w:w="406"/>
        <w:gridCol w:w="4066"/>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Chairman and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Haran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James Haran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29" w:right="0" w:hanging="0"/>
              <w:jc w:val="left"/>
              <w:rPr>
                <w:rFonts w:ascii="Times New Roman;Times;serif" w:hAnsi="Times New Roman;Times;serif"/>
                <w:sz w:val="20"/>
              </w:rPr>
            </w:pPr>
            <w:r>
              <w:rPr>
                <w:rFonts w:ascii="Times New Roman;Times;serif" w:hAnsi="Times New Roman;Times;serif"/>
                <w:sz w:val="20"/>
              </w:rPr>
              <w:t>Title: Chief Financial Officer and Vice President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60"/>
        <w:ind w:left="0" w:right="0" w:hanging="0"/>
        <w:jc w:val="right"/>
        <w:rPr>
          <w:rFonts w:ascii="Times New Roman;Times;serif" w:hAnsi="Times New Roman;Times;serif"/>
          <w:b/>
          <w:sz w:val="20"/>
        </w:rPr>
      </w:pPr>
      <w:bookmarkStart w:id="657" w:name="xelb-20230331xex31d1.htm"/>
      <w:bookmarkStart w:id="658" w:name="ksxelb20230331xex31d1"/>
      <w:bookmarkEnd w:id="657"/>
      <w:bookmarkEnd w:id="658"/>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 Robert W. D’Loren, certify that: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 ended March 31, 2023 of Xcel Brands, Inc. (the “Company”).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18" w:type="dxa"/>
        <w:jc w:val="left"/>
        <w:tblInd w:w="0" w:type="dxa"/>
        <w:tblLayout w:type="fixed"/>
        <w:tblCellMar>
          <w:top w:w="0" w:type="dxa"/>
          <w:left w:w="0" w:type="dxa"/>
          <w:bottom w:w="0" w:type="dxa"/>
          <w:right w:w="0" w:type="dxa"/>
        </w:tblCellMar>
      </w:tblPr>
      <w:tblGrid>
        <w:gridCol w:w="1261"/>
        <w:gridCol w:w="406"/>
        <w:gridCol w:w="375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00735" cy="175260"/>
                      <wp:effectExtent l="0" t="0" r="0" b="0"/>
                      <wp:wrapNone/>
                      <wp:docPr id="121" name="Frame12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57810" cy="175260"/>
                      <wp:effectExtent l="0" t="0" r="0" b="0"/>
                      <wp:wrapNone/>
                      <wp:docPr id="122" name="Frame12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381885" cy="175260"/>
                      <wp:effectExtent l="0" t="0" r="0" b="0"/>
                      <wp:wrapNone/>
                      <wp:docPr id="123" name="Frame123"/>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May 18, 2023</w:t>
            </w:r>
          </w:p>
        </w:tc>
        <w:tc>
          <w:tcPr>
            <w:tcW w:w="40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26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26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Title: Chairman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659" w:name="xelb-20230331xex31d2.htm"/>
      <w:bookmarkStart w:id="660" w:name="ksxelb20230331xex31d2"/>
      <w:bookmarkEnd w:id="659"/>
      <w:bookmarkEnd w:id="660"/>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 James Haran, certify that: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 ended March 31, 2023 of Xcel Brands, Inc. (the “Company”).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5733" w:type="dxa"/>
        <w:jc w:val="left"/>
        <w:tblInd w:w="0" w:type="dxa"/>
        <w:tblLayout w:type="fixed"/>
        <w:tblCellMar>
          <w:top w:w="0" w:type="dxa"/>
          <w:left w:w="0" w:type="dxa"/>
          <w:bottom w:w="0" w:type="dxa"/>
          <w:right w:w="0" w:type="dxa"/>
        </w:tblCellMar>
      </w:tblPr>
      <w:tblGrid>
        <w:gridCol w:w="1261"/>
        <w:gridCol w:w="406"/>
        <w:gridCol w:w="4066"/>
      </w:tblGrid>
      <w:tr>
        <w:trPr/>
        <w:tc>
          <w:tcPr>
            <w:tcW w:w="1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May 18, 2023</w:t>
            </w:r>
          </w:p>
        </w:tc>
        <w:tc>
          <w:tcPr>
            <w:tcW w:w="40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/s/ James Haran</w:t>
            </w:r>
          </w:p>
        </w:tc>
      </w:tr>
      <w:tr>
        <w:trPr/>
        <w:tc>
          <w:tcPr>
            <w:tcW w:w="1261" w:type="dxa"/>
            <w:tcBorders/>
            <w:vAlign w:val="center"/>
          </w:tcPr>
          <w:p>
            <w:pPr>
              <w:pStyle w:val="TableContents"/>
              <w:bidi w:val="0"/>
              <w:spacing w:before="0" w:after="22"/>
              <w:ind w:left="0" w:right="0" w:hanging="0"/>
              <w:jc w:val="both"/>
              <w:rPr/>
            </w:pPr>
            <w:r>
              <w:rPr/>
              <w:t> </w:t>
            </w:r>
          </w:p>
        </w:tc>
        <w:tc>
          <w:tcPr>
            <w:tcW w:w="406" w:type="dxa"/>
            <w:tcBorders/>
            <w:vAlign w:val="center"/>
          </w:tcPr>
          <w:p>
            <w:pPr>
              <w:pStyle w:val="TableContents"/>
              <w:bidi w:val="0"/>
              <w:spacing w:before="0" w:after="22"/>
              <w:ind w:left="0" w:right="0" w:hanging="0"/>
              <w:jc w:val="both"/>
              <w:rPr/>
            </w:pPr>
            <w:r>
              <w:rPr/>
              <w:t> </w:t>
            </w:r>
          </w:p>
        </w:tc>
        <w:tc>
          <w:tcPr>
            <w:tcW w:w="406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Name: James Haran</w:t>
            </w:r>
          </w:p>
        </w:tc>
      </w:tr>
      <w:tr>
        <w:trPr/>
        <w:tc>
          <w:tcPr>
            <w:tcW w:w="1261" w:type="dxa"/>
            <w:tcBorders/>
            <w:vAlign w:val="center"/>
          </w:tcPr>
          <w:p>
            <w:pPr>
              <w:pStyle w:val="TableContents"/>
              <w:bidi w:val="0"/>
              <w:spacing w:before="0" w:after="22"/>
              <w:ind w:left="0" w:right="0" w:hanging="0"/>
              <w:jc w:val="both"/>
              <w:rPr/>
            </w:pPr>
            <w:r>
              <w:rPr/>
              <w:t>​</w:t>
            </w:r>
          </w:p>
        </w:tc>
        <w:tc>
          <w:tcPr>
            <w:tcW w:w="406" w:type="dxa"/>
            <w:tcBorders/>
            <w:vAlign w:val="center"/>
          </w:tcPr>
          <w:p>
            <w:pPr>
              <w:pStyle w:val="TableContents"/>
              <w:bidi w:val="0"/>
              <w:spacing w:before="0" w:after="22"/>
              <w:ind w:left="0" w:right="0" w:hanging="0"/>
              <w:jc w:val="both"/>
              <w:rPr/>
            </w:pPr>
            <w:r>
              <w:rPr/>
              <w:t>​</w:t>
            </w:r>
          </w:p>
        </w:tc>
        <w:tc>
          <w:tcPr>
            <w:tcW w:w="406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Title: Chief Financial Officer and Vice President</w:t>
            </w:r>
          </w:p>
        </w:tc>
      </w:tr>
      <w:tr>
        <w:trPr/>
        <w:tc>
          <w:tcPr>
            <w:tcW w:w="1261" w:type="dxa"/>
            <w:tcBorders/>
            <w:vAlign w:val="center"/>
          </w:tcPr>
          <w:p>
            <w:pPr>
              <w:pStyle w:val="TableContents"/>
              <w:bidi w:val="0"/>
              <w:spacing w:before="0" w:after="22"/>
              <w:ind w:left="0" w:right="0" w:hanging="0"/>
              <w:jc w:val="both"/>
              <w:rPr/>
            </w:pPr>
            <w:r>
              <w:rPr/>
              <w:t> </w:t>
            </w:r>
          </w:p>
        </w:tc>
        <w:tc>
          <w:tcPr>
            <w:tcW w:w="406" w:type="dxa"/>
            <w:tcBorders/>
            <w:vAlign w:val="center"/>
          </w:tcPr>
          <w:p>
            <w:pPr>
              <w:pStyle w:val="TableContents"/>
              <w:bidi w:val="0"/>
              <w:spacing w:before="0" w:after="22"/>
              <w:ind w:left="0" w:right="0" w:hanging="0"/>
              <w:jc w:val="both"/>
              <w:rPr/>
            </w:pPr>
            <w:r>
              <w:rPr/>
              <w:t> </w:t>
            </w:r>
          </w:p>
        </w:tc>
        <w:tc>
          <w:tcPr>
            <w:tcW w:w="4066" w:type="dxa"/>
            <w:tcBorders/>
            <w:vAlign w:val="center"/>
          </w:tcPr>
          <w:p>
            <w:pPr>
              <w:pStyle w:val="TableContents"/>
              <w:bidi w:val="0"/>
              <w:spacing w:before="0" w:after="22"/>
              <w:ind w:left="22"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661" w:name="xelb-20230331xex32d1.htm"/>
      <w:bookmarkStart w:id="662" w:name="ksxelb20230331xex32d1"/>
      <w:bookmarkEnd w:id="661"/>
      <w:bookmarkEnd w:id="66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Xcel Brands, Inc. (the “Company”) on Form 10-Q for the period ended March 31, 2023 as filed with the Securities and Exchange Commission on the date hereof (the “Report”), I, Robert W. D’Loren,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18" w:type="dxa"/>
        <w:jc w:val="left"/>
        <w:tblInd w:w="0" w:type="dxa"/>
        <w:tblLayout w:type="fixed"/>
        <w:tblCellMar>
          <w:top w:w="0" w:type="dxa"/>
          <w:left w:w="0" w:type="dxa"/>
          <w:bottom w:w="0" w:type="dxa"/>
          <w:right w:w="0" w:type="dxa"/>
        </w:tblCellMar>
      </w:tblPr>
      <w:tblGrid>
        <w:gridCol w:w="1261"/>
        <w:gridCol w:w="406"/>
        <w:gridCol w:w="375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00735" cy="175260"/>
                      <wp:effectExtent l="0" t="0" r="0" b="0"/>
                      <wp:wrapNone/>
                      <wp:docPr id="124" name="Frame12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57810" cy="175260"/>
                      <wp:effectExtent l="0" t="0" r="0" b="0"/>
                      <wp:wrapNone/>
                      <wp:docPr id="125" name="Frame12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81885" cy="175260"/>
                      <wp:effectExtent l="0" t="0" r="0" b="0"/>
                      <wp:wrapNone/>
                      <wp:docPr id="126" name="Frame12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May 18, 2023</w:t>
            </w:r>
          </w:p>
        </w:tc>
        <w:tc>
          <w:tcPr>
            <w:tcW w:w="40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26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26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Title: Chairman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663" w:name="xelb-20230331xex32d2.htm"/>
      <w:bookmarkStart w:id="664" w:name="ksxelb20230331xex32d2"/>
      <w:bookmarkEnd w:id="663"/>
      <w:bookmarkEnd w:id="66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Xcel Brands, Inc. (the “Company”) on Form 10-Q for the period ended March 31, 2023 as filed with the Securities and Exchange Commission on the date hereof (the “Report”), I, James Haran,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733" w:type="dxa"/>
        <w:jc w:val="left"/>
        <w:tblInd w:w="0" w:type="dxa"/>
        <w:tblLayout w:type="fixed"/>
        <w:tblCellMar>
          <w:top w:w="0" w:type="dxa"/>
          <w:left w:w="0" w:type="dxa"/>
          <w:bottom w:w="0" w:type="dxa"/>
          <w:right w:w="0" w:type="dxa"/>
        </w:tblCellMar>
      </w:tblPr>
      <w:tblGrid>
        <w:gridCol w:w="1261"/>
        <w:gridCol w:w="406"/>
        <w:gridCol w:w="4066"/>
      </w:tblGrid>
      <w:tr>
        <w:trPr/>
        <w:tc>
          <w:tcPr>
            <w:tcW w:w="126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May 18, 2023</w:t>
            </w:r>
          </w:p>
        </w:tc>
        <w:tc>
          <w:tcPr>
            <w:tcW w:w="40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James Haran</w:t>
            </w:r>
          </w:p>
        </w:tc>
      </w:tr>
      <w:tr>
        <w:trPr/>
        <w:tc>
          <w:tcPr>
            <w:tcW w:w="126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406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Name: James Haran</w:t>
            </w:r>
          </w:p>
        </w:tc>
      </w:tr>
      <w:tr>
        <w:trPr/>
        <w:tc>
          <w:tcPr>
            <w:tcW w:w="126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4066"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Title: Chief Financial Officer and Vice President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13400</Words>
  <Characters>75067</Characters>
  <CharactersWithSpaces>89432</CharactersWithSpaces>
  <Paragraphs>3097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