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 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1260" w:hanging="251"/>
        <w:spacing w:after="0"/>
        <w:tabs>
          <w:tab w:leader="none" w:pos="1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60" w:type="dxa"/>
            <w:vAlign w:val="bottom"/>
            <w:gridSpan w:val="4"/>
          </w:tcPr>
          <w:p>
            <w:pPr>
              <w:jc w:val="center"/>
              <w:ind w:right="3740"/>
              <w:spacing w:after="0"/>
              <w:rPr>
                <w:sz w:val="20"/>
                <w:szCs w:val="20"/>
                <w:color w:val="auto"/>
              </w:rPr>
            </w:pPr>
            <w:r>
              <w:rPr>
                <w:rFonts w:ascii="Times New Roman" w:cs="Times New Roman" w:eastAsia="Times New Roman" w:hAnsi="Times New Roman"/>
                <w:sz w:val="18"/>
                <w:szCs w:val="18"/>
                <w:color w:val="auto"/>
              </w:rPr>
              <w:t>For the transition period from ___ to ___</w:t>
            </w:r>
          </w:p>
        </w:tc>
      </w:tr>
      <w:tr>
        <w:trPr>
          <w:trHeight w:val="432"/>
        </w:trPr>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60" w:type="dxa"/>
            <w:vAlign w:val="bottom"/>
            <w:gridSpan w:val="4"/>
          </w:tcPr>
          <w:p>
            <w:pPr>
              <w:jc w:val="center"/>
              <w:ind w:right="3740"/>
              <w:spacing w:after="0"/>
              <w:rPr>
                <w:sz w:val="20"/>
                <w:szCs w:val="20"/>
                <w:color w:val="auto"/>
              </w:rPr>
            </w:pPr>
            <w:r>
              <w:rPr>
                <w:rFonts w:ascii="Times New Roman" w:cs="Times New Roman" w:eastAsia="Times New Roman" w:hAnsi="Times New Roman"/>
                <w:sz w:val="18"/>
                <w:szCs w:val="18"/>
                <w:i w:val="1"/>
                <w:iCs w:val="1"/>
                <w:color w:val="auto"/>
              </w:rPr>
              <w:t>Commission File Number: 0-31553</w:t>
            </w:r>
          </w:p>
        </w:tc>
      </w:tr>
      <w:tr>
        <w:trPr>
          <w:trHeight w:val="414"/>
        </w:trPr>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60" w:type="dxa"/>
            <w:vAlign w:val="bottom"/>
            <w:gridSpan w:val="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r>
      <w:tr>
        <w:trPr>
          <w:trHeight w:val="234"/>
        </w:trPr>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60" w:type="dxa"/>
            <w:vAlign w:val="bottom"/>
            <w:gridSpan w:val="4"/>
          </w:tcPr>
          <w:p>
            <w:pPr>
              <w:jc w:val="center"/>
              <w:ind w:right="37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376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98"/>
              </w:rPr>
              <w:t>Delaware</w:t>
            </w:r>
          </w:p>
        </w:tc>
        <w:tc>
          <w:tcPr>
            <w:tcW w:w="7660" w:type="dxa"/>
            <w:vAlign w:val="bottom"/>
            <w:gridSpan w:val="4"/>
          </w:tcPr>
          <w:p>
            <w:pPr>
              <w:jc w:val="center"/>
              <w:ind w:left="2430"/>
              <w:spacing w:after="0"/>
              <w:rPr>
                <w:sz w:val="20"/>
                <w:szCs w:val="20"/>
                <w:color w:val="auto"/>
              </w:rPr>
            </w:pPr>
            <w:r>
              <w:rPr>
                <w:rFonts w:ascii="Times New Roman" w:cs="Times New Roman" w:eastAsia="Times New Roman" w:hAnsi="Times New Roman"/>
                <w:sz w:val="18"/>
                <w:szCs w:val="18"/>
                <w:color w:val="auto"/>
                <w:w w:val="98"/>
              </w:rPr>
              <w:t>76-0307819</w:t>
            </w:r>
          </w:p>
        </w:tc>
      </w:tr>
      <w:tr>
        <w:trPr>
          <w:trHeight w:val="191"/>
        </w:trPr>
        <w:tc>
          <w:tcPr>
            <w:tcW w:w="3760" w:type="dxa"/>
            <w:vAlign w:val="bottom"/>
            <w:tcBorders>
              <w:top w:val="single" w:sz="8" w:color="auto"/>
            </w:tcBorders>
            <w:gridSpan w:val="2"/>
          </w:tcPr>
          <w:p>
            <w:pPr>
              <w:jc w:val="center"/>
              <w:ind w:left="131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40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76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60" w:type="dxa"/>
            <w:vAlign w:val="bottom"/>
            <w:gridSpan w:val="4"/>
          </w:tcPr>
          <w:p>
            <w:pPr>
              <w:jc w:val="center"/>
              <w:ind w:right="3760"/>
              <w:spacing w:after="0"/>
              <w:rPr>
                <w:sz w:val="20"/>
                <w:szCs w:val="20"/>
                <w:color w:val="auto"/>
              </w:rPr>
            </w:pPr>
            <w:r>
              <w:rPr>
                <w:rFonts w:ascii="Times New Roman" w:cs="Times New Roman" w:eastAsia="Times New Roman" w:hAnsi="Times New Roman"/>
                <w:sz w:val="18"/>
                <w:szCs w:val="18"/>
                <w:color w:val="auto"/>
                <w:w w:val="98"/>
              </w:rPr>
              <w:t>475 Tenth Avenue, 4th Floor, New York, NY 10018</w:t>
            </w:r>
          </w:p>
        </w:tc>
      </w:tr>
      <w:tr>
        <w:trPr>
          <w:trHeight w:val="228"/>
        </w:trPr>
        <w:tc>
          <w:tcPr>
            <w:tcW w:w="23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5380" w:type="dxa"/>
            <w:vAlign w:val="bottom"/>
            <w:tcBorders>
              <w:top w:val="single" w:sz="8" w:color="auto"/>
            </w:tcBorders>
            <w:gridSpan w:val="3"/>
          </w:tcPr>
          <w:p>
            <w:pPr>
              <w:jc w:val="center"/>
              <w:ind w:right="1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80" w:type="dxa"/>
            <w:vAlign w:val="bottom"/>
          </w:tcPr>
          <w:p>
            <w:pPr>
              <w:spacing w:after="0"/>
              <w:rPr>
                <w:sz w:val="19"/>
                <w:szCs w:val="19"/>
                <w:color w:val="auto"/>
              </w:rPr>
            </w:pPr>
          </w:p>
        </w:tc>
      </w:tr>
      <w:tr>
        <w:trPr>
          <w:trHeight w:val="396"/>
        </w:trPr>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99"/>
              </w:rPr>
              <w:t>(347) 727-2474</w:t>
            </w:r>
          </w:p>
        </w:tc>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60" w:type="dxa"/>
            <w:vAlign w:val="bottom"/>
            <w:gridSpan w:val="4"/>
          </w:tcPr>
          <w:p>
            <w:pPr>
              <w:jc w:val="center"/>
              <w:ind w:right="376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68" w:right="239" w:bottom="1440" w:gutter="0" w:footer="0" w:header="0"/>
        </w:sect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700" w:space="120"/>
            <w:col w:w="3600"/>
          </w:cols>
          <w:pgMar w:left="240" w:top="468" w:right="239" w:bottom="1440" w:gutter="0" w:footer="0" w:header="0"/>
          <w:type w:val="continuous"/>
        </w:sectPr>
      </w:pPr>
    </w:p>
    <w:p>
      <w:pPr>
        <w:spacing w:after="0" w:line="7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9, 2016, there were 18,669,602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0" w:type="dxa"/>
            <w:vAlign w:val="bottom"/>
            <w:gridSpan w:val="7"/>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3"/>
          </w:tcPr>
          <w:p>
            <w:pPr>
              <w:jc w:val="center"/>
              <w:ind w:right="4620"/>
              <w:spacing w:after="0"/>
              <w:rPr>
                <w:sz w:val="20"/>
                <w:szCs w:val="20"/>
                <w:color w:val="auto"/>
              </w:rPr>
            </w:pPr>
            <w:r>
              <w:rPr>
                <w:rFonts w:ascii="Times New Roman" w:cs="Times New Roman" w:eastAsia="Times New Roman" w:hAnsi="Times New Roman"/>
                <w:sz w:val="18"/>
                <w:szCs w:val="18"/>
                <w:color w:val="auto"/>
                <w:w w:val="99"/>
              </w:rPr>
              <w:t>INDEX</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
              <w:r>
                <w:rPr>
                  <w:rFonts w:ascii="Times New Roman" w:cs="Times New Roman" w:eastAsia="Times New Roman" w:hAnsi="Times New Roman"/>
                  <w:sz w:val="18"/>
                  <w:szCs w:val="18"/>
                  <w:color w:val="0000EE"/>
                </w:rPr>
                <w:t>FINANCIAL INFORMATION</w:t>
              </w:r>
            </w:hyperlink>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Operations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Unaudited Condensed Consolidated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Controls and Procedures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25">
              <w:r>
                <w:rPr>
                  <w:rFonts w:ascii="Times New Roman" w:cs="Times New Roman" w:eastAsia="Times New Roman" w:hAnsi="Times New Roman"/>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Legal Proceedings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Unregistered Sales of Equity Securities and Use of Proceeds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Defaults Upon Senior Securities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Mine Safety Disclosures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Signatures</w:t>
              </w:r>
            </w:hyperlink>
          </w:p>
        </w:tc>
        <w:tc>
          <w:tcPr>
            <w:tcW w:w="9160" w:type="dxa"/>
            <w:vAlign w:val="bottom"/>
            <w:tcBorders>
              <w:bottom w:val="single" w:sz="8" w:color="CCEEFF"/>
            </w:tcBorders>
            <w:gridSpan w:val="1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18"/>
          </w:tcPr>
          <w:p>
            <w:pPr>
              <w:jc w:val="center"/>
              <w:ind w:left="3210"/>
              <w:spacing w:after="0"/>
              <w:rPr>
                <w:sz w:val="20"/>
                <w:szCs w:val="20"/>
                <w:color w:val="auto"/>
              </w:rPr>
            </w:pPr>
            <w:r>
              <w:rPr>
                <w:rFonts w:ascii="Times New Roman" w:cs="Times New Roman" w:eastAsia="Times New Roman" w:hAnsi="Times New Roman"/>
                <w:sz w:val="18"/>
                <w:szCs w:val="18"/>
                <w:color w:val="auto"/>
              </w:rPr>
              <w:t>2</w:t>
            </w:r>
          </w:p>
        </w:tc>
        <w:tc>
          <w:tcPr>
            <w:tcW w:w="3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34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4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4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Balance Sheets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34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   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12,586</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Trademarks and other intangibles,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112,041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7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126,781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149,220</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2,263</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contingent obligations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 and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6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35,000,000 shares authorized at March 31, 2016 and December 31, 2015,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18,674,852 and 18,434,634 issued and outstanding at March 31, 2016 and December 31, 2015,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6,021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149,220</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152,126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licensing revenue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e-commerce sales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Salaries, benefits and employment taxes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design and marketing costs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 term debt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interest and finance charges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interest and finance expense</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 net</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3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18,458,748</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14,069,419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note discount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Tax benefit from vested stock grants and exercised options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(1,534)</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9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(1,110)</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(1,302)</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(1,302</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420"/>
          </w:cols>
          <w:pgMar w:left="240" w:top="900"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ind w:left="340" w:right="2620"/>
        <w:spacing w:after="0" w:line="250" w:lineRule="auto"/>
        <w:rPr>
          <w:sz w:val="20"/>
          <w:szCs w:val="20"/>
          <w:color w:val="auto"/>
        </w:rPr>
      </w:pPr>
      <w:r>
        <w:rPr>
          <w:rFonts w:ascii="Times New Roman" w:cs="Times New Roman" w:eastAsia="Times New Roman" w:hAnsi="Times New Roman"/>
          <w:sz w:val="18"/>
          <w:szCs w:val="18"/>
          <w:color w:val="auto"/>
        </w:rPr>
        <w:t>Cash consideration for asset acquisition of the H Halston Brand 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p>
    <w:p>
      <w:pPr>
        <w:sectPr>
          <w:pgSz w:w="11900" w:h="16838" w:orient="portrait"/>
          <w:cols w:equalWidth="0" w:num="2">
            <w:col w:w="7540" w:space="720"/>
            <w:col w:w="316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benefit from vested stock grants and exercised options</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Shares repurchased including vested restricted stock in exchange for withholding taxes</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deferred finance costs</w:t>
            </w: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 of long-term debt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(2,125)</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QVC earnout obligation</w:t>
            </w: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 of installment obligations related to the acquisition of the Ripka Brand</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24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(4,274)</w:t>
            </w: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16,860</w:t>
            </w:r>
          </w:p>
        </w:tc>
        <w:tc>
          <w:tcPr>
            <w:tcW w:w="5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12,586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 as payment for a portion of the Ripka Seller Notes</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Cash paid during the period for interest</w:t>
            </w: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2015, as filed with the SEC on March 17, 2016.</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brand development and media company engaged in the design, production, licensing, marketing and direct to consumer sales of branded apparel, footwear, accessories, jewelry, home goods, and other consumer products, and the acquisition of dynamic consumer lifestyle brands. Currently, the Company’s brand portfolio consists of the Isaac Mizrahi brand (the "Isaac Mizrahi Brand"), the Judith Ripka brand (the “Ripka Brand”), the H by Halston and H Halston brands (collectively, the “H Halston Brands”), the C Wonder brand (the “C Wonder Brand”), and the newly created Highline Collective brand. The Company also manages and designs the Liz Claiborne New York brand (“LCNY Brand”) through July 31, 2016. Going forward, the Company’s focus shall be on its wholly owned brands.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licenses its brands to third parties, provides certain design, production, and marketing services, and generates royalty design and service fee revenues through licensing and other agreements with manufacturers and retailers. These activities include licensing its own brands for promotion and distribution through an omni-channel retail sales strategy, which includes distribution through direct-response television, the internet, and traditional brick-and-mortar retail channels.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2014, the Company decided to close its retail stores. Accordingly, the Company’s retail operations are treated and presented as discontinued operations (see Note 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prior period condensed consolidated financial statements to conform to the current period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Company’s Annual Report on Form 10-K for the year ended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2016, the Financial Accounting Standards Board (FASB) issued Accounting Standards Update No. 2016-09, “Improvements to Employee Share-Based Payment Accounting” (ASU 2016-09). ASU 2016-09 requires that all excess tax benefits and tax deficiencies be recognized in the income statement as discrete tax items in the interim period in which they occur, clarifies that employee taxes paid when an employer withholds shares for tax purposes should be presented on the statement of cash flows as a financing activity, and changes the presentation of excess tax benefits on the statement of cash flows from a financing activity to an operating activity. ASU 2016-09 also provides for a policy election to either estimate the number of awards expected to vest (as per current GAAP) or account for forfeitures when they occur. This new accounting guidance is effective for public companies for fiscal years beginning after December 15, 2016 (i.e., calendar years beginning on January 1, 2017), including interim periods within those fiscal years. Early adoption is permitted in any interim or annual period. The Company is currently evaluating the impact that the adoption of ASU 2016-09 will have on the Company’s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Trademarks, Goodwill and Other Intangibles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5620" w:type="dxa"/>
            <w:vAlign w:val="bottom"/>
            <w:gridSpan w:val="2"/>
            <w:vMerge w:val="continue"/>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114,865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5620" w:type="dxa"/>
            <w:vAlign w:val="bottom"/>
            <w:gridSpan w:val="2"/>
            <w:vMerge w:val="continue"/>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114,865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for the quarter ended March 31, 2016 (the “Current Quarter”) and the quarter ended March 31, 2015 (the “Prior Year Quarter”) was $282,000 and $157,000,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trademarks relating to the Isaac Mizrahi Brand, the Ripka Brand, and the H Halston Brands have been determined to have indefinite useful lives and accordingly no amortization has been recorded for these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$12.371 million of goodwill related to the 2011 acquisition of the Isaac Mizrahi business. There was no change in goodwill during the Current Quarter.</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QVC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Revenues from QVC totaled $6.79 million and $5.15 million for the Current Quarter and Prior Year Quarter, respectively, representing 81% and 78% of the Company’s total revenues, respectively. As of March 31, 2016 and December 31, 2015, the Company had receivables from QVC of $7.79 million and $6.40 million, respectively, representing 85% and 84% of the Company’s total receivables, respectively.</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net carrying amount of debt is comprised of the following:</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0" w:type="dxa"/>
            <w:vAlign w:val="bottom"/>
          </w:tcPr>
          <w:p>
            <w:pPr>
              <w:spacing w:after="0"/>
              <w:rPr>
                <w:sz w:val="24"/>
                <w:szCs w:val="24"/>
                <w:color w:val="auto"/>
              </w:rPr>
            </w:pPr>
          </w:p>
        </w:tc>
        <w:tc>
          <w:tcPr>
            <w:tcW w:w="6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6400" w:type="dxa"/>
            <w:vAlign w:val="bottom"/>
            <w:gridSpan w:val="2"/>
            <w:vMerge w:val="continue"/>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Xcel Term Loan</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IM Term Loan</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JR Term Loan</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H Term Loan</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finance costs related to term loans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IM Seller Note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Ripka Seller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Contingent obligation - IM Seller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obligation - JR Seller</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Contingent obligation - CW Seller</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(i)</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9,168</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long-term debt as of March 31, 2016 consists of (a) $3.625 million related to the Xcel Term Loan and (b) $4.239 million related to the IM Seller Note, which is payable in stock or cash at the Company’s discretion.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Xcel Term Loan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(“BHI”), as agent (the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applicable Existing Line Letters in the aggregate principal amount of $27,875,000 (the “Xcel Term Loan”).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Xcel Term Loan matures on January 1, 2021. Principal on the Xcel Term Loan is payable in quarterly installments on each of January 1, April 1, July 1 and October 1, starting on April 1, 2016. The aggregate annual principal payments are as follows (amounts shown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3"/>
              </w:rPr>
              <w:t>2,625</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4,000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9,250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2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27,875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940" w:type="dxa"/>
            <w:vAlign w:val="bottom"/>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as follows: an amount equal to the principal amount outstanding under the Term Loan on the date of prepayment, multiplied by: (i) two percent (2.00%) if the Xcel Term Loan is prepaid on or after the closing date and on or before the second anniversary of the closing date; (ii) one percent (1.00%) if the Xcel Term Loan is prepaid after the second anniversary of the closing date and on or before the third anniversary of the closing date; or (iii) zero percent (0.00%), if the Xcel Term Loan is prepaid after the third anniversary of the closing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Xcel’s obligations under the Loan Agreement are guaranteed by the Guarantors and secured by all of the assets of Xcel and the Guarantors (as well as any subsidiary formed or acquired that becomes a credit party to the Loan Agreement) and, subject to certain limitations contained in the Loan Agreement, equity interests of the Guarantors (as well as any subsidiary formed or acquired that becomes a credit party to the Loan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Xcel Term Loan accrues at a fixed rate of 5.1% per annum and is payable on each day on which the scheduled principal payments are required to be made.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Loan Agreement):</w:t>
      </w:r>
    </w:p>
    <w:p>
      <w:pPr>
        <w:spacing w:after="0" w:line="176"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worth (as defined in the Loan Agreement) of at least $90,000,000 at the end of each fiscal quarter ending on June 30 and December 31 of each fiscal year;</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assets of at least $5,000,000, until such time as the ratio of indebtedness to EBITDA (as defined in the Loan Agreement) is less than 1.00 to 1.00 and, in which event, liquid assets must be at least $3,000,000;</w:t>
      </w: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ratio of at least 1.20 to 1.00 for each fiscal quarter ended June 30 and December 31 for the twelve fiscal month period ending on such date;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shall not exceed (i) $2,650,000 for the year ending December 31, 2016 and (ii) $700,000 for any fiscal year thereafter;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(as defined in the Loan Agreement) of $9,500,000 for the fiscal year ending December 31, 2016; and $9,000,000 for each fiscal year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covenants as of March 31, 2016.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refinancing of its term loan debt, the Company paid $116,000 of fees to or on behalf of BHI. These fees, along with $466,000 of remaining unamortized deferred finance costs related to the previous term loan debt, have been deferred on the condensed consolidated balance sheet as a reduction to the carrying value of the Xcel Term Loan, and are being amortized into interest expense over the term of the Xcel Term Loan using the interest method.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 Seller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is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is being amortized over the term of the IM Seller Note and recorded as other interest and finance expense on the Company’s condensed consolidated statements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24, 2013, the IM Seller Note was amended to (1) revise the maturity date to September 30, 2016 (the “Amended Maturity Date”), (2) revise the date to which the maturity date may be extended to September 30, 2018, (3) provide the Company with a prepayment right with its common stock, subject to remitting in cash the required cash payments set forth below and a minimum common stock price of $4.50 per share, and (4) require interim scheduled payments.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remaining scheduled principal payment (including amortization of imputed interest) of $4,377,000 is payable on September 30, 2016, and is payable in stock or cash at the Company’s sole discretion. The payment of this amount in cash requires BHI’s approval.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Current Quarter and Prior Year Quarter, the Company incurred interest expense of $72,000 and $81,000, respectively, which includes amortization of the discount on the IM Seller Note of $72,000 and $76,000,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Ripka Seller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On February 20, 2015, a portion of the Ripka Seller Notes was amended and satisfied.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that the Company’s expected borrowing rate was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condensed consolidated statements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20, 2015, the Company agreed to cancel Ripka Seller Notes in the principal amount of $3.0 million and execute in its place: (i) a $2.4 million principal amount promissory note issued in the name of Ripka (the “$2,400,000 Seller Note”) and (ii) a $600,000 principal amount promissory note issued in the name of Ripka (the “$600,000 Seller Note”), each with substantially the same terms as the Ripka Seller Notes; provided, however, that the Company and Ms. Ripka agreed that, upon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As of the date of the filing of this Quarterly Report on Form 10-Q, the $600,000 Seller Note has not been assigned. The $2,400,000 Seller Note was assigned by Ripka to Judith Ripka Creations, Inc. and then assigned by Judith Ripka Creations, Inc. to Thai Jewelry Manufacturer Co. LTD. (“Thai Jewelry”).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2015, the Company entered into a release letter (the “Release Letter”) with Thai Jewelry, pursuant to which the Company agreed to issue to Thai Jewelry an aggregate of 266,667 shares of the Company’s common stock in exchange for the cancellation of the $2,400,000 Seller Note. On March 25, 2015, the Company issued the shares of common stock pursuant to the Release Letter. The carrying value, net of the discount at the time of the redemption of the $2.4 million Ripka Seller Notes was $1.79 million and, as a result, the Company recorded a loss on the early extinguishment of debt of $0.61 million during the Prior Year Quarter, which is included in the accompanying condensed consolidated statements of operations.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2015, the Company satisfied an additional $3.00 million principal amount of the Ripka Seller Notes by issuing 333,334 shares of the Company’s common stock. The carrying value, net of the discount at the time of the redemption of the $3.00 million Ripka Seller Notes was $2.24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Current Quarter and Prior Year Quarter, the Company incurred interest expense of $9,000 and $79,000, respectively, which consisted solely of amortization of the discount on the Ripka Seller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IM Seller (QVC Earn-Out)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obligated to pay IM Ready $2.76 million, payable in cash or common stock, at the Company’s option, contingent upon IM Brands receiving aggregate net royalty income of at least $2.5 million from QVC in the twelve-month period ended September 30, 2015 with the number of shares of such stock based upon the greater of (x) $4.50 per share, and (y) the average stock price for the last twenty business days prior to the time of such issuance. The $2.5 million in net royalty income from QVC for the twelve-month period ended September 30, 2015 was met and, therefore, the Company issued IM Ready 290,473 shares of common stock, valued at $2.51 million as of September 30, 2015 and made a $0.25 million payment in cash in January 2016 to satisfy this obligation.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JR Seller (Ripka Earn-Out)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purchase of the Ripka Brand, the Company agreed to pay Ripka additional consideration of up to $5 million in aggregate (the “Ripka Earn-Out”), payable in cash or shares of the Company’s common stock based on the fair market value of the Company’s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does not include any revenues generated by direct-response television sales or any revenue accelerated as a result of termination of any license agreement. The Ripka Earn-Out of $3.78 million is recorded in the accompanying condensed consolidated balance sheets based on the difference between the fair value of the acquired assets of the Ripka Brand at the acquisition date and the total consideration paid. In accordance with ASC Topic 480, the Ripka Earn-Out obligation is classified as a liability in the accompanying condensed consolidated balance sheets because of the variable number of shares payable under the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 CW Seller (C Wonder Earn-Out)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accompanying condensed consolidated balance sheets based on the probability of the C Wonder Brand achieving certain net royalty income targets within the earn-out periods and then calculating the present value of the weighted average payment amount. In accordance with ASC Topic 480, the C Wonder Earn-Out obligation is classified as a liability in the accompanying condensed consolidated balance sheets because of the variable number of shares payable under the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and December 31, 2015, total contingent obligations were $6.63 million and $6.88 million, respectively.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8,000,000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the expected life is based on the estimated average of the life of options and warrants using the simplified method, and forfeitures are estimated on the date of grant based on certain historical data.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required to be estimated at the time of grant and revised, if necessary, in subsequent periods if actual forfeitures differ from those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Plan expire at various times, either five, seven or ten years from the date of grant, depending on the particular grant.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2016, the Company granted options to purchase an aggregate of 100,000 shares of common stock to a member of management. The exercise price of the options is $7.00 per share, and one-third of the options will vest on each of December 31, 2016, December 31, 2017, and March 31,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2016, the Company granted options to purchase an aggregate of 1,671,500 shares of common stock to certain executives, non-executive management, and employees. The exercise price of the options is $5.80 per share, and one-third of the options will vest on each of March 31, 2017, March 31, 2018, and March 31, 2019.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2016, the Company granted options to purchase an aggregate of 500,000 shares of common stock to certain key employees. The exercise price for 100,000 of these options is $5.80 per share, and such options will vest on January 1, 2017. The exercise price of the remaining 400,000 options is $7.50 per share, and the vesting of such options is dependent upon the achievement of certain royalty income targets.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2016, the Company granted options to purchase an aggregate of 150,000 shares of common stock to non-management directors. The exercise price of the options is $5.80 per share, and 50% of the options will vest on each of March 31, 2017 and March 31, 2018.</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during the Current Quarter were estimated at the date of grant using the Black-Scholes option pricing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 – 33.88%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(Term)</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3.25 – 5.32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0.91 – 1.21%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8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w w:val="99"/>
              </w:rPr>
              <w:t>A summary of the Company’s stock options activity for the Current Quarter is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88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1,174,000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4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880" w:type="dxa"/>
            <w:vAlign w:val="bottom"/>
          </w:tcPr>
          <w:p>
            <w:pPr>
              <w:spacing w:after="0"/>
              <w:rPr>
                <w:sz w:val="22"/>
                <w:szCs w:val="22"/>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and expected to vest at March 31, 2016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2,794,500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(695,000)</w:t>
            </w:r>
          </w:p>
        </w:tc>
      </w:tr>
      <w:tr>
        <w:trPr>
          <w:trHeight w:val="197"/>
        </w:trPr>
        <w:tc>
          <w:tcPr>
            <w:tcW w:w="880" w:type="dxa"/>
            <w:vAlign w:val="bottom"/>
          </w:tcPr>
          <w:p>
            <w:pPr>
              <w:spacing w:after="0"/>
              <w:rPr>
                <w:sz w:val="17"/>
                <w:szCs w:val="17"/>
                <w:color w:val="auto"/>
              </w:rPr>
            </w:pPr>
          </w:p>
        </w:tc>
        <w:tc>
          <w:tcPr>
            <w:tcW w:w="476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March 31, 2016</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325,500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188,000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Quarter and the Prior Year Quarter was approximately $18,000 and $17,000, respectively. Total unrecognized compensation expense related to unvested stock options at March 31, 2016 amounts to $3,516,000 and is expected to be recognized over a weighted average period of 3.24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non-vested options for the Current Quarter: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2016</w:t>
            </w:r>
          </w:p>
        </w:tc>
        <w:tc>
          <w:tcPr>
            <w:tcW w:w="36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 or Canceled</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36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8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granted under the Plan expire at various times, either five, seven or ten years from the date of grant, depending on the particular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warrants activity for the Current Quarter is as follows:</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26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January 1, 2016</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Expired/Forfeited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March 31, 2016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2,194,543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(750,000)</w:t>
            </w:r>
          </w:p>
        </w:tc>
      </w:tr>
      <w:tr>
        <w:trPr>
          <w:trHeight w:val="20"/>
        </w:trPr>
        <w:tc>
          <w:tcPr>
            <w:tcW w:w="5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compensation expense was recognized in the Current Quarter or Prior Year Quarter related to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2016, the Company issued to a key employee 17,242 shares of restricted stock. The shares of restricted stock vest over six months.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2016, the Company issued to a member of management 50,000 shares of restricted stock. The shares of restricted stock vest evenly over 4 years, whereby 25% shall vest on each of March 31, 2017, March 31, 2018, March 31, 2019, and March 31, 2020.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31, 2016, the Company issued to certain executives an aggregate of 150,001 shares of restricted stock. The shares of restricted stock vest evenly over three years, whereby one-third shall vest on each of March 31, 2017, March 31, 2018, and March 31, 2019.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2016, the Company issued to non-management directors an aggregate of 48,000 shares of restricted stock. The shares of restricted stock will vest evenly over two years, whereby 50% shall vest on March 31, 2017 and 50% shall vest on March 31,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Quarter is as follows: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1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2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11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116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3,530,485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Expired/Forfeited</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2016</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3,628,703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Compensation expense related to restricted stock grants for the Current Quarter and Prior Year Quarter was $1,194,000 and $996,000, respectively. Total unrecognized compensation expense related to unvested restricted stock grants at March 31, 2016 amounts to $4,818,000 and is expected to be recognized over a weighted average period of 1.67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2011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2016, there were 562,610 shares of common stock available for issuance under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2016, there were 5,551,653 shares of common stock reserved for issuance pursuant to unexercised warrants and stock options, or available for issuance under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Weighted-average basic shares outstanding for the three months ended March 31, 2016 and 2015 were 18,458,748 and 14,069,419, respectively. As a result of the net loss from continuing operations presented for the three months ended March 31, 2016 and 2015, the Company calculated diluted earnings per share using weighted-average basic shares outstanding for those periods, as utilizing diluted shares would be anti-dilutive to loss per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diluted EPS excludes the common stock equivalents of the following potentially dilutive securities because their inclusion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920" w:type="dxa"/>
            <w:vAlign w:val="bottom"/>
            <w:gridSpan w:val="5"/>
          </w:tcPr>
          <w:p>
            <w:pPr>
              <w:ind w:left="3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34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3,266,500</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2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Current Quarter and the Prior Year Quarter was approximately (53%) and (47%), respectively, resulting in an income tax benefit of $51,000 and $106,000, respectively.</w:t>
      </w:r>
    </w:p>
    <w:p>
      <w:pPr>
        <w:spacing w:after="0" w:line="15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Discontinued operations represents the net sales and expenses related to the Company’s retail operations, which were discontinued in December 2014. A summary of the results of discontinued operations for the Current Quarter and Prior Year Quarter is as follows:</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00" w:type="dxa"/>
            <w:vAlign w:val="bottom"/>
          </w:tcPr>
          <w:p>
            <w:pPr>
              <w:spacing w:after="0"/>
              <w:rPr>
                <w:sz w:val="20"/>
                <w:szCs w:val="20"/>
                <w:color w:val="auto"/>
              </w:rPr>
            </w:pPr>
          </w:p>
        </w:tc>
        <w:tc>
          <w:tcPr>
            <w:tcW w:w="20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disposal of discontinued operations</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from discontinued operations, net: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18,458,748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14,069,419</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of discontinued operations were not material as of March 31, 2016 and December 31, 2015.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Todd Slater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29, 2011, the Company entered into an agreement, which was amended on October 4, 2011 and on July 10, 2012, with Todd Slater, who is a director of the Company, for services related to the Company’s licensing strategy and introduction to potential licensees.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direct licensing costs with Mr. Slater for the Prior Year Quarter of $8,000.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Benjamin Malka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The H Company IP, LLC (“HIP”) on December 22, 2014, which was amended September 1, 2015. Benjamin Malka, a director of the Company, is a 25% equity holder of HIP’s parent company, HOH and Chief Executive Officer of HOH. The HIP license agreement provides for royalty payments including guaranteed minimum royalties to be paid to the Company during the initial term that expires on December 31, 2019.</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 2015 the Company entered into a license agreement with Lord and Taylor, LLC (the “L&amp;T License”) and simultaneously amended the H Halston License Agreement eliminating HIP’s minimum guaranteed royalty obligations, provided the L&amp;T License is in effect. In addition, the Company entered into a sublicense agreement with HIP obligating the Company to pay HIP a royalty participation fee on an annual basis the greater of (i) 50% of royalties received under the L&amp;T License or (ii) guaranteed minimum royalties. Guaranteed minimum royalties are equal to $0.25 million for the seventeen months ending January 31, 2017, and $0.75 million, $0.75 million, $1.5 million, and $1.75 million for the twelve months ending January 31, 2018, 2019, 2020, and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a $34,000 royalty participation fee with HIP for the Current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 2011, the Company entered into a licensing agent agreement with Adam Dweck, son of Jack Dweck, a former director of the Company, pursuant to which he is entitled to a five percent commission on any royalties the Company receives under any new license agreements that he procures for the Company for the initial term of such license agreements. Adam Dweck earned approximately $1,000 and $7,000 in fees for the Current Quarter and Prior Year Quarter, respectively.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The statements that are not historical facts contained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2015.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Xcel Brands, Inc. (“Xcel,” the “Company,” “we,” “us” or “our”) is a brand development and media company engaged in the design, production, licensing, marketing, and direct to consumer sales of branded apparel, footwear, accessories, jewelry, home goods, and other consumer products, and the acquisition of dynamic consumer lifestyle brands. Currently, our brand portfolio consists of the Isaac Mizrahi, Judith Ripka, H Halston, C Wonder, and Highline Collective brands. We also manage and design the Liz Claiborne New York brand (“LCNY Brand”) through July 31, 2016. Going forward, our focus shall be on our wholly owned brands.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for distribution through direct-response television (i.e. QVC and The Shopping Channel);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Xcel offers a unique value proposition to its licensors and customers for the following reasons:</w:t>
      </w:r>
    </w:p>
    <w:p>
      <w:pPr>
        <w:spacing w:after="0" w:line="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historical track records and relationships within the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management platform, which has a strong focus on design, production, marketing, and social media;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strategy of licensing brands with significant media presence and driving sales through our omni-channel retail sales strategy across direct-response television, internet and traditional retail channels.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license our brands to third parties, provide certain design, production, and marketing services, and generate royalty design and service fee revenues through licensing and other agreements with manufacturers and retailers. This includes licensing our own brands for promotion and distribution through an omni-channel retail sales strategy, which includes distribution through direct-response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direct-response television partners, including through television, digital and social media, to drive sales of products under our brands across distribution channels.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direct-response television companies, such as QVC and The Shopping Channel, enable us to reach consumers in over 350 million homes worldwide.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“virtual vertical” business model provides significant competitive advantages compared with traditional wholesale apparel companies that design, manufacture, and distribute products. We remain focused on our core competencies of licensing, production, design, marketing and brand development, while outsourcing manufacturing and the related inventory ownership to best-in-class partners.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production oversight, and marketing capabilities and retail and licensee relationships.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We opened a full-price store and an outlet store under the Mizrahi brands in 2013 and 2014, respectively. In December 2014, we decided to close our retail stores. Accordingly, our retail operations have been classified as discontinued operations for all periods presented. Our e-commerce operations, which were previously reported as a component of retail operations, are reported as a component of our licensing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three months ended March 31, 2016 (the “Current Quarter”) compared with the three months ended March 31, 2015 (the “Prior Year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Current Quarter total revenues increased approximately $1.8 million to $8.39 million from $6.59 million in the Prior Year Quarter. This increase was primarily related to increases in net licensing revenues of $1.82 million, partially offset by declines in net e-commerce sales of $0.02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licensing revenues for the Current Quarter as compared with the Prior Year Quarter was primarily due to revenues generated by the H Halston Brands and the C Wonder Brand, acquired in late December 2014 and in July 2015,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net e-commerce sales from the Prior Year Quarter is the result of management’s actions in the Current Quarter to refocus our e-commerce operations and concentrate these efforts solely on the Judith Ripka brand.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Current Quarter was $8.32 million, compared with $6.55 million for the Prior Year Quarter. The increase in gross profit was primarily attributable to the net increase in licensing revenues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expenses totaled $7.98 million for the Current Quarter, compared with $5.65 million for the Prior Year Quarter. The increase of approximately $2.33 million was primarily related to an increase in compensation-related expenses (including stock-based compensation) of approximately $1.31 million, an increase in design and marketing costs of approximately $0.54 million, and an increase in other selling, general and administrative expenses of approximately $0.32 million. These increases in expenses were the result of increased staffing and scaling of our operations to support (i) the C Wonder Brand, which we acquired in July 2015 and which began selling on QVC in March 2016, (ii) the development and operation of our quick-time-response “virtual vertical” platform, and (iii) ramp-up for the launch of the IMNYC Isaac Mizrahi, H Halston, and newly created Highline Collective brands at Lord &amp; Taylor and Hudson’s Bay department stores in April 2016.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of approximately $0.16 million was primarily related to the amortization of the C Wonder trademarks acquired in July 2015, partially offset by certain other intangible assets becoming fully amortized in 2015 (see Note 2 in the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expenses of $0.61 million for the Prior Year Quarter represent a loss on extinguishment of debt as a result of our satisfying $2.40 million principal amount of Ripka Seller Notes by issuing 266,667 shares of our common stock in March 2015. The carrying value, net of the discount of the $2.40 million principal amount of Ripka Seller Notes at the redemption date was $1.79 million, resulting in a loss of $0.61 million.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finance expense for the Current Quarter decreased by approximately $0.07 million to $0.44 million, compared with $0.51 million in the Prior Year Quarter. This decrease was primarily due to the satisfaction of $5.40 million principal amount of Ripka Seller Notes in March 2015 and April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Current Quarter was approximately 53% resulting in a $0.05 million income tax benefit. The effective income tax rate for the Prior Year Quarter was 47% which resulted in a $0.11 million income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loss from discontinued operations, net of $0.21 million in the Prior Year Quarter was related to our retail operations and was primarily attributable to compensation expense, other general and administrative expenses, and wind down costs associated with the closing of our retail stores, partially offset by an income tax benefit of $0.14 million. As these wind down and closure activities were essentially completed by the end of 2015, we had no such costs reported as discontinued operations in the Current Quarter.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 net loss of $0.05 million for the Current Quarter, compared with a net loss of $0.33 million for the Prior Year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had non-GAAP net income of $1.25 million, or $0.07 per diluted share (“non-GAAP diluted EPS”) for the Current Quarter, compared with non-GAAP net income of $1.67 million, or non-GAAP diluted EPS of $0.11 for the Prior Year Quarter. Non-GAAP net income is a non-GAAP unaudited term, which we define as net income (loss), exclusive of stock-based compensation, non-cash interest expense from discounted debt related to acquired assets, gain on the reduction of contingent obligations (if any), loss on extinguishment of debt, other non-cash adjustments, and loss from discontinued operations, net. Non-GAAP net income and non-GAAP diluted EPS measures do not include the tax effect of the aforementioned adjusting items.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Adjusted EBITDA of $2.0 million for the Current Quarter, compared with Adjusted EBITDA of $2.2 million for the Prior Year Quarter. Adjusted EBITDA is a non-GAAP unaudited measure, which we define as net income (loss) before stock-based compensation, interest expense and other financing costs (including gain (loss) on extinguishment of debt), income taxes, other state and local franchise taxes, depreciation and amortization, gain on the reduction of contingent obligations, other non-cash adjustments and net loss on discontinued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they provide supplemental information to assist investors in evaluating the Company’s financial results.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(our most directly comparable financial measure presented in accordance with GAAP) to non-GAAP net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8"/>
                <w:szCs w:val="18"/>
                <w:color w:val="auto"/>
              </w:rPr>
              <w:t>(amounts in thousands)</w:t>
            </w:r>
          </w:p>
        </w:tc>
        <w:tc>
          <w:tcPr>
            <w:tcW w:w="296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6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basic and diluted loss per share to non-GAAP diluted EPS:</w:t>
            </w: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96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diluted EPS</w:t>
            </w:r>
          </w:p>
        </w:tc>
        <w:tc>
          <w:tcPr>
            <w:tcW w:w="4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Non-GAAP weighted average diluted shares</w:t>
            </w: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19,141,968</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15,180,888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basic and diluted weighted average shares to non-GAAP weighted average diluted shares: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220" w:type="dxa"/>
            <w:vAlign w:val="bottom"/>
            <w:gridSpan w:val="5"/>
          </w:tcPr>
          <w:p>
            <w:pPr>
              <w:ind w:left="1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w:t>
            </w:r>
          </w:p>
        </w:tc>
        <w:tc>
          <w:tcPr>
            <w:tcW w:w="1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18,458,748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14,069,419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exercising warrants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650,433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971,874</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exercising stock options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32,787</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139,595</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Non-GAAP weighted average diluted shares</w:t>
            </w:r>
          </w:p>
        </w:tc>
        <w:tc>
          <w:tcPr>
            <w:tcW w:w="17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19,141,968</w:t>
            </w:r>
          </w:p>
        </w:tc>
        <w:tc>
          <w:tcPr>
            <w:tcW w:w="1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15,180,888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(our most directly comparable financial measure presented in accordance with GAAP) to Adjusted EBITDA: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(amounts in thousands)</w:t>
            </w:r>
          </w:p>
        </w:tc>
        <w:tc>
          <w:tcPr>
            <w:tcW w:w="5500" w:type="dxa"/>
            <w:vAlign w:val="bottom"/>
            <w:gridSpan w:val="8"/>
          </w:tcPr>
          <w:p>
            <w:pPr>
              <w:ind w:left="2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0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At March 31, 2016 and December 31, 2015, our unrestricted cash and cash equivalents were $12.59 million and $16.86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debt service obligations and capital expenditure needs, including the debt service under our term loan facility for at least the twelve months subsequent to March 31, 2016. We are dependent on our licensees for most of our revenues, and there is no assurance that the licensees will perform as projected.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require significant capital expenditures.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contingent obligations (see Note 4, Debt in the Unaudited Condensed Consolidated Financial Statements) are payable in stock and/or cash, at the Company’s discretion. Payment of these obligations in stock would not affect our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Working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2016 and December 31, 2015, the adjusted working capital ratio (current assets to current liabilities, excluding current contingent obligations and seller notes payable in stock (see Note 4, Debt in the Unaudited Condensed Consolidated Financial Statements)) was 3.79 to 1.00 and 2.80 to 1.00, respectively. Commentary on the components of our cash flows used in continuing operations for the Current Quarter as compared with the Prior Year Quarter is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was approximately $1.30 million in the Current Quarter, compared with net cash used in operating activities from continuing operations of approximately $0.35 million in the Prior Year Quarter.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Quarter’s cash used in operating activities was primarily due to a net loss of $(0.05) million, and the net change in operating assets and liabilities of $(2.97) million, partially offset by non-cash expenses of $1.72 million. Non-cash expenses mainly consist of $1.21 million of stock-based compensation, $0.43 million of depreciation and amortization, $0.13 million of amortization of debt discount and deferred finance costs, and $0.05 million of deferred income tax benefit.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Prior Year Quarter’s cash used in operating activities was primarily due to a net loss of $(0.33) million, and the net change in operating assets and liabilities of $(1.98) million, partially offset by a net loss from discontinued operations of $0.21 million, and non-cash expenses of $1.75 million. Non-cash expenses mainly consisted of $1.01 million of stock-based compensation, a $0.61 million loss on the extinguishment of debt, $0.26 million of depreciation and amortization, $0.20 million of amortization of debt discount and deferred finance costs, and $(0.34) million of deferred income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for the Current Quarter was approximately $0.25 million, compared with $0.04 million in the Prior Year Quarter. The Current Quarter net cash used in investing activities was primarily attributable to capital expenditures associated with leasehold improvements and equipment for our new subleased office space in New York City. The Prior Year Quarter net cash used in investing activities was primarily attributable to cash consideration paid for the acquisition of the H Halston Brands of $0.01 million and capital expenditures of $0.03 million.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Current Quarter was approximately $2.73 million, primarily attributable to payments on our term debt obligations of $1.38 million, payment on our IM Seller Note obligation of $0.75 million, payment of the QVC Earn-Out obligation of $0.25 million, shares repurchased including vested restricted stock in exchange for withholding taxes of $0.30 million, and payment of deferred finance costs of $0.07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Prior Year Quarter was approximately $1.88 million, primarily attributable to the repayments on our long-term debt of $1.00 million and payment on our installment obligation related to the Ripka Brand of $0.90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brands, H Halston brands,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 Going forward our focus shall be on our wholly owned brands. In April 2016, we brought the IMNYC Isaac Mizrahi, H Halston, and Highline Collective brands to Lord &amp; Taylor and Hudson's Bay department stores through our quick-time-response direct-to-retail “virtual vertical” platform, and plan to do the same with the C Wonder Limited brand later this year. We also intend to seek new opportunities, including expansion through direct-response television and additional domestic and international licensing arrangements, and acquiring additional brands. Our success,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in our Annual Report on Form 10-K for the year ended December 31, 2015 as filed with the SEC could adversely affect our licensees’ ability to meet and/or exceed their contractual commitments to us and thereby adversely affect our future operating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2015, filed with the SEC on March 17, 2016, for a discussion of our critical accounting policies. During the three months ended March 31, 2016, there were no material changes to these policies.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2016, the end of the period covered by this report. Based on, and as of the date of such evaluation, the Chief Executive Officer and the Chief Financial Officer have concluded that our disclosure controls and procedures were effective as of March 31, 2016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not been any significant changes in our internal control over financial reporting (as defined in Rules 13a-15(f) and 15d-15(f) under the Exchange Act) during the fiscal quarter ended March 31, 2016 that have materially affected, or are reasonably likely to materially affect, our internal control over financial reporting.</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2015 are not the only risks we face. Additional risks and uncertainties not currently known to us or that we currently deem to be immaterial also may materially adversely affect our financial condition and/or operating results.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or registered securities during the three months ended March 31, 2016.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repurchased by the Company during the three months ended March 31,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300" w:type="dxa"/>
            <w:vAlign w:val="bottom"/>
          </w:tcPr>
          <w:p>
            <w:pPr>
              <w:spacing w:after="0"/>
              <w:rPr>
                <w:sz w:val="18"/>
                <w:szCs w:val="18"/>
                <w:color w:val="auto"/>
              </w:rPr>
            </w:pPr>
          </w:p>
        </w:tc>
        <w:tc>
          <w:tcPr>
            <w:tcW w:w="17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8"/>
              </w:rPr>
              <w:t>Average</w:t>
            </w: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Purchased as</w:t>
            </w:r>
          </w:p>
        </w:tc>
      </w:t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Shares</w:t>
            </w:r>
          </w:p>
        </w:tc>
        <w:tc>
          <w:tcPr>
            <w:tcW w:w="300" w:type="dxa"/>
            <w:vAlign w:val="bottom"/>
          </w:tcPr>
          <w:p>
            <w:pPr>
              <w:spacing w:after="0"/>
              <w:rPr>
                <w:sz w:val="18"/>
                <w:szCs w:val="18"/>
                <w:color w:val="auto"/>
              </w:rPr>
            </w:pPr>
          </w:p>
        </w:tc>
        <w:tc>
          <w:tcPr>
            <w:tcW w:w="17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Price per</w:t>
            </w:r>
          </w:p>
        </w:tc>
        <w:tc>
          <w:tcPr>
            <w:tcW w:w="2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 of a Publicly Announced</w:t>
            </w:r>
          </w:p>
        </w:tc>
      </w:tr>
      <w:tr>
        <w:trPr>
          <w:trHeight w:val="234"/>
        </w:trPr>
        <w:tc>
          <w:tcPr>
            <w:tcW w:w="52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Period</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Purchased</w:t>
            </w:r>
          </w:p>
        </w:tc>
        <w:tc>
          <w:tcPr>
            <w:tcW w:w="300" w:type="dxa"/>
            <w:vAlign w:val="bottom"/>
          </w:tcPr>
          <w:p>
            <w:pPr>
              <w:spacing w:after="0"/>
              <w:rPr>
                <w:sz w:val="20"/>
                <w:szCs w:val="20"/>
                <w:color w:val="auto"/>
              </w:rPr>
            </w:pPr>
          </w:p>
        </w:tc>
        <w:tc>
          <w:tcPr>
            <w:tcW w:w="17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Share</w:t>
            </w: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Plan or Program</w:t>
            </w:r>
          </w:p>
        </w:tc>
      </w:tr>
      <w:tr>
        <w:trPr>
          <w:trHeight w:val="223"/>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2016 to March 31, 2016 (i)</w:t>
            </w:r>
          </w:p>
        </w:tc>
        <w:tc>
          <w:tcPr>
            <w:tcW w:w="2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repurchased were acquired from employees in connection with the settlement of income tax withholding obligations on behalf of such employees from the vesting of restricted stock.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(CEO)</w:t>
            </w:r>
          </w:p>
        </w:tc>
      </w:t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(CFO)</w:t>
            </w:r>
          </w:p>
        </w:tc>
      </w:t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(CEO)</w:t>
            </w:r>
          </w:p>
        </w:tc>
      </w:t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(CFO)</w:t>
            </w:r>
          </w:p>
        </w:tc>
      </w:t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Definitions Linkbase Document</w:t>
            </w:r>
          </w:p>
        </w:tc>
      </w:tr>
      <w:tr>
        <w:trPr>
          <w:trHeight w:val="648"/>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420"/>
          </w:cols>
          <w:pgMar w:left="240" w:top="900"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2016</w:t>
            </w:r>
          </w:p>
        </w:tc>
        <w:tc>
          <w:tcPr>
            <w:tcW w:w="29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540" w:type="dxa"/>
            <w:vAlign w:val="bottom"/>
          </w:tcPr>
          <w:p>
            <w:pPr>
              <w:spacing w:after="0"/>
              <w:rPr>
                <w:sz w:val="24"/>
                <w:szCs w:val="24"/>
                <w:color w:val="auto"/>
              </w:rPr>
            </w:pPr>
          </w:p>
        </w:tc>
        <w:tc>
          <w:tcPr>
            <w:tcW w:w="29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432"/>
        </w:trPr>
        <w:tc>
          <w:tcPr>
            <w:tcW w:w="3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27</w:t>
            </w: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2016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May 10, 2016</w:t>
            </w: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675"/>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2016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May 10, 2016</w:t>
            </w: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75"/>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2016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May 10, 2016</w:t>
            </w: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891"/>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2016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May 10, 2016</w:t>
            </w: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75"/>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lowerRoman"/>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Roman"/>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2019-12-29T11:57:25Z</dcterms:created>
  <dcterms:modified xsi:type="dcterms:W3CDTF">2019-12-29T11:57:25Z</dcterms:modified>
</cp:coreProperties>
</file>