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366395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06" w:lineRule="exact"/>
        <w:rPr>
          <w:sz w:val="24"/>
          <w:szCs w:val="24"/>
          <w:color w:val="auto"/>
        </w:rPr>
      </w:pPr>
    </w:p>
    <w:p>
      <w:pPr>
        <w:ind w:left="4100" w:right="1420" w:hanging="3835"/>
        <w:spacing w:after="0" w:line="425" w:lineRule="auto"/>
        <w:tabs>
          <w:tab w:leader="none" w:pos="8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2019</w:t>
      </w:r>
    </w:p>
    <w:p>
      <w:pPr>
        <w:ind w:left="56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302" w:lineRule="exact"/>
        <w:rPr>
          <w:sz w:val="24"/>
          <w:szCs w:val="24"/>
          <w:color w:val="auto"/>
        </w:rPr>
      </w:pPr>
    </w:p>
    <w:p>
      <w:pPr>
        <w:ind w:left="4240" w:right="1420" w:hanging="3975"/>
        <w:spacing w:after="0" w:line="425" w:lineRule="auto"/>
        <w:tabs>
          <w:tab w:leader="none" w:pos="8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i w:val="1"/>
          <w:iCs w:val="1"/>
          <w:color w:val="auto"/>
        </w:rPr>
        <w:t>Commission File Number: 001-37527</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25"/>
                <w:szCs w:val="25"/>
                <w:b w:val="1"/>
                <w:bCs w:val="1"/>
                <w:color w:val="auto"/>
              </w:rPr>
              <w:t>XCEL BRANDS, INC.</w:t>
            </w:r>
          </w:p>
        </w:tc>
      </w:tr>
      <w:tr>
        <w:trPr>
          <w:trHeight w:val="230"/>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13"/>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Delaware</w:t>
            </w:r>
          </w:p>
        </w:tc>
        <w:tc>
          <w:tcPr>
            <w:tcW w:w="7680" w:type="dxa"/>
            <w:vAlign w:val="bottom"/>
            <w:gridSpan w:val="4"/>
          </w:tcPr>
          <w:p>
            <w:pPr>
              <w:jc w:val="center"/>
              <w:ind w:left="2445"/>
              <w:spacing w:after="0"/>
              <w:rPr>
                <w:sz w:val="20"/>
                <w:szCs w:val="20"/>
                <w:color w:val="auto"/>
              </w:rPr>
            </w:pPr>
            <w:r>
              <w:rPr>
                <w:rFonts w:ascii="Arial" w:cs="Arial" w:eastAsia="Arial" w:hAnsi="Arial"/>
                <w:sz w:val="18"/>
                <w:szCs w:val="18"/>
                <w:color w:val="auto"/>
                <w:w w:val="89"/>
              </w:rPr>
              <w:t>76-0307819</w:t>
            </w:r>
          </w:p>
        </w:tc>
      </w:tr>
      <w:tr>
        <w:trPr>
          <w:trHeight w:val="27"/>
        </w:trPr>
        <w:tc>
          <w:tcPr>
            <w:tcW w:w="2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92"/>
              </w:rPr>
              <w:t>(State or Other Jurisdiction of</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374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Incorporation or Organization)</w:t>
            </w: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40"/>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2"/>
              </w:rPr>
              <w:t>1333 Broadway, 10th Floor, New York, NY 10018</w:t>
            </w:r>
          </w:p>
        </w:tc>
      </w:tr>
      <w:tr>
        <w:trPr>
          <w:trHeight w:val="27"/>
        </w:trPr>
        <w:tc>
          <w:tcPr>
            <w:tcW w:w="24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Arial" w:cs="Arial" w:eastAsia="Arial" w:hAnsi="Arial"/>
                <w:sz w:val="18"/>
                <w:szCs w:val="18"/>
                <w:color w:val="auto"/>
                <w:w w:val="92"/>
              </w:rPr>
              <w:t>(Address of Principal Executive Offices)</w:t>
            </w:r>
          </w:p>
        </w:tc>
      </w:tr>
      <w:tr>
        <w:trPr>
          <w:trHeight w:val="364"/>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gridSpan w:val="2"/>
          </w:tcPr>
          <w:p>
            <w:pPr>
              <w:jc w:val="center"/>
              <w:ind w:left="1325"/>
              <w:spacing w:after="0"/>
              <w:rPr>
                <w:sz w:val="20"/>
                <w:szCs w:val="20"/>
                <w:color w:val="auto"/>
              </w:rPr>
            </w:pPr>
            <w:r>
              <w:rPr>
                <w:rFonts w:ascii="Arial" w:cs="Arial" w:eastAsia="Arial" w:hAnsi="Arial"/>
                <w:sz w:val="18"/>
                <w:szCs w:val="18"/>
                <w:color w:val="auto"/>
                <w:w w:val="90"/>
              </w:rPr>
              <w:t>(347) 727-2474</w:t>
            </w:r>
          </w:p>
        </w:tc>
        <w:tc>
          <w:tcPr>
            <w:tcW w:w="27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4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3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5020" w:space="720"/>
            <w:col w:w="568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53" w:lineRule="exact"/>
        <w:rPr>
          <w:sz w:val="24"/>
          <w:szCs w:val="24"/>
          <w:color w:val="auto"/>
        </w:rPr>
      </w:pPr>
    </w:p>
    <w:p>
      <w:pPr>
        <w:sectPr>
          <w:pgSz w:w="11900" w:h="16838" w:orient="portrait"/>
          <w:cols w:equalWidth="0" w:num="3">
            <w:col w:w="5020" w:space="720"/>
            <w:col w:w="1980" w:space="140"/>
            <w:col w:w="3560"/>
          </w:cols>
          <w:pgMar w:left="240" w:top="233" w:right="239" w:bottom="1440" w:gutter="0" w:footer="0" w:header="0"/>
          <w:type w:val="continuous"/>
        </w:sectPr>
      </w:pPr>
    </w:p>
    <w:p>
      <w:pPr>
        <w:spacing w:after="0" w:line="33" w:lineRule="exact"/>
        <w:rPr>
          <w:sz w:val="24"/>
          <w:szCs w:val="24"/>
          <w:color w:val="auto"/>
        </w:rPr>
      </w:pPr>
    </w:p>
    <w:p>
      <w:pPr>
        <w:ind w:left="57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0" w:lineRule="exact"/>
        <w:rPr>
          <w:sz w:val="24"/>
          <w:szCs w:val="24"/>
          <w:color w:val="auto"/>
        </w:rPr>
      </w:pPr>
    </w:p>
    <w:p>
      <w:pPr>
        <w:sectPr>
          <w:pgSz w:w="11900" w:h="16838" w:orient="portrait"/>
          <w:cols w:equalWidth="0" w:num="2">
            <w:col w:w="7720" w:space="120"/>
            <w:col w:w="3580"/>
          </w:cols>
          <w:pgMar w:left="240" w:top="233"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720"/>
        <w:spacing w:after="0" w:line="308" w:lineRule="exact"/>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8, 2019, there were 18,976,394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72123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85725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gridSpan w:val="5"/>
          </w:tcPr>
          <w:p>
            <w:pPr>
              <w:ind w:left="3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Operations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Stockholders' Equity</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54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Notes to Unaudited Condensed Consolidated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280" w:type="dxa"/>
            <w:vAlign w:val="bottom"/>
            <w:tcBorders>
              <w:top w:val="single" w:sz="8" w:color="0000EE"/>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PART II - OTHER INFORMATION</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540" w:type="dxa"/>
            <w:vAlign w:val="bottom"/>
            <w:shd w:val="clear" w:color="auto" w:fill="CCEEFF"/>
          </w:tcPr>
          <w:p>
            <w:pPr>
              <w:spacing w:after="0"/>
              <w:rPr>
                <w:sz w:val="21"/>
                <w:szCs w:val="21"/>
                <w:color w:val="auto"/>
              </w:rPr>
            </w:pPr>
          </w:p>
        </w:tc>
      </w:tr>
      <w:tr>
        <w:trPr>
          <w:trHeight w:val="459"/>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040" w:type="dxa"/>
            <w:vAlign w:val="bottom"/>
            <w:tcBorders>
              <w:top w:val="single" w:sz="8" w:color="CCEEFF"/>
            </w:tcBorders>
            <w:gridSpan w:val="13"/>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ind w:right="295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2019</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(Note 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2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8,837</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11,010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23,875</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Trademarks and other intangibles,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108,989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114,184</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150,767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138,059</w:t>
            </w:r>
          </w:p>
        </w:tc>
      </w:tr>
      <w:tr>
        <w:trPr>
          <w:trHeight w:val="271"/>
        </w:trPr>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4,868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accrued rent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Current portion of operating lease obligation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 contingent obligations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16,116</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portion of accrued rent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Long-term portion of operating lease obligation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11,300</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8,139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24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22,061</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38,177</w:t>
            </w:r>
          </w:p>
        </w:tc>
      </w:tr>
      <w:tr>
        <w:trPr>
          <w:trHeight w:val="277"/>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$.001 par value, 50,000,000 shares authorized at June 30, 2019 and December 31, 2018,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9"/>
              </w:rPr>
              <w:t>respectively, and 18,976,394 and 18,138,616 shares issued and outstanding at June 30, 2019 and December 31,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100,097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99,882</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150,767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138,059</w:t>
            </w: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8"/>
                <w:szCs w:val="18"/>
                <w:color w:val="auto"/>
              </w:rPr>
            </w:pPr>
          </w:p>
        </w:tc>
        <w:tc>
          <w:tcPr>
            <w:tcW w:w="24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34"/>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0"/>
        </w:trPr>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Net licensing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16,622</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r>
      <w:tr>
        <w:trPr>
          <w:trHeight w:val="237"/>
        </w:trPr>
        <w:tc>
          <w:tcPr>
            <w:tcW w:w="602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17,253</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goods sold (sales)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r>
      <w:tr>
        <w:trPr>
          <w:trHeight w:val="237"/>
        </w:trPr>
        <w:tc>
          <w:tcPr>
            <w:tcW w:w="602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16,844</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8,546</w:t>
            </w: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1,555</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2,410</w:t>
            </w: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968</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r>
      <w:tr>
        <w:trPr>
          <w:trHeight w:val="237"/>
        </w:trPr>
        <w:tc>
          <w:tcPr>
            <w:tcW w:w="6020" w:type="dxa"/>
            <w:vAlign w:val="bottom"/>
          </w:tcPr>
          <w:p>
            <w:pPr>
              <w:ind w:left="1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14,346</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reduction of contingent obligation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2,498</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Interest and finance expense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 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Other interest and finance charges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160"/>
              <w:spacing w:after="0"/>
              <w:rPr>
                <w:sz w:val="20"/>
                <w:szCs w:val="20"/>
                <w:color w:val="auto"/>
              </w:rPr>
            </w:pPr>
            <w:r>
              <w:rPr>
                <w:rFonts w:ascii="Arial" w:cs="Arial" w:eastAsia="Arial" w:hAnsi="Arial"/>
                <w:sz w:val="18"/>
                <w:szCs w:val="18"/>
                <w:color w:val="auto"/>
              </w:rPr>
              <w:t>Total interest and finance expense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552</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1,946</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1,559</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r>
      <w:tr>
        <w:trPr>
          <w:trHeight w:val="284"/>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net income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r>
      <w:tr>
        <w:trPr>
          <w:trHeight w:val="284"/>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r>
      <w:tr>
        <w:trPr>
          <w:trHeight w:val="284"/>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18,976,394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18,314,775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18,770,378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18,324,130</w:t>
            </w: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18,977,051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18,314,775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18,771,053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18,700,911</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360"/>
          </w:cols>
          <w:pgMar w:left="280" w:top="121" w:right="25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121" w:right="2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228600</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r>
      <w:tr>
        <w:trPr>
          <w:trHeight w:val="216"/>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7"/>
              </w:rPr>
              <w:t>Stockholders'</w:t>
            </w:r>
          </w:p>
        </w:tc>
      </w:tr>
      <w:tr>
        <w:trPr>
          <w:trHeight w:val="261"/>
        </w:trPr>
        <w:tc>
          <w:tcPr>
            <w:tcW w:w="43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Equity</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18,318,961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Issuance of shares for accrued stock liability</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91,826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7"/>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exchange for withholding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(43,638)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18,367,149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99,695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98,892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Issuance of shares for accrued stock liability</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4"/>
              </w:rPr>
              <w:t>Shares issued to employees in connection with restricted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grants, net of forfeitures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67,052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7"/>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exchange for withholding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(181,593)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June 30, 2018</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18,266,202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99,608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98,692</w:t>
            </w:r>
          </w:p>
        </w:tc>
      </w:tr>
      <w:tr>
        <w:trPr>
          <w:trHeight w:val="311"/>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18,138,616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99,882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Issuance of common stock in connection with the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acquisition of Halston Heritage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777,778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1,058</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18,916,394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101,414</w:t>
            </w:r>
          </w:p>
        </w:tc>
      </w:tr>
      <w:tr>
        <w:trPr>
          <w:trHeight w:val="486"/>
        </w:trPr>
        <w:tc>
          <w:tcPr>
            <w:tcW w:w="436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360" w:type="dxa"/>
            <w:vAlign w:val="bottom"/>
          </w:tcPr>
          <w:p>
            <w:pPr>
              <w:ind w:left="40"/>
              <w:spacing w:after="0"/>
              <w:rPr>
                <w:sz w:val="20"/>
                <w:szCs w:val="20"/>
                <w:color w:val="auto"/>
              </w:rPr>
            </w:pPr>
            <w:r>
              <w:rPr>
                <w:rFonts w:ascii="Arial" w:cs="Arial" w:eastAsia="Arial" w:hAnsi="Arial"/>
                <w:sz w:val="18"/>
                <w:szCs w:val="18"/>
                <w:color w:val="auto"/>
                <w:w w:val="96"/>
              </w:rPr>
              <w:t>Compensation expense in connection with stock options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4"/>
              </w:rPr>
              <w:t>Shares issued to employees in connection with restricted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grants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Balance as of June 30, 2019</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18,976,394</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101,636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103,401</w:t>
            </w: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7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90"/>
              </w:rPr>
              <w:t>Xcel Brands,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88"/>
              </w:rPr>
              <w:t>Unaudited Condensed Consolidated Statements of Cash Flows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60" w:type="dxa"/>
            <w:vAlign w:val="bottom"/>
          </w:tcPr>
          <w:p>
            <w:pPr>
              <w:jc w:val="center"/>
              <w:ind w:left="181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deferred finance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note discount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Deferred income tax provision</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1,559</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Gain on reduction of contingent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in excess of rent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Cash consideration for acquisition of Halston Heritage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7"/>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Shares repurchased including vested restricted stock in exchange for</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withholding taxes</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of deferred finance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37"/>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(2,542)</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8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11,694</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304"/>
        </w:trPr>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9,152</w:t>
            </w:r>
          </w:p>
        </w:tc>
      </w:tr>
      <w:tr>
        <w:trPr>
          <w:trHeight w:val="257"/>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r>
      <w:tr>
        <w:trPr>
          <w:trHeight w:val="243"/>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9,152</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30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lease obligation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Accrued rent offset to operating lease right-of-use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Settlement of seller note through offset to receivable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gridSpan w:val="2"/>
          </w:tcPr>
          <w:p>
            <w:pPr>
              <w:ind w:left="280"/>
              <w:spacing w:after="0"/>
              <w:rPr>
                <w:sz w:val="20"/>
                <w:szCs w:val="20"/>
                <w:color w:val="auto"/>
              </w:rPr>
            </w:pPr>
            <w:r>
              <w:rPr>
                <w:rFonts w:ascii="Arial" w:cs="Arial" w:eastAsia="Arial" w:hAnsi="Arial"/>
                <w:sz w:val="18"/>
                <w:szCs w:val="18"/>
                <w:color w:val="auto"/>
              </w:rPr>
              <w:t>Settlement of contingent obligation through offset to note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8"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9"/>
        </w:trPr>
        <w:tc>
          <w:tcPr>
            <w:tcW w:w="1280" w:type="dxa"/>
            <w:vAlign w:val="bottom"/>
            <w:tcBorders>
              <w:top w:val="single" w:sz="8" w:color="0000EE"/>
              <w:bottom w:val="single" w:sz="8" w:color="CCEEFF"/>
            </w:tcBorders>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Issuance of common stock in connection with Halston Heritage assets acquisition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Contingent obligation related to acquisition of Halston Heritage assets at fair value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Liability for equity-based bonuses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8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Cash paid during the period for income taxes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51"/>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 interest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consolidated balance sheet as of December 31, 2018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2018, as filed with the SEC on April 1, 2019.</w:t>
      </w:r>
    </w:p>
    <w:p>
      <w:pPr>
        <w:spacing w:after="0" w:line="3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 media and consumer products company engaged in the design, production, marketing, wholesale,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the C Wonder brands (the "C Wonder Brand"), and the Highline Collective brand, pioneering a ubiquitous sales strategy which includes the promotion and sales of products under its brands through interactive television, internet, brick-and-mortar retail, and e-commerce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These reclassifications had no impact on net income, stockholders’ equity, or cash flows as previously reported.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ASU 2016-02 effective January 1, 2019, by applying the new guidance under the additional and alternative transition method allowed by ASU 2018-11, “Leases (Topic 842): Targeted Improvements”. The standard had a material impact on the Company’s unaudited condensed consolidated balance sheet but did not have an impact on the Company’s unaudited condensed consolidated statement of operations. As of January 1, 2019, the adoption resulted in the recognition of operating lease right-of-use ("ROU") assets of approximately $10.4 million, lease liabilities of approximately $13.2 million, and a decrease of approximately $2.8 million in accrued rent.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its processes and methodologies related to leases to enable the preparation of financial information on adoption and to allow for the correct identification, classification, and measurement of leases in accordance with the new guidance going forward.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the standard related to leases had no impact on cash from or used in operating, financing, or investing activities in the Company's unaudited condensed consolidated statements of cash flows.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ROU assets and operating lease liabilities (current and non-current) in the Company’s unaudited condensed consolidated balance sheets.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lease liabilities are recognized at commencement date based on the present value of the remaining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the Company will exercise that option. Lease expense for operating lease payments is recognized on a straight-line basis over the lease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real estate leases of office space, the Company accounts for the lease and non-lease components as a single lease component.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leases with a term of 12 months or less, the Company does not recognize lease liabilities and ROU assets, but recognizes the lease payments in net income on a straight-line basis over the respective lease terms.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income from subleases (in which the Company is the sublessor) on a straight-line basis over the term of the sublease, as a reduction to lease expense.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2.  Trademarks and Other Intangibles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160" w:type="dxa"/>
            <w:vAlign w:val="bottom"/>
            <w:gridSpan w:val="4"/>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 2019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160" w:type="dxa"/>
            <w:vAlign w:val="bottom"/>
            <w:gridSpan w:val="4"/>
          </w:tcPr>
          <w:p>
            <w:pPr>
              <w:ind w:left="80"/>
              <w:spacing w:after="0"/>
              <w:rPr>
                <w:sz w:val="20"/>
                <w:szCs w:val="20"/>
                <w:color w:val="auto"/>
              </w:rPr>
            </w:pPr>
            <w:r>
              <w:rPr>
                <w:rFonts w:ascii="Arial" w:cs="Arial" w:eastAsia="Arial" w:hAnsi="Arial"/>
                <w:sz w:val="18"/>
                <w:szCs w:val="18"/>
                <w:b w:val="1"/>
                <w:bCs w:val="1"/>
                <w:color w:val="auto"/>
              </w:rPr>
              <w:t>($ in thousands)</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15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6"/>
              </w:rPr>
              <w:t>18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Other intellectual property</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7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Copyrights and other intellectual property</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6"/>
              </w:rPr>
              <w:t>10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Customer list</w:t>
            </w: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123,709</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5,533</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118,176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4"/>
            <w:vMerge w:val="restart"/>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 in thousands)</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96,707</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Trademarks (finite-lived)</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color w:val="auto"/>
                <w:w w:val="86"/>
              </w:rPr>
              <w:t>15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intellectual property</w:t>
            </w:r>
          </w:p>
        </w:tc>
        <w:tc>
          <w:tcPr>
            <w:tcW w:w="160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7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Copyrights and other intellectual property</w:t>
            </w:r>
          </w:p>
        </w:tc>
        <w:tc>
          <w:tcPr>
            <w:tcW w:w="1600" w:type="dxa"/>
            <w:vAlign w:val="bottom"/>
            <w:gridSpan w:val="4"/>
          </w:tcPr>
          <w:p>
            <w:pPr>
              <w:jc w:val="center"/>
              <w:ind w:right="160"/>
              <w:spacing w:after="0"/>
              <w:rPr>
                <w:sz w:val="20"/>
                <w:szCs w:val="20"/>
                <w:color w:val="auto"/>
              </w:rPr>
            </w:pPr>
            <w:r>
              <w:rPr>
                <w:rFonts w:ascii="Arial" w:cs="Arial" w:eastAsia="Arial" w:hAnsi="Arial"/>
                <w:sz w:val="18"/>
                <w:szCs w:val="18"/>
                <w:color w:val="auto"/>
                <w:w w:val="86"/>
              </w:rPr>
              <w:t>10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112,921</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3,932</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108,989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was approximately $0.83 million for the three-month period ended ended June 30, 2019 (the "current quarter") and was approximately $0.28 million for the three-month period ended June 30, 2018 (the "prior year quarter"). Amortization expense for intangible assets was approximately $1.60 million for the six-month period ended June 30, 2019 (the "current six months") and was approximately $0.57 million for the six-month period ended June 30, 2018 (the "prior year six months").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and the Ripka Brand have been determined to have indefinite useful lives and, accordingly, no amortization has been recorded for these assets.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2019, and in consideration of the acquisition of the Halston and Halston Heritage trademarks in February 2019, the Company has determined that the Halston brand, inclusive of all of its trademarks, including H Halston, and H by Halston, have a finite life of 18 years, and are amortized on a straight-line basis accordingly. Prior to January 1, 2019, the H Halston and H by Halston assets were considered indefinite-lived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Halston Heritage Trademarks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2019 (the "Closing Date"), the Company and its wholly owned subsidiary, H Heritage Licensing, LLC, entered into an asset purchase agreement (the "Heritage Asset Purchase Agreement") with the H Company IP, LLC (the "Seller" or "HIP"), and its parent House of Halston LLC ("HOH"), pursuant to which the Company acquired certain assets of HIP, including the "Halston", "Halston Heritage", and "Roy Frowick" trademarks (collectively, the "Halston Heritage Trademarks") and other intellectual property rights relating thereto. Benjamin Malka, a director of the Company, is a 25% equity holder of HOH, and former Chief Executive Officer of HOH.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Agreement. Such agreements were executed and delivered to Xcel, and the Xcel Shares were issued and delivered to the Sellers.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closing consideration,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Halston Heritage Trademark acquisition was accounted for as an asset purchase. The aggregate purchase price has been allocated to the following assets based on the fair value of the assets on the date of acquisition:</w:t>
      </w:r>
    </w:p>
    <w:p>
      <w:pPr>
        <w:spacing w:after="0" w:line="32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 in thousands)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6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Allocated to:</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10,388</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Halston archives</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57"/>
        </w:trPr>
        <w:tc>
          <w:tcPr>
            <w:tcW w:w="9660" w:type="dxa"/>
            <w:vAlign w:val="bottom"/>
          </w:tcPr>
          <w:p>
            <w:pPr>
              <w:ind w:left="20"/>
              <w:spacing w:after="0"/>
              <w:rPr>
                <w:sz w:val="20"/>
                <w:szCs w:val="20"/>
                <w:color w:val="auto"/>
              </w:rPr>
            </w:pPr>
            <w:r>
              <w:rPr>
                <w:rFonts w:ascii="Arial" w:cs="Arial" w:eastAsia="Arial" w:hAnsi="Arial"/>
                <w:sz w:val="18"/>
                <w:szCs w:val="18"/>
                <w:color w:val="auto"/>
              </w:rPr>
              <w:t>Total acquisition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10,788</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Halston Heritage Trademarks have been determined by management to have a finite useful life, and accordingly, amortization is recorded in the Company’s condensed consolidated statements of operations. The Halston Heritage Trademarks, archives, and customer lists are amortized on a straight-line basis over their expected useful lives of eighteen, seven, and five years,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aggregate purchase price of $10.8 million: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 in thousands, except share amounts)</w:t>
            </w:r>
          </w:p>
        </w:tc>
        <w:tc>
          <w:tcPr>
            <w:tcW w:w="4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Cash</w:t>
            </w:r>
          </w:p>
        </w:tc>
        <w:tc>
          <w:tcPr>
            <w:tcW w:w="5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Common Stock issued (777,778 shares)</w:t>
            </w:r>
          </w:p>
        </w:tc>
        <w:tc>
          <w:tcPr>
            <w:tcW w:w="4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direct initial consideration</w:t>
            </w:r>
          </w:p>
        </w:tc>
        <w:tc>
          <w:tcPr>
            <w:tcW w:w="49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transaction expenses</w:t>
            </w:r>
          </w:p>
        </w:tc>
        <w:tc>
          <w:tcPr>
            <w:tcW w:w="4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Contingent obligation</w:t>
            </w:r>
          </w:p>
        </w:tc>
        <w:tc>
          <w:tcPr>
            <w:tcW w:w="4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5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810"/>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more fully described in Note 6, concurrent with the acquisition of the Halston Heritage Trademarks, the Company entered into an amended loan agreement with BHI (the “Second Amended and Restated Loan and Security Agreement” or the "Xcel Term Loan"). The Xcel Term Loan amended and restated the existing Bank Hapoalim B.M. ("BHI") term loan (the "Amended Loan Agreement" or the "Prior Term Loan"). Immediately prior to the Closing Date, the aggregate principal amount of the Prior Term Loan was $14.5 million. Pursuant to the Xcel Term Loan, the Lenders have extended to Xcel an additional term loan in the amount of $7.5 million, such that, as of the Closing Date, the aggregate outstanding balance of all the Xcel Term Loan was $22.0 million, which amount has been divided into two term loans: (1) a term loan in the amount of $7.3 million, Term Loan A, and (2) a term loan in the amount of $14.7 million, Term Loan B. The proceeds of the additional term loan extended on the Closing Date were used to finance a portion of the Halston Heritage Trademark acquisition described above.</w:t>
      </w:r>
    </w:p>
    <w:p>
      <w:pPr>
        <w:spacing w:after="0" w:line="14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w:t>
      </w:r>
    </w:p>
    <w:p>
      <w:pPr>
        <w:spacing w:after="0" w:line="147" w:lineRule="exact"/>
        <w:rPr>
          <w:sz w:val="20"/>
          <w:szCs w:val="20"/>
          <w:color w:val="auto"/>
        </w:rPr>
      </w:pPr>
    </w:p>
    <w:p>
      <w:pPr>
        <w:ind w:left="660" w:hanging="328"/>
        <w:spacing w:after="0" w:line="258"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revenues from QVC totaled $5.94 million and $6.69 million for the current and prior year quarter, respectively, representing approximately 65% and 79% of the Company’s total revenues for the current and prior year quarter, respectively.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revenues from QVC totaled $12.77 million and $13.48 million for the current and prior year six months, respectively, representing approximately 66% and 78% of the Company’s total revenues for the current and prior year six months, respectively.</w:t>
      </w:r>
    </w:p>
    <w:p>
      <w:pPr>
        <w:ind w:left="660" w:hanging="328"/>
        <w:spacing w:after="0" w:line="261"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of June 30, 2019, and December 31, 2018, the Company had receivables from QVC of $5.98 million and $5.68 million, respectively, representing approximately 67% and 52% of the Company’s total receivables, respectively.</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operating leases for its current office, former office, and certain equipment with a term of 12 months or less. The Company's office leases have remaining lease terms of 2 years to 9 years. The Company does not recognize lease liabilities and ROU assets for lease terms of 12 months or less, but recognizes such lease payments in net income on a straight-line basis over the lease terms. The Company determines if an arrangement is a lease at inception. Operating leases are recorded in operating lease ROU assets, current portion of operating lease liabilities, and long-term operating lease liabilities on the Company's condensed consolidated balance sheets.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Lease terms may include options to extend or terminate the lease when it is reasonably certain that the Company will exercise that option. Lease expense for operating lease payments is recognized on a straight-line basis over the lease term.</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and prior year quarter, lease expense included in selling, general and administrative expenses on the Company's unaudited condensed consolidated statements of operations was $0.4 million. For the current and prior year six months, lease expense included in selling, general and administrative expenses on the Company's unaudited condensed consolidated statements of operations was $0.8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2019, the weighted-average remaining operating lease term was 7.8 years and the weighted-average discount rate for operating leases was 6.3%.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current quarter and current six months ended June 30, 2019 was $0.6 million and $1.2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maturities of lease liabilities were as follows: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860" w:type="dxa"/>
            <w:vAlign w:val="bottom"/>
            <w:gridSpan w:val="2"/>
          </w:tcPr>
          <w:p>
            <w:pPr>
              <w:jc w:val="center"/>
              <w:ind w:left="2470"/>
              <w:spacing w:after="0"/>
              <w:rPr>
                <w:sz w:val="20"/>
                <w:szCs w:val="20"/>
                <w:color w:val="auto"/>
              </w:rPr>
            </w:pPr>
            <w:r>
              <w:rPr>
                <w:rFonts w:ascii="Arial" w:cs="Arial" w:eastAsia="Arial" w:hAnsi="Arial"/>
                <w:sz w:val="18"/>
                <w:szCs w:val="18"/>
                <w:color w:val="auto"/>
                <w:w w:val="97"/>
              </w:rPr>
              <w:t>XCEL BRANDS, INC. AND SUBSIDIARIES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60" w:type="dxa"/>
            <w:vAlign w:val="bottom"/>
            <w:gridSpan w:val="2"/>
          </w:tcPr>
          <w:p>
            <w:pPr>
              <w:jc w:val="center"/>
              <w:ind w:left="2470"/>
              <w:spacing w:after="0"/>
              <w:rPr>
                <w:sz w:val="20"/>
                <w:szCs w:val="20"/>
                <w:color w:val="auto"/>
              </w:rPr>
            </w:pPr>
            <w:r>
              <w:rPr>
                <w:rFonts w:ascii="Arial" w:cs="Arial" w:eastAsia="Arial" w:hAnsi="Arial"/>
                <w:sz w:val="18"/>
                <w:szCs w:val="18"/>
                <w:color w:val="auto"/>
                <w:w w:val="89"/>
              </w:rPr>
              <w:t>Notes to Unaudited Condensed Consolidated Financial Statements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60" w:type="dxa"/>
            <w:vAlign w:val="bottom"/>
            <w:gridSpan w:val="2"/>
          </w:tcPr>
          <w:p>
            <w:pPr>
              <w:jc w:val="center"/>
              <w:ind w:left="2490"/>
              <w:spacing w:after="0"/>
              <w:rPr>
                <w:sz w:val="20"/>
                <w:szCs w:val="20"/>
                <w:color w:val="auto"/>
              </w:rPr>
            </w:pPr>
            <w:r>
              <w:rPr>
                <w:rFonts w:ascii="Arial" w:cs="Arial" w:eastAsia="Arial" w:hAnsi="Arial"/>
                <w:sz w:val="18"/>
                <w:szCs w:val="18"/>
                <w:color w:val="auto"/>
                <w:w w:val="87"/>
              </w:rPr>
              <w:t>June 30, 2019</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860" w:type="dxa"/>
            <w:vAlign w:val="bottom"/>
            <w:gridSpan w:val="2"/>
          </w:tcPr>
          <w:p>
            <w:pPr>
              <w:jc w:val="center"/>
              <w:ind w:left="247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00" w:type="dxa"/>
            <w:vAlign w:val="bottom"/>
          </w:tcPr>
          <w:p>
            <w:pPr>
              <w:spacing w:after="0"/>
              <w:rPr>
                <w:sz w:val="24"/>
                <w:szCs w:val="24"/>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2019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1,732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After 2023</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5,950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15,458</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Less: Discount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3,085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10,662</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Debt and Contingent Obligations</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 in thousands)</w:t>
            </w:r>
          </w:p>
        </w:tc>
        <w:tc>
          <w:tcPr>
            <w:tcW w:w="26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Xcel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Unamortized deferred finance costs related to term loan</w:t>
            </w:r>
          </w:p>
        </w:tc>
        <w:tc>
          <w:tcPr>
            <w:tcW w:w="2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 Seller Note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Ripka Seller Note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obligation - HH Seller</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Contingent obligation - JR Seller</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obligation - CW Seller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37"/>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(i), (ii)</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5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as of June 30, 2019 consists of $4.50 million related to the Xcel Term Loan.</w:t>
      </w:r>
    </w:p>
    <w:p>
      <w:pPr>
        <w:spacing w:after="0" w:line="184"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Condensed Consolidated Balance Sheet at December 31, 2018 includes (a) $4.0 million related to the Prior Term Loan, (b) $0.74 million related to the IM Seller Note, (c) $2.95 million related to Contingent Obligations, and (d) $0.58 million related to the Ripka Seller Note.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11, 2019, the Company entered into the Xcel Term Loan. Immediately prior to February 11, 2019, the aggregate principal amount of the Prior Term Loan was $14.5 million. Pursuant to the Xcel Term Loan, the Lenders have extended to Xcel additional term loan proceeds in the amount of $7.5 million, such that, as of February 11, 2019, the aggregate outstanding balance of all the term loans extended by BHI to Xcel under the Xcel Term Loan was $22.0 million, which amount has been divided under the Xcel Term Loan into two term loans: (1) a term loan in the amount of $7.3 million (“Term Loan A”) and (2) a term loan in the amount of $14.7 million (“Term Loan B” and, together with Term Loan A, the “Term Loans”). The proceeds of the additional term loan were used to finance the Halston Heritage Brands acquisition described in Note 3.</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and conditions of the Xcel Term Loan resulted in significantly different debt service payment requirements, compared with the prior term debt with BHI, which included an increase of $7.5 million in the principal balance, and related changes to the timing and amount of principal payments, as well as changes in the interest rate. Management assessed and determined that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amendment resulted in a loss on extinguishment of debt and recognized a loss of $0.2 million (consisting of unamortized deferred finance costs) during the six-month period ended June 30, 2019. Upon entering into Xcel Term Loan, Xcel paid an upfront fee in the amount of $0.09 million to BHI.</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Xcel Term Loan shall terminate no later than one year following the date of issuance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Principal on Term Loan A is payable in quarterly installments on each of March 31, June 30, September 30, and December 31 as follows</w:t>
      </w:r>
      <w:r>
        <w:rPr>
          <w:rFonts w:ascii="Arial" w:cs="Arial" w:eastAsia="Arial" w:hAnsi="Arial"/>
          <w:sz w:val="19"/>
          <w:szCs w:val="19"/>
          <w:color w:val="auto"/>
        </w:rPr>
        <w:t>:</w:t>
      </w:r>
    </w:p>
    <w:p>
      <w:pPr>
        <w:spacing w:after="0" w:line="3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7117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80" w:type="dxa"/>
            <w:vAlign w:val="bottom"/>
          </w:tcPr>
          <w:p>
            <w:pPr>
              <w:ind w:left="3780"/>
              <w:spacing w:after="0"/>
              <w:rPr>
                <w:sz w:val="20"/>
                <w:szCs w:val="20"/>
                <w:color w:val="auto"/>
              </w:rPr>
            </w:pPr>
            <w:r>
              <w:rPr>
                <w:rFonts w:ascii="Arial" w:cs="Arial" w:eastAsia="Arial" w:hAnsi="Arial"/>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Arial" w:cs="Arial" w:eastAsia="Arial" w:hAnsi="Arial"/>
                <w:sz w:val="18"/>
                <w:szCs w:val="18"/>
                <w:b w:val="1"/>
                <w:bCs w:val="1"/>
                <w:color w:val="auto"/>
              </w:rPr>
              <w:t>Amount</w:t>
            </w:r>
          </w:p>
        </w:tc>
      </w:tr>
      <w:tr>
        <w:trPr>
          <w:trHeight w:val="27"/>
        </w:trPr>
        <w:tc>
          <w:tcPr>
            <w:tcW w:w="6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 – September 30, 2020</w:t>
            </w:r>
          </w:p>
        </w:tc>
        <w:tc>
          <w:tcPr>
            <w:tcW w:w="25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6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61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Principal on Term Loan B is payable in quarterly installments on each of March 31, June 30, September 30, and December 31 as follows:</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7126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5000" w:type="dxa"/>
            <w:vAlign w:val="bottom"/>
          </w:tcPr>
          <w:p>
            <w:pPr>
              <w:ind w:left="2580"/>
              <w:spacing w:after="0"/>
              <w:rPr>
                <w:sz w:val="20"/>
                <w:szCs w:val="20"/>
                <w:color w:val="auto"/>
              </w:rPr>
            </w:pPr>
            <w:r>
              <w:rPr>
                <w:rFonts w:ascii="Arial" w:cs="Arial" w:eastAsia="Arial" w:hAnsi="Arial"/>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Arial" w:cs="Arial" w:eastAsia="Arial" w:hAnsi="Arial"/>
                <w:sz w:val="18"/>
                <w:szCs w:val="18"/>
                <w:b w:val="1"/>
                <w:bCs w:val="1"/>
                <w:color w:val="auto"/>
              </w:rPr>
              <w:t>Amount</w:t>
            </w:r>
          </w:p>
        </w:tc>
      </w:tr>
      <w:tr>
        <w:trPr>
          <w:trHeight w:val="27"/>
        </w:trPr>
        <w:tc>
          <w:tcPr>
            <w:tcW w:w="120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ind w:left="20"/>
              <w:spacing w:after="0"/>
              <w:rPr>
                <w:sz w:val="20"/>
                <w:szCs w:val="20"/>
                <w:color w:val="auto"/>
              </w:rPr>
            </w:pPr>
            <w:r>
              <w:rPr>
                <w:rFonts w:ascii="Arial" w:cs="Arial" w:eastAsia="Arial" w:hAnsi="Arial"/>
                <w:sz w:val="18"/>
                <w:szCs w:val="18"/>
                <w:color w:val="auto"/>
                <w:w w:val="92"/>
              </w:rPr>
              <w:t>March 31, 2020</w:t>
            </w:r>
          </w:p>
        </w:tc>
        <w:tc>
          <w:tcPr>
            <w:tcW w:w="5000" w:type="dxa"/>
            <w:vAlign w:val="bottom"/>
          </w:tcPr>
          <w:p>
            <w:pPr>
              <w:ind w:left="20"/>
              <w:spacing w:after="0"/>
              <w:rPr>
                <w:sz w:val="20"/>
                <w:szCs w:val="20"/>
                <w:color w:val="auto"/>
              </w:rPr>
            </w:pPr>
            <w:r>
              <w:rPr>
                <w:rFonts w:ascii="Arial" w:cs="Arial" w:eastAsia="Arial" w:hAnsi="Arial"/>
                <w:sz w:val="18"/>
                <w:szCs w:val="18"/>
                <w:color w:val="auto"/>
              </w:rPr>
              <w:t>– September 30, 2020</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1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12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w w:val="92"/>
              </w:rPr>
              <w:t>March 31, 2021</w:t>
            </w:r>
          </w:p>
        </w:tc>
        <w:tc>
          <w:tcPr>
            <w:tcW w:w="5000" w:type="dxa"/>
            <w:vAlign w:val="bottom"/>
          </w:tcPr>
          <w:p>
            <w:pPr>
              <w:ind w:left="20"/>
              <w:spacing w:after="0"/>
              <w:rPr>
                <w:sz w:val="20"/>
                <w:szCs w:val="20"/>
                <w:color w:val="auto"/>
              </w:rPr>
            </w:pPr>
            <w:r>
              <w:rPr>
                <w:rFonts w:ascii="Arial" w:cs="Arial" w:eastAsia="Arial" w:hAnsi="Arial"/>
                <w:sz w:val="18"/>
                <w:szCs w:val="18"/>
                <w:color w:val="auto"/>
              </w:rPr>
              <w:t>– December 31, 2022</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1,125</w:t>
            </w:r>
          </w:p>
        </w:tc>
      </w:tr>
      <w:tr>
        <w:trPr>
          <w:trHeight w:val="27"/>
        </w:trPr>
        <w:tc>
          <w:tcPr>
            <w:tcW w:w="1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12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w w:val="92"/>
              </w:rPr>
              <w:t>March 31, 2023</w:t>
            </w:r>
          </w:p>
        </w:tc>
        <w:tc>
          <w:tcPr>
            <w:tcW w:w="5000" w:type="dxa"/>
            <w:vAlign w:val="bottom"/>
          </w:tcPr>
          <w:p>
            <w:pPr>
              <w:ind w:left="20"/>
              <w:spacing w:after="0"/>
              <w:rPr>
                <w:sz w:val="20"/>
                <w:szCs w:val="20"/>
                <w:color w:val="auto"/>
              </w:rPr>
            </w:pPr>
            <w:r>
              <w:rPr>
                <w:rFonts w:ascii="Arial" w:cs="Arial" w:eastAsia="Arial" w:hAnsi="Arial"/>
                <w:sz w:val="18"/>
                <w:szCs w:val="18"/>
                <w:color w:val="auto"/>
              </w:rPr>
              <w:t>– December 31, 2023</w:t>
            </w:r>
          </w:p>
        </w:tc>
        <w:tc>
          <w:tcPr>
            <w:tcW w:w="25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1,250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 half of one percent (0.50%) if any of Term Loan A is prepaid after the second anniversary of the Closing Date, but on or before the third anniversary of such date; or (v) zero percent (0.00%), if any Term Loan or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Incremental Term Loan is prepaid after the third anniversary of the later of the Closing Date or the date such Incremental Term Loan was made, as applicable.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is required to repay a portion of the Xcel Term Loan in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w:t>
      </w:r>
    </w:p>
    <w:p>
      <w:pPr>
        <w:spacing w:after="0" w:line="188" w:lineRule="exact"/>
        <w:rPr>
          <w:sz w:val="20"/>
          <w:szCs w:val="20"/>
          <w:color w:val="auto"/>
        </w:rPr>
      </w:pPr>
    </w:p>
    <w:p>
      <w:pPr>
        <w:jc w:val="both"/>
        <w:ind w:right="20" w:firstLine="58"/>
        <w:spacing w:after="0" w:line="264"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wholly-owned subsidiaries, as well as any subsidiary formed or acquired that becomes a credit party to the Xcel Term Loan agreement (the “Guarantors”) and, subject to certain limitations contained in Xcel Term Loan, equity interests of the Guarantors.</w:t>
      </w:r>
    </w:p>
    <w:p>
      <w:pPr>
        <w:spacing w:after="0" w:line="181" w:lineRule="exact"/>
        <w:rPr>
          <w:sz w:val="20"/>
          <w:szCs w:val="20"/>
          <w:color w:val="auto"/>
        </w:rPr>
      </w:pPr>
    </w:p>
    <w:p>
      <w:pPr>
        <w:jc w:val="both"/>
        <w:ind w:firstLine="50"/>
        <w:spacing w:after="0" w:line="277" w:lineRule="auto"/>
        <w:rPr>
          <w:sz w:val="20"/>
          <w:szCs w:val="20"/>
          <w:color w:val="auto"/>
        </w:rPr>
      </w:pPr>
      <w:r>
        <w:rPr>
          <w:rFonts w:ascii="Arial" w:cs="Arial" w:eastAsia="Arial" w:hAnsi="Arial"/>
          <w:sz w:val="18"/>
          <w:szCs w:val="18"/>
          <w:color w:val="auto"/>
        </w:rPr>
        <w:t>Xcel also granted the Lenders a right of first offer to finance any acquisition for which the consideration therefore will be paid other than by cash of Xcel or by the issuance of equity interest of Xcel.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Xcel Term Loan contains customary covenants, including reporting requirements, trademark preservation, and the following financial covenants of Xcel (on a consolidated basis with Xcel and the Guarantors under the Second Amended and Restated Loan and Security Agreement):</w:t>
      </w:r>
    </w:p>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at least $5.0 million at all times;</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fixed charge coverage ratio for the twelve-fiscal month period ending at the end of each fiscal quarter shall not be less than the ratio set forth below for such fiscal period: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960" w:type="dxa"/>
            <w:vAlign w:val="bottom"/>
          </w:tcPr>
          <w:p>
            <w:pPr>
              <w:ind w:left="3280"/>
              <w:spacing w:after="0"/>
              <w:rPr>
                <w:sz w:val="20"/>
                <w:szCs w:val="20"/>
                <w:color w:val="auto"/>
              </w:rPr>
            </w:pPr>
            <w:r>
              <w:rPr>
                <w:rFonts w:ascii="Arial" w:cs="Arial" w:eastAsia="Arial" w:hAnsi="Arial"/>
                <w:sz w:val="18"/>
                <w:szCs w:val="18"/>
                <w:b w:val="1"/>
                <w:bCs w:val="1"/>
                <w:color w:val="auto"/>
              </w:rPr>
              <w:t>Fiscal Quarter End</w:t>
            </w:r>
          </w:p>
        </w:tc>
        <w:tc>
          <w:tcPr>
            <w:tcW w:w="3240" w:type="dxa"/>
            <w:vAlign w:val="bottom"/>
          </w:tcPr>
          <w:p>
            <w:pPr>
              <w:ind w:left="140"/>
              <w:spacing w:after="0"/>
              <w:rPr>
                <w:sz w:val="20"/>
                <w:szCs w:val="20"/>
                <w:color w:val="auto"/>
              </w:rPr>
            </w:pPr>
            <w:r>
              <w:rPr>
                <w:rFonts w:ascii="Arial" w:cs="Arial" w:eastAsia="Arial" w:hAnsi="Arial"/>
                <w:sz w:val="18"/>
                <w:szCs w:val="18"/>
                <w:b w:val="1"/>
                <w:bCs w:val="1"/>
                <w:color w:val="auto"/>
              </w:rPr>
              <w:t>Fixed Charge Coverage Ratio</w:t>
            </w:r>
          </w:p>
        </w:tc>
      </w:tr>
      <w:tr>
        <w:trPr>
          <w:trHeight w:val="27"/>
        </w:trPr>
        <w:tc>
          <w:tcPr>
            <w:tcW w:w="79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 March 31, 2020, June 30, 2020, September 30, 2020</w:t>
            </w:r>
          </w:p>
        </w:tc>
        <w:tc>
          <w:tcPr>
            <w:tcW w:w="32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1.05 to 1.00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w w:val="90"/>
              </w:rPr>
              <w:t>December 31, 2020, March 31, 2021, June 30, 2021, September 30, 2021, December 31, 2021 and thereafter</w:t>
            </w:r>
          </w:p>
        </w:tc>
        <w:tc>
          <w:tcPr>
            <w:tcW w:w="3240" w:type="dxa"/>
            <w:vAlign w:val="bottom"/>
          </w:tcPr>
          <w:p>
            <w:pPr>
              <w:ind w:left="1240"/>
              <w:spacing w:after="0"/>
              <w:rPr>
                <w:sz w:val="20"/>
                <w:szCs w:val="20"/>
                <w:color w:val="auto"/>
              </w:rPr>
            </w:pPr>
            <w:r>
              <w:rPr>
                <w:rFonts w:ascii="Arial" w:cs="Arial" w:eastAsia="Arial" w:hAnsi="Arial"/>
                <w:sz w:val="18"/>
                <w:szCs w:val="18"/>
                <w:color w:val="auto"/>
              </w:rPr>
              <w:t>1.10 to 1.00</w:t>
            </w:r>
          </w:p>
        </w:tc>
      </w:tr>
    </w:tbl>
    <w:p>
      <w:pPr>
        <w:spacing w:after="0" w:line="1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shall not exceed $1.7 million for fiscal year December 31,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shall not exceed $0.7 million for any fiscal year beginning after December 31, 2018;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leverage ratio for the twelve-fiscal month period ending at the end of each fiscal period set forth below shall not exceed the ratio below:</w:t>
      </w:r>
    </w:p>
    <w:p>
      <w:pPr>
        <w:spacing w:after="0" w:line="164"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6100" w:type="dxa"/>
            <w:vAlign w:val="bottom"/>
          </w:tcPr>
          <w:p>
            <w:pPr>
              <w:ind w:left="2780"/>
              <w:spacing w:after="0"/>
              <w:rPr>
                <w:sz w:val="20"/>
                <w:szCs w:val="20"/>
                <w:color w:val="auto"/>
              </w:rPr>
            </w:pPr>
            <w:r>
              <w:rPr>
                <w:rFonts w:ascii="Arial" w:cs="Arial" w:eastAsia="Arial" w:hAnsi="Arial"/>
                <w:sz w:val="18"/>
                <w:szCs w:val="18"/>
                <w:b w:val="1"/>
                <w:bCs w:val="1"/>
                <w:color w:val="auto"/>
              </w:rPr>
              <w:t>Fiscal Period</w:t>
            </w:r>
          </w:p>
        </w:tc>
        <w:tc>
          <w:tcPr>
            <w:tcW w:w="2980" w:type="dxa"/>
            <w:vAlign w:val="bottom"/>
          </w:tcPr>
          <w:p>
            <w:pPr>
              <w:ind w:left="480"/>
              <w:spacing w:after="0"/>
              <w:rPr>
                <w:sz w:val="20"/>
                <w:szCs w:val="20"/>
                <w:color w:val="auto"/>
              </w:rPr>
            </w:pPr>
            <w:r>
              <w:rPr>
                <w:rFonts w:ascii="Arial" w:cs="Arial" w:eastAsia="Arial" w:hAnsi="Arial"/>
                <w:sz w:val="18"/>
                <w:szCs w:val="18"/>
                <w:b w:val="1"/>
                <w:bCs w:val="1"/>
                <w:color w:val="auto"/>
              </w:rPr>
              <w:t>Maximum Leverage Ratio</w:t>
            </w:r>
          </w:p>
        </w:tc>
      </w:tr>
      <w:tr>
        <w:trPr>
          <w:trHeight w:val="27"/>
        </w:trPr>
        <w:tc>
          <w:tcPr>
            <w:tcW w:w="6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2.90 to 1.00</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w w:val="96"/>
              </w:rPr>
              <w:t>December 31, 2019, March 31, 2020, June 30, 2020, and September 30, 2020</w:t>
            </w:r>
          </w:p>
        </w:tc>
        <w:tc>
          <w:tcPr>
            <w:tcW w:w="2980" w:type="dxa"/>
            <w:vAlign w:val="bottom"/>
          </w:tcPr>
          <w:p>
            <w:pPr>
              <w:ind w:left="1280"/>
              <w:spacing w:after="0"/>
              <w:rPr>
                <w:sz w:val="20"/>
                <w:szCs w:val="20"/>
                <w:color w:val="auto"/>
              </w:rPr>
            </w:pPr>
            <w:r>
              <w:rPr>
                <w:rFonts w:ascii="Arial" w:cs="Arial" w:eastAsia="Arial" w:hAnsi="Arial"/>
                <w:sz w:val="18"/>
                <w:szCs w:val="18"/>
                <w:color w:val="auto"/>
              </w:rPr>
              <w:t>2.40 to 1.00</w:t>
            </w:r>
          </w:p>
        </w:tc>
      </w:tr>
      <w:tr>
        <w:trPr>
          <w:trHeight w:val="27"/>
        </w:trPr>
        <w:tc>
          <w:tcPr>
            <w:tcW w:w="61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December 31, 2020, March 31, 2021, June 30, 2021 and September 30, 2021</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1.70 to 1.00</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December 31, 2021 and each Fiscal Quarter end thereafter</w:t>
            </w:r>
          </w:p>
        </w:tc>
        <w:tc>
          <w:tcPr>
            <w:tcW w:w="2980" w:type="dxa"/>
            <w:vAlign w:val="bottom"/>
          </w:tcPr>
          <w:p>
            <w:pPr>
              <w:ind w:left="1280"/>
              <w:spacing w:after="0"/>
              <w:rPr>
                <w:sz w:val="20"/>
                <w:szCs w:val="20"/>
                <w:color w:val="auto"/>
              </w:rPr>
            </w:pPr>
            <w:r>
              <w:rPr>
                <w:rFonts w:ascii="Arial" w:cs="Arial" w:eastAsia="Arial" w:hAnsi="Arial"/>
                <w:sz w:val="18"/>
                <w:szCs w:val="18"/>
                <w:color w:val="auto"/>
              </w:rPr>
              <w:t>1.50 to 1.00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June 30, 2019.</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and prior year quarter, the Company incurred aggregate interest expense on its Prior Term Debt and Xcel Term Loan of approximately $326,000 and $226,000, respectively. For the current six months and prior year six months, the Company incurred aggregate interest expense on its Prior Term Debt and Xcel Term Loan of approximately $586,000 and $462,000,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September 19, 2016, the Company’s note payable to the sellers of the Isaac Mizrahi business (the “IM Seller Note") was further amended and restated to</w:t>
      </w:r>
    </w:p>
    <w:p>
      <w:pPr>
        <w:spacing w:after="0" w:line="46" w:lineRule="exact"/>
        <w:rPr>
          <w:sz w:val="20"/>
          <w:szCs w:val="20"/>
          <w:color w:val="auto"/>
        </w:rPr>
      </w:pPr>
    </w:p>
    <w:p>
      <w:pPr>
        <w:jc w:val="both"/>
        <w:ind w:firstLine="8"/>
        <w:spacing w:after="0" w:line="273"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revise the maturity date to March 31, 2019, (2) require six semi-annual principal and interest installment payments of $750,000, commencing on June 30, 2017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2019, the Company paid the final installment of $750,000 under the IM Seller Note.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and prior year quarter, the Company incurred interest expense of approximately $0 and $8,000, respectively, under the IM Seller Note. For the current six months and prior year six months, the Company incurred interest expense of approximately $4,000 and $20,000, respectively, under the IM Seller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the Company had a note payable of approximately $0.58 million relating to the acquisition of the Judith Ripka assets (the "Ripka Seller Note"). Separately, the Company held a promissory note receivable due from the sellers of the Judith Ripka assets (the "Ripka Sellers") with a maturity date of March 31, 2019. On March 31, 2019, the Company agreed to net its note receivable due from the Ripka Sellers of approximately $0.9 million against the Ripka Seller Note of $0.6 million and the remaining Ripka Earn-Out of $0.1 million (see below). As of June 30, 2019, the balance of the Ripka Seller Note was $0.</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current and prior year quarter, the Company incurred interest expense of approximately $0 and $10,000, respectively, under the Ripka Seller Note, which consisted solely of amortization of the discount on the Ripka Seller Note. For the current six months and prior year six months, the Company incurred interest expense of approximately $10,000 and $20,000,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Ripka Earn-Out was contingent upon the Ripka Brand achieving at least $6,000,000 of net royalty income from QVC during each of the 12-month periods ending on March 31, 2018 and 2019, and was payable in equal cash payments on each of May 15, 2018 and 2019. The Ripka Brand achieved the above-indicated threshold of net royalty income from QVC during the 12-month period ended March 31, 2018, and on May 15, 2018, the Company settled the $100,000 earnout due by reducing the principal amount owed by Judith Ripka to the Company under a promissory note. As of December 31, 2018, the balance of the Ripka Earn-Out was $0.1 million. On March 31, 2019, the Company satisfied the remaining Ripka Earn-Out balance of $0.1 million by off-setting the amount against the promissory note receivable. As of June 30, 2019, the balance of the Ripka Earn-Out was $0.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was calculated as the positive amount, if any, of (i) two times (A) the maximum net royalties as calculated for any single 12-month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was recorded in the current portion of long-term debt in the accompanying condensed consolidated balance sheet as of December 31,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applicable accounting guidance, the Company was required to carry such contingent liability balance on its consolidated balance sheet until the measurement period of the earn-out expired and all related contingencies had been resolved. The final Royalty Target Year ended on June 30, 2019, and the seller ultimately did not earn any additional consideration based on the formula set forth above. As such, during the current quarter, the Company recorded a $2.85 million gain on the reduction of contingent obligations in the accompanying condensed consolidated statements of operations. As of June 30, 2019, the balance of the C Wonder Earn-Out was $0.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HH Seller (Halston Heritage Earn-Out)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11, 2019 purchase of the Halston Heritage Trademarks from HIP, the Company agreed to pay HIP additional consideration (the “Halston Heritage Earn-Out”) (see Note 3). The Halston Heritage Earn-Out of $0.9 million is recorded as long-term debt at June 30, 2019 in the accompanying condensed consolidated balance sheet, based on the difference between the fair value of the acquired assets of the Halston Heritage Trademarks and the total consideration paid. In accordance with ASC Topic 480, the Halston Heritage Earn-Out obligation is treated as a liability in the accompanying condensed consolidated balance sheets because of the variable number of shares payable under the agreement.</w:t>
      </w:r>
    </w:p>
    <w:p>
      <w:pPr>
        <w:spacing w:after="0" w:line="12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5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accounts for non-employee awards in accordance with ASU 2018-07, “Compensation - Stock Compensation (Topic 718) - Improvements to Nonemployee Share-Based Payment Accounting”. Such awards are measured at the grant-date fair value of the equity instruments to be issued, and the compensation expense for such awards is recognized in the same period as if cash had been paid for the related goods or services rendered.</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1, 2019, the Company granted options to purchase 250,000 shares of common stock to a certain key employee. The exercise price is $3.00 per share, and the vesting of such options is dependent upon the Company achieving certain 12-month sales targets through December 31, 2021.</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2019, the Company granted options to purchase 2,578,947 shares of common stock to Robert D’Loren, the Company’s Chief Executive Officer. The exercise price is $1.70 per share, and the vesting of such options is dependent upon the Company’s common stock achieving certain stock trading prices for a minimum of ten (10) trading days (the "Target Prices"). The vesting of 736,842 shares occur if the Target Prices are equal to or greater than $3.00 per share; 626,316 shares vest if the Target Price is equal to or greater than $5.00 per share; 515,789 shares vest if the Target Price is equal to or greater than $7.00 per share; 405,263 shares vest if the Target Price is equal to or greater than $9.00 per share; and 294,737 shares vest if the Target Price is equal to or greater than $11.00 per share. The options are exercisable until February 27, 2029. As of June 30, 2019, none of the aforementioned Target Price thresholds have been met, and therefore, none of these options have vested.</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2019, the Company granted options to purchase 552,632 shares of common stock to James Haran, the Company’s Chief Financial Officer. The exercise price is $1.70 per share, and the vesting of such options is dependent upon the Company’s common stock achieving certain stock trading prices for a minimum of ten (10) trading days (the "Target Prices"). The vesting of 157,895 shares occur if the Target Prices are equal to or greater than $3.00 per share; 134,211 shares vest if the Target Price is equal to or greater than $5.00 per share; 110,526 shares vest if the Target Price is equal to or greater than $7.00 per share; 86,842 shares vest if the Target Price is equal to or greater than $9.00 per share; and 63,158 shares vest if the Target Price is equal to or greater than $11.00 per share. The options are exercisable until February 27, 2029. As of June 30, 2019, none of the aforementioned Target Price thresholds have been met, and therefore, none of these options have vested.</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2019, the Company granted options to purchase 368,421 shares of common stock to Seth Burroughs, an officer of the Company. The exercise price is $1.70 per share, and the vesting of such options is dependent upon the Company’s common stock achieving certain stock trading prices for a minimum of ten (10) trading days (the "Target Prices"). The vesting of 105,263 shares occur if the Target Prices are equal to or greater than $3.00 per share; 89,474 shares vest if the Target Price is equal to or greater than $5.00 per share; 73,684 shares vest if the Target Price is equal to or greater than $7.00 per share; 57,895 shares vest if the Target Price is equal to or greater than $9.00; and 42,105 shares vest if the Target Price is equal to or greater than $11.00 per share. The options are exercisable until February 27, 2029. As of June 30, 2019, none of the aforementioned Target Price thresholds have been met, and therefore, none of these options have vested.</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13, 2019, the Company granted options to purchase an aggregate of 154,000 shares of common stock to various employees. The exercise price of the options is $1.73 per share, and all options vested immediately on the date of grant.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15, 2019, the Company granted options to purchase an aggregate of 50,000 shares of common stock to a certain key employee. The exercise price of the options is $5.50 per share, and all options vested immediately on the date of grant.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2019, the Company granted options to purchase an aggregate of 150,000 shares of common stock to non-management directors. The exercise price of the options is $1.70 per share, and 50% of the options vest on each of April 1, 2020 and April 1,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15, 2019, the Company granted options to purchase an aggregate of 24,000 shares of common stock to certain employees. The exercise price of the options is $1.40 per share, and 50% of the options vest on each of April 15, 2020 and April 15,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2019, the Company granted options to purchase an aggregate of 10,000 shares of common stock to an employee. The exercise price of the options if $1.38 per share, and 50% of the options vest on each of May 1, 2020 and May 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activity for the current six months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4,138,000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2019, and expected to vest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7,201,625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2,620,125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$73,000 and $268,000, respectively. Compensation expense related to stock options for the current six months and prior year six months was approximately $316,000 and $548,000, respectively. Total unrecognized compensation expense related to unvested stock options at June 30, 2019 amounts to approximately $449,000 and is expected to be recognized over a weighted average period of approximately 2.14 years years.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Company’s non-vested stock options activity for the current six months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4,138,000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 or 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(67,665)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0.99</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activity for the current six months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Outstanding and exercisable at June 30,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1,214,815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800"/>
        <w:spacing w:after="0" w:line="454" w:lineRule="auto"/>
        <w:rPr>
          <w:sz w:val="20"/>
          <w:szCs w:val="20"/>
          <w:color w:val="auto"/>
        </w:rPr>
      </w:pPr>
      <w:r>
        <w:rPr>
          <w:rFonts w:ascii="Arial" w:cs="Arial" w:eastAsia="Arial" w:hAnsi="Arial"/>
          <w:sz w:val="18"/>
          <w:szCs w:val="18"/>
          <w:color w:val="auto"/>
        </w:rPr>
        <w:t xml:space="preserve">No compensation expense was recognized in the current quarter, prior year quarter, current six months, or prior year six months related to warrants. </w:t>
      </w:r>
      <w:r>
        <w:rPr>
          <w:rFonts w:ascii="Arial" w:cs="Arial" w:eastAsia="Arial" w:hAnsi="Arial"/>
          <w:sz w:val="18"/>
          <w:szCs w:val="18"/>
          <w:b w:val="1"/>
          <w:bCs w:val="1"/>
          <w:i w:val="1"/>
          <w:iCs w:val="1"/>
          <w:color w:val="auto"/>
        </w:rPr>
        <w:t>Stock Awards</w:t>
      </w:r>
    </w:p>
    <w:p>
      <w:pPr>
        <w:jc w:val="both"/>
        <w:ind w:right="20"/>
        <w:spacing w:after="0" w:line="342" w:lineRule="auto"/>
        <w:rPr>
          <w:sz w:val="20"/>
          <w:szCs w:val="20"/>
          <w:color w:val="auto"/>
        </w:rPr>
      </w:pPr>
      <w:r>
        <w:rPr>
          <w:rFonts w:ascii="Arial" w:cs="Arial" w:eastAsia="Arial" w:hAnsi="Arial"/>
          <w:sz w:val="16"/>
          <w:szCs w:val="16"/>
          <w:color w:val="auto"/>
        </w:rPr>
        <w:t>On February 27, 2019, the Company entered into a two-year employment agreement with a key employee which includes a performance stock bonus of up to $90,000 for each of the years ended December 31, 2019 and 2020. The performance stock bonus is earned upon the Company achieving certain sales targets.</w:t>
      </w: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2019, the Company issued an aggregate of 60,000 shares of stock to certain non-management directors, which will vest evenly over two years, whereby 50% shall vest on April 1, 2020, and 50% shall vest on April 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A summary of the Company’s restricted stock activity for the current six months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8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83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Outstanding at June 30,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1,479,210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4.65</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$62,000 and $193,000, respectively. Compensation expense related to restricted stock grants for the current six months and prior year six months, was approximately $166,000 and $420,000, respectively. Total unrecognized compensation expense related to unvested restricted stock grants at June 30, 2019 amounts to approximately $191,000 and is expected to be recognized over a weighted average period of approximately 1.22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there were 1,810,199 shares of common stock available for issuance under the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2019, there were 10,226,639 shares of common stock reserved for issuance pursuant to unexercised warrants and stock options, or available for issuance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18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is computed by dividing net income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194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spacing w:after="0"/>
              <w:rPr>
                <w:sz w:val="20"/>
                <w:szCs w:val="20"/>
                <w:color w:val="auto"/>
              </w:rPr>
            </w:pPr>
          </w:p>
        </w:tc>
        <w:tc>
          <w:tcPr>
            <w:tcW w:w="27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r>
      <w:tr>
        <w:trPr>
          <w:trHeight w:val="270"/>
        </w:trPr>
        <w:tc>
          <w:tcPr>
            <w:tcW w:w="5460" w:type="dxa"/>
            <w:vAlign w:val="bottom"/>
          </w:tcPr>
          <w:p>
            <w:pPr>
              <w:spacing w:after="0"/>
              <w:rPr>
                <w:sz w:val="23"/>
                <w:szCs w:val="23"/>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5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18,976,394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7"/>
              </w:rPr>
              <w:t>18,314,775</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18,770,378</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18,324,130</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Effect of exercise of warrants</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675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364,070</w:t>
            </w:r>
          </w:p>
        </w:tc>
      </w:tr>
      <w:tr>
        <w:trPr>
          <w:trHeight w:val="27"/>
        </w:trPr>
        <w:tc>
          <w:tcPr>
            <w:tcW w:w="5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exercise of stock options</w:t>
            </w:r>
          </w:p>
        </w:tc>
        <w:tc>
          <w:tcPr>
            <w:tcW w:w="19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Diluted</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18,977,051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18,314,775</w:t>
            </w: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18,771,053</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18,700,911</w:t>
            </w: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440" w:type="dxa"/>
            <w:vAlign w:val="bottom"/>
          </w:tcPr>
          <w:p>
            <w:pPr>
              <w:spacing w:after="0"/>
              <w:rPr>
                <w:sz w:val="20"/>
                <w:szCs w:val="20"/>
                <w:color w:val="auto"/>
              </w:rPr>
            </w:pPr>
          </w:p>
        </w:tc>
        <w:tc>
          <w:tcPr>
            <w:tcW w:w="19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0"/>
                <w:szCs w:val="20"/>
                <w:color w:val="auto"/>
              </w:rPr>
            </w:pPr>
          </w:p>
        </w:tc>
        <w:tc>
          <w:tcPr>
            <w:tcW w:w="27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r>
      <w:tr>
        <w:trPr>
          <w:trHeight w:val="270"/>
        </w:trPr>
        <w:tc>
          <w:tcPr>
            <w:tcW w:w="5440" w:type="dxa"/>
            <w:vAlign w:val="bottom"/>
          </w:tcPr>
          <w:p>
            <w:pPr>
              <w:spacing w:after="0"/>
              <w:rPr>
                <w:sz w:val="23"/>
                <w:szCs w:val="23"/>
                <w:color w:val="auto"/>
              </w:rPr>
            </w:pP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5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warrants</w:t>
            </w:r>
          </w:p>
        </w:tc>
        <w:tc>
          <w:tcPr>
            <w:tcW w:w="14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8,408,386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5,195,410</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7,124,005</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4,664,917</w:t>
            </w:r>
          </w:p>
        </w:tc>
      </w:tr>
      <w:tr>
        <w:trPr>
          <w:trHeight w:val="20"/>
        </w:trPr>
        <w:tc>
          <w:tcPr>
            <w:tcW w:w="5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37% and 111%, respectively, resulting in an income tax provision of $1.07 million and $1.13 million,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income tax rate for the current six months and the prior year six months was approximately 37% and 80%, respectively, resulting in an income tax provision of $1.14 million and $1.56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and recurring permanent differences, which increased the effective tax rate by approximately 9.00% and 6.00%,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state taxes and recurring permanent differences, which increased the effective tax rate by approximately 9.00% and 6.00%,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prior year periods, the effective tax rate was primarily attributable to the tax impact from the vesting of restricted shares of common stock, which was treated as a discrete item for tax purposes. This item increased the effective rate by 56% for the prior year quarter and 32% for the prior year six months. The effective tax rate was also attributable to recurring permanent differences. Based on the amount of income before income taxes compared to the recurring permanent differences, the effective rate increased by 14% for the prior year quarter and by 31% for the prior year six months.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the enactment of the Act in late 2017, the U. S. Securities and Exchange Commission issued Staff Accounting Bulletin No. 118 (“SAB 118”), that permits filers to record provisional amounts during a measurement period ending no later than one year from the date of the Act’s enactment. As of December 31, 2018, the Company finalized its accounting for the income tax effects of the Act and had no change to its original estimates.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is the former Chief Executive Officer of HOH.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Through October 26, 2018, the Company was negotiating proposed new arrangements and operated under those terms as an at-will license as set forth below:</w:t>
      </w:r>
    </w:p>
    <w:p>
      <w:pPr>
        <w:spacing w:after="0" w:line="208" w:lineRule="exact"/>
        <w:rPr>
          <w:sz w:val="20"/>
          <w:szCs w:val="20"/>
          <w:color w:val="auto"/>
        </w:rPr>
      </w:pPr>
    </w:p>
    <w:p>
      <w:pPr>
        <w:jc w:val="both"/>
        <w:ind w:left="660" w:hanging="490"/>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HIP Trademark Usage and Royalty Participation Agreement, had an initial term that expired on December 31, 2020 unless sooner terminated or renewed, and Xcel shall pay to HIP: (i) 50% of the excess H Halston Royalty paid to Xcel under the DRT Licenses and any other third party licenses that Xcel may enter into; (ii)25% of the excess developed brand royalty paid to Xcel for the Highline Collective Brand under the DRT Licenses, and 20% of the excess developed brand royalty paid to Xcel for any subsequent developed brand under the DRT Licenses, and (iii) 10% of the excess private label brand royalty paid to Xcel under the DRT Licenses and during the first term only of the DRT Licenses. Additionally, Xcel has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Xcel and at Xcel's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w:t>
      </w:r>
    </w:p>
    <w:p>
      <w:pPr>
        <w:spacing w:after="0" w:line="128"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was also responsible for overseeing the visual merchandising and in-store retail environments for such approved retailers, as well as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2018, subsequent design 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26, 2018, the Company and HOH terminated the HIP License Agreement including all amendments, and the HIP Sublicense Agreement. In addition, the at-will license was terminated and no longer in effect as of October 26, 2018.</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at-will license, the Company recorded approximately $0 and $0.70 million of revenue from HOC for the current quarter and the prior year quarter, respectively. The Company recorded approximately $0 and $1.30 million of revenue from HOC for the current six months and prior year six months, respectively. The Company had a receivable balance of $0 and $1.5 million due from HOC as of June 30, 2019 and December 31, 2018, respectively.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11, 2019 (the "Closing Date"), the Company and its wholly owned subsidiary, H Heritage Licensing, LLC, completed the acquisition of the Halston Heritage Trademarks. See Note 3, "Acquisition of Halston Heritage Trademarks".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2018.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Xcel Brands, Inc. (“Xcel,” the “Company,” “we,” “us,” or “our”) is a media and consumer products company engaged in the design, production, marketing, wholesale,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the C Wonder brands (the "C Wonder Brand"), and the Highline Collective brand, pioneering a ubiquitous sales strategy which includes the promotion and sales of products under its brands through interactive television, internet, brick-and-mortar retail, and e-commerce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2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continue to expand our wholesale and direct-to-consumer businesses. Our objective is to build a diversified portfolio of lifestyle consumer brands through organic growth and the strategic acquisition of new brands. To grow our brands, we are focused on following primary strategies:</w:t>
      </w:r>
    </w:p>
    <w:p>
      <w:pPr>
        <w:spacing w:after="0" w:line="10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of our brands to retailers that sell to the end consumer (wholesale);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 directly to the end consumer;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 and</w:t>
      </w:r>
    </w:p>
    <w:p>
      <w:pPr>
        <w:spacing w:after="0" w:line="106" w:lineRule="exact"/>
        <w:rPr>
          <w:rFonts w:ascii="Arial" w:cs="Arial" w:eastAsia="Arial" w:hAnsi="Arial"/>
          <w:sz w:val="17"/>
          <w:szCs w:val="17"/>
          <w:color w:val="auto"/>
        </w:rPr>
      </w:pPr>
    </w:p>
    <w:p>
      <w:pPr>
        <w:ind w:right="180" w:firstLine="332"/>
        <w:spacing w:after="0" w:line="563"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quickly integrate additional brands into our platform and leverage our design, production and marketing capabilities, and distribution relationships. We believe that we offer a unique value proposition to our retail and direct-to-consumer customers, and our licensees for the following reasons: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consumer engagement and generate retail sales across our brands. Our strong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relationships with leading retailers and interactive television companies and cable networks enable us to reach consumers in over 400 million homes worldwide and hundreds of millions of social media followers.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ubiquitous sales strategy provides significant competitive advantages compared with traditional wholesale apparel companies that design, manufacture, and distribute products. We focus on our core competencies of design, integrated technologies, fast-to-market production,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marketing capabilities, and distribution network.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2019 (the “current quarter”) compared with the three months ended June 30, 2018 (the “prior year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quarter net revenue increased approximately $0.6 million to $9.1 million from $8.5 million for the prior year quarter.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jewelry wholesale and e-commerce sales and apparel wholesale sales contributed approximately $2.3 million to net revenue in the current quarter, compared with $0.3 million in the prior year quarter. This increase in sales was primarily attributable to the launch of our apparel wholesale business in November 2018, as well as growth in our Judith Ripka Fine Jewelry e-commerce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licensing revenue decreased by approximately $(1.3) million in the current quarter to $6.8 million, compared with $8.1 million in the prior year quarter. This decline was primarily driven by (i) revenues from one of our existing licensing arrangements normalizing after changing from guaranteed minimum amounts to sales-based royalties effective April 1, 2019, and (ii) a decrease in design and service fees in our department store business attributable to the transition from a licensing model to a wholesale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Current quarter cost of goods sold was $1.8 million, compared with $0.2 million for the prior year quarter due to higher volume of wholesale and e-commerce sales in the current quarter.</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Current quarter gross profit (which includes cost of goods sold) decreased approximately $(0.9) million to $7.4 million from $8.3 million for the prior year quarter. This decrease was primarily attributable to the decrease in net licensing revenue, partially offset by an increase in net margin from product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costs and expenses were $7.0 million for the current quarter and the prior year quarter. There was a $0.6 million decrease in salaries and stock-based compensation, largely offset by an increase in amortization expense of our intangible assets due to the change in the previously owned Halston trademarks from indefinite lived-assets to a finite lived-assets, and the acquisition of the Halston and Halston Heritage trademarks, also determined to be finite-lived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current quarter, we recognized a $2.9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finance expense for the current quarter was $0.35 million, compared with $0.27 million for the prior year quarter. This increase is attributable to the February 11, 2019 term loan amendment, which resulted in a higher outstanding principal balance as compared with the prior year quarter, as well as a higher interest rate than under the previous term loan.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37% and 111%, respectively, resulting in an income tax provision of $1.07 million and $1.13 million,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and recurring permanent differences, which increased the effective tax rate by approximately 9.00% and 6.00%, respectively.</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prior year quarter, the effective tax rate was primarily attributable to the tax impact from the vesting of restricted shares of common stock, which was treated as a discrete item for tax purposes. This item increased the effective rate by 56% for the prior year quarter. The effective tax rate was also attributable to state taxes and recurring permanent differences, which increased the effective tax rate by approximately 13% and 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$1.85 million for the current quarter, compared with a net loss of $(0.11) million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non-GAAP net income of approximately $1.0 million, or $0.05 per diluted share (“non-GAAP diluted EPS”), for the current quarter and $1.7 million, or $0.09 per diluted share, for the prior year quarter. Non-GAAP net income is a non-GAAP unaudited term, which we define as net income, exclusive of amortization of trademarks, stock-based compensation, non-cash interest and finance expense from discounted debt related to acquired assets, loss on extinguishment of debt, gain on reduction of contingent obligations, and deferred income taxes. Non-GAAP net income and non-GAAP diluted EPS measures do not include the tax effect of the aforementioned adjusting items, due to the nature of these items and the Company’s tax strategy. Prior to 2019, the Company did not adjust non-GAAP net income and non-GAAP EPS for the amortization of trademarks.</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Adjusted EBITDA of $1.6 million for the current quarter, compared with Adjusted EBITDA of $2.2 million for the prior year quarter. Adjusted EBITDA is a non-GAAP unaudited measure, which we define as net income before stock-based compensation, interest and finance expense, loss on extinguishment of debt, gain on reduction of contingent obligation, income taxes, other state and local franchise taxes, and depreciation and amortization.</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income (loss)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0"/>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Amortization of trademarks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5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Non-GAAP 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diluted earnings (loss) per share (our most directly comparable financial measure presented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non-GAAP diluted EPS:</w:t>
      </w:r>
    </w:p>
    <w:p>
      <w:pPr>
        <w:spacing w:after="0" w:line="153"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June 30,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Amortization of trademarks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9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diluted EPS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r>
      <w:tr>
        <w:trPr>
          <w:trHeight w:val="251"/>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weighted average diluted shares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18,977,051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18,680,926</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 in thousands)</w:t>
            </w:r>
          </w:p>
        </w:tc>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finance expense</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franchise taxes</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4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2019 (the “current six months”) compared with the six months ended June 30, 2018 (the “prior year six months”)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six months net revenue increased approximately $2.1 million to $19.4 million from $17.3 million for the prior year six months.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jewelry wholesale and e-commerce sales and apparel wholesale sales contributed approximately $4.8 million to net revenue in the current six months, compared with $0.6 million in the prior year six months. This increase in sales was primarily attributable to the launch of our apparel wholesale business in November 2018, as well as growth in our Judith Ripka Fine Jewelry e-commerce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licensing revenue decreased by approximately $(1.9) million in the current six months to $14.7 million, compared with $16.6 million in the prior year six months. This decline was primarily driven by (i) revenues from one of our existing licensing arrangements normalizing after changing from guaranteed minimum amounts to sales-based royalties effective April 1, 2019, and (ii) a decrease in design and service fees in our department store business attributable to the transition from a licensing model to a wholesale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Current six months cost of goods sold was $3.6 million, compared with $0.4 million for the prior year six months due to higher volume of wholesale and e-commerce sales in the current six months.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six months gross profit (which includes cost of goods sold) decreased approximately $(1.0) million to $15.8 million from $16.8 million for the prior year six months. This decrease was primarily attributable to the decrease in net licensing revenue, partially offset by an increase in net margin from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Operating costs and expenses increased approximately $0.4 million to $14.7 million for the current six months from approximately $14.3 million in the prior year six months. This increase was primarily attributable to an increase in amortization expense of our intangible assets, due to the change in the previously owned Halston trademarks from indefinite lived-assets to a finite lived-assets, and the acquisition of the Halston and Halston Heritage trademarks, also determined to be finite-lived assets. Increased operating costs were largely offset by reductions in salaries and 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current six months, we recognized a $2.9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finance expense for the current six months was $0.83 million, compared with $0.55 million for the prior year six months. This increase is attributable to the February 11, 2019 term loan amendment, which resulted in (i) a $0.19 million loss on extinguishment of debt (consisting of unamortized deferred finance costs), (ii) a higher outstanding principal balance as compared with the prior year period, and (iii) a higher interest rate than under the previous term loan.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 income tax rate for the current six months and the prior year six months was approximately 37% and 111%, respectively, resulting in an income tax provision of $1.14 million and $1.56 million,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six months, the federal statutory rate differed from the effective tax rate primarily due to state taxes and recurring permanent differences, which increased the effective tax rate by approximately 9.00% and 6.00%, respectively.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prior year six months, the effective tax rate was primarily attributable to the tax impact from the vesting of restricted shares of common stock, which was treated as a discrete item for tax purposes. This item increased the effective rate by 32% for prior year six months. The effective tax rate was also attributable to state taxes and recurring permanent differences, which increased the effective tax rate by 13% and 14%,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$1.98 million for the current six months, compared with net income of $0.39 million for the prior year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non-GAAP net income of approximately $2.5 million, or $0.13 per diluted share, for the current six months and $3.4 million, or $0.18 per diluted share, for the prior year six months. We had Adjusted EBITDA of $3.7 million for the current six months, compared with Adjusted EBITDA of $4.4 million for the prior year six months.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Amortization of trademarks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12"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June 30,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Amortization of trademarks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interest and finance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9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diluted EPS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r>
      <w:tr>
        <w:trPr>
          <w:trHeight w:val="251"/>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weighted average diluted shares</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18,771,053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18,700,911</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0"/>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1,559</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 and local franchise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Gain on reduction of contingent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4,380</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June 30, 2019 and December 31, 2018, our cash and cash equivalents were $6.3 million and $8.8 million, respectively.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cash at June 30, 2019 consisted of $1.11 million of cash deposited with Bank Hapoalim B.M. (“BHI”) as collateral for an irrevocable standby letter of credit associated with the lease of our current corporate office and operating facilities. Restricted cash at December 31, 2018 consisted of (i) $1.11 million of cash deposited with BHI as collateral for an irrevocable standby letter of credit associated with the lease of our current corporate office and operating facilities, and (ii) $0.40 million of cash held as a security deposit for the sublease of our former corporate offices by us to a third-party subtenant.</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Quarterly Report on Form 10-Q.</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contingent obligation related to the Halston Heritage Brand (see Note 3 and Note 6 in the Unaudited Condensed Consolidated Financial Statements) is generally required to be paid in shares, subject to certain limitations. Payment of this obligation in stock would not affect our liquidity.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$9.1 million and $10.7 million as of June 30, 2019 and December 31, 2018, respectively. Working capital decreased by approximately $1.6 million during the first six months of 2019 primarily due to cash used in the acquisition of the Halston Heritage trademarks (see Note 3 in the Unaudited Condensed Consolidated Financial Statements).</w:t>
      </w:r>
    </w:p>
    <w:p>
      <w:pPr>
        <w:spacing w:after="0" w:line="146" w:lineRule="exact"/>
        <w:rPr>
          <w:sz w:val="20"/>
          <w:szCs w:val="20"/>
          <w:color w:val="auto"/>
        </w:rPr>
      </w:pPr>
    </w:p>
    <w:p>
      <w:pPr>
        <w:ind w:right="1400"/>
        <w:spacing w:after="0" w:line="454" w:lineRule="auto"/>
        <w:rPr>
          <w:sz w:val="20"/>
          <w:szCs w:val="20"/>
          <w:color w:val="auto"/>
        </w:rPr>
      </w:pPr>
      <w:r>
        <w:rPr>
          <w:rFonts w:ascii="Arial" w:cs="Arial" w:eastAsia="Arial" w:hAnsi="Arial"/>
          <w:sz w:val="18"/>
          <w:szCs w:val="18"/>
          <w:color w:val="auto"/>
        </w:rPr>
        <w:t xml:space="preserve">Commentary on the components of our cash flows for the current six months as compared with the prior year six months is set forth below. </w:t>
      </w:r>
      <w:r>
        <w:rPr>
          <w:rFonts w:ascii="Arial" w:cs="Arial" w:eastAsia="Arial" w:hAnsi="Arial"/>
          <w:sz w:val="18"/>
          <w:szCs w:val="18"/>
          <w:b w:val="1"/>
          <w:bCs w:val="1"/>
          <w:i w:val="1"/>
          <w:iCs w:val="1"/>
          <w:color w:val="auto"/>
        </w:rPr>
        <w:t>Operating Activities</w:t>
      </w:r>
    </w:p>
    <w:p>
      <w:pPr>
        <w:jc w:val="both"/>
        <w:spacing w:after="0" w:line="277" w:lineRule="auto"/>
        <w:rPr>
          <w:sz w:val="20"/>
          <w:szCs w:val="20"/>
          <w:color w:val="auto"/>
        </w:rPr>
      </w:pPr>
      <w:r>
        <w:rPr>
          <w:rFonts w:ascii="Arial" w:cs="Arial" w:eastAsia="Arial" w:hAnsi="Arial"/>
          <w:sz w:val="18"/>
          <w:szCs w:val="18"/>
          <w:color w:val="auto"/>
        </w:rPr>
        <w:t>Net cash provided by operating activities was approximately $1.98 million in the current six months, compared with net cash provided by operating activities of approximately $1.96 million in the prior year six months.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six months cash provided by operating activities was primarily attributable to the combination of net income of $1.98 million plus non-cash expenses of approximately $0.86 million, partially offset by a net change in operating assets and liabilities of approximately $(0.86) million. Non-cash net expenses were primarily comprised of $0.48 million of stock-based compensation, $1.95 million of depreciation and amortization, loss on extinguishment of debt of $0.19 million, deferred income tax provision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$1.14 million, and gain on reduction of contingent obligations of $(2.85) million. The net change from operating assets and liabilities includes a decrease in accounts receivable of $2.29 million, a decrease in inventory of approximately $1.11 million, an increase in prepaid expenses and other assets of $(0.29) million, a decrease in accounts payable, accrued expenses and other current liabilities of $(3.54) million, and a decrease in other liabilities of $(0.20) million, all of which are primarily due to timing of collections and payments, and cash paid in excess of rent expense of $(0.24) million.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prior year six months cash provided by operating activities was primarily attributable to the combination of net income of $0.39 million plus non-cash expenses of approximately $3.5 million and net change in operating assets and liabilities of approximately $(1.93) million. Non-cash net expenses mainly consisted of $1.56 million of deferred income tax provision, $0.97 million of stock-based compensation, $0.87 million of depreciation and amortization, and non-cash interest and other finance costs of $0.11 million. The net change in operating assets and liabilities included a net increase in accounts receivable of $(1.54) million, an increase in accounts payable, accrued expenses and other current liabilities of $0.53 million, all primarily due to timing of collections and payments, an increase in inventory attributable to our jewelry wholesale and e-commerce operations of approximately $(0.79) million, and a decrease in other liabilities of $(0.08) million attributable to accrued rent.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current six months was approximately $(9.4) million, compared with approximately $(1.1) million in the prior year quarter. Cash used in investing activities for the current six months was primarily related to cash consideration paid to acquire the Halston Heritage Brands. Cash used in investing activities for in the prior year quarter was primarily attributable to capital expenditures.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(used in) financing activities for the current six months was approximately $4.5 million, and was primarily attributable to proceeds received from long-term debt of $7.5 million, partially offset by payments made on long-term debt of $(2.0) million, the final payment on the IM Seller Note obligation of $(0.74), and payment of $(0.29) million of deferred finance costs.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prior year six months was approximately $(3.43) million, primarily attributable to payments on our senior term debt obligation of $(2.0) million, payment on our IM Seller Note obligation of approximately $(0.73) million, and shares repurchased related to vested restricted stock in exchange for withholding taxes of $(0.70)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products being produced under our brands. We plan to continue to diversify the distribution channels within which products are sold, in an effort to reduce dependence on any particular retailer, consumer, or market sector within each of our brands. The Mizrahi brand,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expand our Judith Ripka Fine Jewelry wholesale and e-commerce business, and in November 2018, we transitioned our department store business from a licensing model to a wholesale model. Our strategy is to manage our working capital needs by utilizing back-to-back sales and purchase orders and minimizing inventory risk. This change should increase our total and net revenues as compared to the licensing model.</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“virtual vertical” production platform, additional domestic and international licensing arrangements, and acquiring additional brands.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contract with and retain key licensees and retail relationships, as well as both our and our licensees’ ability to accurately predict upcoming fashion and design trends within our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Please refer to our Annual Report on Form 10-K for the year ended December 31, 2018, filed with the SEC on April 1, 2019, for a discussion of our critical accounting policies. Additionally, as described more fully in Note 1 and Note 5 of the Unaudited Condensed Consolidated Financial Statements in this Form 10-Q, we adopted a new accounting standard on January 1, 2019 related to leases, which included the election of certain accounting policies and practical expedients under this new standard. During the three and six months ended June 30, 2019, there were no other material changes to our accounting policies.</w:t>
      </w:r>
    </w:p>
    <w:p>
      <w:pPr>
        <w:spacing w:after="0" w:line="1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2019, the end of the period covered by this report. Based on, and as of the date of such evaluation, the Chief Executive Officer and the Chief Financial Officer have concluded that our disclosure controls and procedures were effective as of June 30, 2019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June 30, 2019 that have materially affected, or are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Risk Factors set forth in Part I, Item 1A, “Risk Factors” of our Annual Report on Form 10-K for the year ended December 31, 2018,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2018 are not the only risks we face. Additional risks and uncertainties not currently known to us or that we currently deem to be immaterial also may materially adversely affect our financial condition and/or operating results.</w:t>
      </w:r>
    </w:p>
    <w:p>
      <w:pPr>
        <w:spacing w:after="0" w:line="1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three and six months ended June 30, 2019.</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171" w:lineRule="exact"/>
        <w:rPr>
          <w:sz w:val="20"/>
          <w:szCs w:val="20"/>
          <w:color w:val="auto"/>
        </w:rPr>
      </w:pPr>
    </w:p>
    <w:p>
      <w:pPr>
        <w:ind w:left="6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31.1 Rule 13a-14(a)/15d-14(a) Certification (CEO)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31.2 Rule 13a-14(a)/15d-14(a) Certification (CFO)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32.1 Section 1350 Certification (CEO)</w:t>
        </w:r>
      </w:hyperlink>
    </w:p>
    <w:p>
      <w:pPr>
        <w:spacing w:after="0" w:line="63" w:lineRule="exact"/>
        <w:rPr>
          <w:sz w:val="20"/>
          <w:szCs w:val="20"/>
          <w:color w:val="auto"/>
        </w:rPr>
      </w:pPr>
    </w:p>
    <w:p>
      <w:pPr>
        <w:ind w:left="6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32.2 Section 1350 Certification (CFO)</w:t>
        </w:r>
      </w:hyperlink>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101.INS XBRL Instance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101.LAB XBRL Taxonomy Extension Label Linkbase Document</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125"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12, 2019</w:t>
            </w:r>
          </w:p>
        </w:tc>
        <w:tc>
          <w:tcPr>
            <w:tcW w:w="288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D’Loren</w:t>
            </w:r>
          </w:p>
        </w:tc>
      </w:tr>
      <w:tr>
        <w:trPr>
          <w:trHeight w:val="27"/>
        </w:trPr>
        <w:tc>
          <w:tcPr>
            <w:tcW w:w="36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Name: Robert W. D’Loren</w:t>
            </w:r>
          </w:p>
        </w:tc>
      </w:tr>
      <w:tr>
        <w:trPr>
          <w:trHeight w:val="270"/>
        </w:trPr>
        <w:tc>
          <w:tcPr>
            <w:tcW w:w="36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540"/>
        </w:trPr>
        <w:tc>
          <w:tcPr>
            <w:tcW w:w="3600" w:type="dxa"/>
            <w:vAlign w:val="bottom"/>
          </w:tcPr>
          <w:p>
            <w:pPr>
              <w:spacing w:after="0"/>
              <w:rPr>
                <w:sz w:val="24"/>
                <w:szCs w:val="24"/>
                <w:color w:val="auto"/>
              </w:rPr>
            </w:pPr>
          </w:p>
        </w:tc>
        <w:tc>
          <w:tcPr>
            <w:tcW w:w="288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James Haran</w:t>
            </w:r>
          </w:p>
        </w:tc>
      </w:tr>
      <w:tr>
        <w:trPr>
          <w:trHeight w:val="27"/>
        </w:trPr>
        <w:tc>
          <w:tcPr>
            <w:tcW w:w="36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36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702"/>
        </w:trPr>
        <w:tc>
          <w:tcPr>
            <w:tcW w:w="3600" w:type="dxa"/>
            <w:vAlign w:val="bottom"/>
          </w:tcPr>
          <w:p>
            <w:pPr>
              <w:spacing w:after="0"/>
              <w:rPr>
                <w:sz w:val="24"/>
                <w:szCs w:val="24"/>
                <w:color w:val="auto"/>
              </w:rPr>
            </w:pPr>
          </w:p>
        </w:tc>
        <w:tc>
          <w:tcPr>
            <w:tcW w:w="2880" w:type="dxa"/>
            <w:vAlign w:val="bottom"/>
          </w:tcPr>
          <w:p>
            <w:pPr>
              <w:jc w:val="right"/>
              <w:ind w:right="630"/>
              <w:spacing w:after="0"/>
              <w:rPr>
                <w:sz w:val="20"/>
                <w:szCs w:val="20"/>
                <w:color w:val="auto"/>
              </w:rPr>
            </w:pPr>
            <w:r>
              <w:rPr>
                <w:rFonts w:ascii="Arial" w:cs="Arial" w:eastAsia="Arial" w:hAnsi="Arial"/>
                <w:sz w:val="18"/>
                <w:szCs w:val="18"/>
                <w:color w:val="auto"/>
              </w:rPr>
              <w:t>36</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40" w:val="left"/>
          <w:tab w:leader="none" w:pos="7440" w:val="left"/>
        </w:tabs>
        <w:rPr>
          <w:sz w:val="20"/>
          <w:szCs w:val="20"/>
          <w:color w:val="auto"/>
        </w:rPr>
      </w:pPr>
      <w:r>
        <w:rPr>
          <w:rFonts w:ascii="Arial" w:cs="Arial" w:eastAsia="Arial" w:hAnsi="Arial"/>
          <w:sz w:val="18"/>
          <w:szCs w:val="18"/>
          <w:color w:val="auto"/>
        </w:rPr>
        <w:t>August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Name: Robert W. D’Loren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Chairman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August 12, 2019</w:t>
            </w:r>
          </w:p>
        </w:tc>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243"/>
        </w:trPr>
        <w:tc>
          <w:tcPr>
            <w:tcW w:w="6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6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2019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August 12, 2019</w:t>
            </w:r>
          </w:p>
        </w:tc>
        <w:tc>
          <w:tcPr>
            <w:tcW w:w="640" w:type="dxa"/>
            <w:vAlign w:val="bottom"/>
          </w:tcPr>
          <w:p>
            <w:pPr>
              <w:ind w:left="2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243"/>
        </w:trPr>
        <w:tc>
          <w:tcPr>
            <w:tcW w:w="6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Name: Robert W. D’Loren</w:t>
            </w:r>
          </w:p>
        </w:tc>
      </w:tr>
      <w:tr>
        <w:trPr>
          <w:trHeight w:val="270"/>
        </w:trPr>
        <w:tc>
          <w:tcPr>
            <w:tcW w:w="6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bl>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2019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August 12, 2019</w:t>
            </w:r>
          </w:p>
        </w:tc>
        <w:tc>
          <w:tcPr>
            <w:tcW w:w="740" w:type="dxa"/>
            <w:vAlign w:val="bottom"/>
          </w:tcPr>
          <w:p>
            <w:pPr>
              <w:ind w:left="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243"/>
        </w:trPr>
        <w:tc>
          <w:tcPr>
            <w:tcW w:w="5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Name: James Haran</w:t>
            </w:r>
          </w:p>
        </w:tc>
      </w:tr>
      <w:tr>
        <w:trPr>
          <w:trHeight w:val="270"/>
        </w:trPr>
        <w:tc>
          <w:tcPr>
            <w:tcW w:w="5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1" w:lineRule="exact"/>
        <w:rPr>
          <w:sz w:val="20"/>
          <w:szCs w:val="20"/>
          <w:color w:val="auto"/>
        </w:rPr>
      </w:pP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4"/>
    </w:lvl>
    <w:lvl w:ilvl="1">
      <w:lvlJc w:val="left"/>
      <w:lvlText w:val="•"/>
      <w:numFmt w:val="bullet"/>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2019-12-28T07:31:22Z</dcterms:created>
  <dcterms:modified xsi:type="dcterms:W3CDTF">2019-12-28T07:31:22Z</dcterms:modified>
</cp:coreProperties>
</file>