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020" w:right="1940" w:hanging="4012"/>
        <w:spacing w:after="0" w:line="503" w:lineRule="auto"/>
        <w:tabs>
          <w:tab w:leader="none" w:pos="32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4240" w:right="1920" w:hanging="4232"/>
        <w:spacing w:after="0" w:line="503" w:lineRule="auto"/>
        <w:tabs>
          <w:tab w:leader="none" w:pos="3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i w:val="1"/>
          <w:iCs w:val="1"/>
          <w:color w:val="auto"/>
        </w:rPr>
        <w:t>Commission File Number: 001-37527</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40" w:type="dxa"/>
            <w:vAlign w:val="bottom"/>
            <w:gridSpan w:val="4"/>
          </w:tcPr>
          <w:p>
            <w:pPr>
              <w:jc w:val="center"/>
              <w:ind w:right="3780"/>
              <w:spacing w:after="0"/>
              <w:rPr>
                <w:sz w:val="20"/>
                <w:szCs w:val="20"/>
                <w:color w:val="auto"/>
              </w:rPr>
            </w:pPr>
            <w:r>
              <w:rPr>
                <w:rFonts w:ascii="Arial" w:cs="Arial" w:eastAsia="Arial" w:hAnsi="Arial"/>
                <w:sz w:val="25"/>
                <w:szCs w:val="25"/>
                <w:b w:val="1"/>
                <w:bCs w:val="1"/>
                <w:color w:val="auto"/>
              </w:rPr>
              <w:t>XCEL BRANDS, INC.</w:t>
            </w:r>
          </w:p>
        </w:tc>
      </w:tr>
      <w:tr>
        <w:trPr>
          <w:trHeight w:val="230"/>
        </w:trPr>
        <w:tc>
          <w:tcPr>
            <w:tcW w:w="2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40" w:type="dxa"/>
            <w:vAlign w:val="bottom"/>
            <w:gridSpan w:val="4"/>
          </w:tcPr>
          <w:p>
            <w:pPr>
              <w:jc w:val="center"/>
              <w:ind w:right="37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378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Delaware</w:t>
            </w:r>
          </w:p>
        </w:tc>
        <w:tc>
          <w:tcPr>
            <w:tcW w:w="7640" w:type="dxa"/>
            <w:vAlign w:val="bottom"/>
            <w:gridSpan w:val="4"/>
          </w:tcPr>
          <w:p>
            <w:pPr>
              <w:jc w:val="center"/>
              <w:ind w:left="2405"/>
              <w:spacing w:after="0"/>
              <w:rPr>
                <w:sz w:val="20"/>
                <w:szCs w:val="20"/>
                <w:color w:val="auto"/>
              </w:rPr>
            </w:pPr>
            <w:r>
              <w:rPr>
                <w:rFonts w:ascii="Arial" w:cs="Arial" w:eastAsia="Arial" w:hAnsi="Arial"/>
                <w:sz w:val="18"/>
                <w:szCs w:val="18"/>
                <w:color w:val="auto"/>
                <w:w w:val="89"/>
              </w:rPr>
              <w:t>76-0307819</w:t>
            </w:r>
          </w:p>
        </w:tc>
      </w:tr>
      <w:tr>
        <w:trPr>
          <w:trHeight w:val="195"/>
        </w:trPr>
        <w:tc>
          <w:tcPr>
            <w:tcW w:w="3780" w:type="dxa"/>
            <w:vAlign w:val="bottom"/>
            <w:tcBorders>
              <w:top w:val="single" w:sz="8" w:color="auto"/>
            </w:tcBorders>
            <w:gridSpan w:val="2"/>
          </w:tcPr>
          <w:p>
            <w:pPr>
              <w:jc w:val="center"/>
              <w:ind w:left="1290"/>
              <w:spacing w:after="0" w:line="195" w:lineRule="exact"/>
              <w:rPr>
                <w:sz w:val="20"/>
                <w:szCs w:val="20"/>
                <w:color w:val="auto"/>
              </w:rPr>
            </w:pPr>
            <w:r>
              <w:rPr>
                <w:rFonts w:ascii="Arial" w:cs="Arial" w:eastAsia="Arial" w:hAnsi="Arial"/>
                <w:sz w:val="18"/>
                <w:szCs w:val="18"/>
                <w:color w:val="auto"/>
                <w:w w:val="92"/>
              </w:rPr>
              <w:t>(State or Other Jurisdiction of</w:t>
            </w:r>
          </w:p>
        </w:tc>
        <w:tc>
          <w:tcPr>
            <w:tcW w:w="13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780" w:type="dxa"/>
            <w:vAlign w:val="bottom"/>
            <w:gridSpan w:val="2"/>
          </w:tcPr>
          <w:p>
            <w:pPr>
              <w:jc w:val="center"/>
              <w:ind w:left="1290"/>
              <w:spacing w:after="0"/>
              <w:rPr>
                <w:sz w:val="20"/>
                <w:szCs w:val="20"/>
                <w:color w:val="auto"/>
              </w:rPr>
            </w:pPr>
            <w:r>
              <w:rPr>
                <w:rFonts w:ascii="Arial" w:cs="Arial" w:eastAsia="Arial" w:hAnsi="Arial"/>
                <w:sz w:val="18"/>
                <w:szCs w:val="18"/>
                <w:color w:val="auto"/>
                <w:w w:val="91"/>
              </w:rPr>
              <w:t>Incorporation or Organization)</w:t>
            </w: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40" w:type="dxa"/>
            <w:vAlign w:val="bottom"/>
            <w:gridSpan w:val="4"/>
          </w:tcPr>
          <w:p>
            <w:pPr>
              <w:jc w:val="center"/>
              <w:ind w:right="3760"/>
              <w:spacing w:after="0"/>
              <w:rPr>
                <w:sz w:val="20"/>
                <w:szCs w:val="20"/>
                <w:color w:val="auto"/>
              </w:rPr>
            </w:pPr>
            <w:r>
              <w:rPr>
                <w:rFonts w:ascii="Arial" w:cs="Arial" w:eastAsia="Arial" w:hAnsi="Arial"/>
                <w:sz w:val="18"/>
                <w:szCs w:val="18"/>
                <w:color w:val="auto"/>
                <w:w w:val="92"/>
              </w:rPr>
              <w:t>1333 Broadway, 10th Floor, New York, NY 10018</w:t>
            </w:r>
          </w:p>
        </w:tc>
      </w:tr>
      <w:tr>
        <w:trPr>
          <w:trHeight w:val="224"/>
        </w:trPr>
        <w:tc>
          <w:tcPr>
            <w:tcW w:w="23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5360" w:type="dxa"/>
            <w:vAlign w:val="bottom"/>
            <w:tcBorders>
              <w:top w:val="single" w:sz="8" w:color="auto"/>
            </w:tcBorders>
            <w:gridSpan w:val="3"/>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19"/>
                <w:szCs w:val="19"/>
                <w:color w:val="auto"/>
              </w:rPr>
            </w:pPr>
          </w:p>
        </w:tc>
      </w:tr>
      <w:tr>
        <w:trPr>
          <w:trHeight w:val="404"/>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gridSpan w:val="2"/>
          </w:tcPr>
          <w:p>
            <w:pPr>
              <w:jc w:val="center"/>
              <w:ind w:left="1285"/>
              <w:spacing w:after="0"/>
              <w:rPr>
                <w:sz w:val="20"/>
                <w:szCs w:val="20"/>
                <w:color w:val="auto"/>
              </w:rPr>
            </w:pPr>
            <w:r>
              <w:rPr>
                <w:rFonts w:ascii="Arial" w:cs="Arial" w:eastAsia="Arial" w:hAnsi="Arial"/>
                <w:sz w:val="18"/>
                <w:szCs w:val="18"/>
                <w:color w:val="auto"/>
                <w:w w:val="90"/>
              </w:rPr>
              <w:t>(347) 727-2474</w:t>
            </w: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40" w:type="dxa"/>
            <w:vAlign w:val="bottom"/>
            <w:gridSpan w:val="4"/>
          </w:tcPr>
          <w:p>
            <w:pPr>
              <w:jc w:val="center"/>
              <w:ind w:right="3780"/>
              <w:spacing w:after="0"/>
              <w:rPr>
                <w:sz w:val="20"/>
                <w:szCs w:val="20"/>
                <w:color w:val="auto"/>
              </w:rPr>
            </w:pPr>
            <w:r>
              <w:rPr>
                <w:rFonts w:ascii="Arial" w:cs="Arial" w:eastAsia="Arial" w:hAnsi="Arial"/>
                <w:sz w:val="18"/>
                <w:szCs w:val="18"/>
                <w:color w:val="auto"/>
                <w:w w:val="90"/>
              </w:rPr>
              <w:t>(Issuer's Telephone Number, Including Area Code)</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980" w:type="dxa"/>
            <w:vAlign w:val="bottom"/>
          </w:tcPr>
          <w:p>
            <w:pPr>
              <w:ind w:left="19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980" w:type="dxa"/>
            <w:vAlign w:val="bottom"/>
          </w:tcPr>
          <w:p>
            <w:pPr>
              <w:ind w:left="19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3980" w:type="dxa"/>
            <w:vAlign w:val="bottom"/>
          </w:tcPr>
          <w:p>
            <w:pPr>
              <w:ind w:left="19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7, 2018, there were 18,259,262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0" w:type="dxa"/>
            <w:vAlign w:val="bottom"/>
            <w:gridSpan w:val="8"/>
          </w:tcPr>
          <w:p>
            <w:pPr>
              <w:jc w:val="center"/>
              <w:ind w:right="2340"/>
              <w:spacing w:after="0"/>
              <w:rPr>
                <w:sz w:val="20"/>
                <w:szCs w:val="20"/>
                <w:color w:val="auto"/>
              </w:rPr>
            </w:pPr>
            <w:r>
              <w:rPr>
                <w:rFonts w:ascii="Arial" w:cs="Arial" w:eastAsia="Arial" w:hAnsi="Arial"/>
                <w:sz w:val="18"/>
                <w:szCs w:val="18"/>
                <w:b w:val="1"/>
                <w:bCs w:val="1"/>
                <w:color w:val="auto"/>
                <w:w w:val="98"/>
              </w:rPr>
              <w:t>XCEL BRANDS, INC.</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20" w:type="dxa"/>
            <w:vAlign w:val="bottom"/>
            <w:gridSpan w:val="7"/>
          </w:tcPr>
          <w:p>
            <w:pPr>
              <w:jc w:val="center"/>
              <w:ind w:right="390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4"/>
          </w:tcPr>
          <w:p>
            <w:pPr>
              <w:ind w:left="3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 – 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Signatures</w:t>
              </w:r>
            </w:hyperlink>
          </w:p>
        </w:tc>
        <w:tc>
          <w:tcPr>
            <w:tcW w:w="8360" w:type="dxa"/>
            <w:vAlign w:val="bottom"/>
            <w:tcBorders>
              <w:bottom w:val="single" w:sz="8" w:color="CCEEFF"/>
            </w:tcBorders>
            <w:gridSpan w:val="16"/>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5"/>
          </w:tcPr>
          <w:p>
            <w:pPr>
              <w:jc w:val="center"/>
              <w:ind w:left="4410"/>
              <w:spacing w:after="0"/>
              <w:rPr>
                <w:sz w:val="20"/>
                <w:szCs w:val="20"/>
                <w:color w:val="auto"/>
              </w:rPr>
            </w:pPr>
            <w:r>
              <w:rPr>
                <w:rFonts w:ascii="Arial" w:cs="Arial" w:eastAsia="Arial" w:hAnsi="Arial"/>
                <w:sz w:val="18"/>
                <w:szCs w:val="18"/>
                <w:color w:val="auto"/>
                <w:w w:val="79"/>
              </w:rPr>
              <w:t>2</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 2018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Trademarks and other intangibles, net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135,214</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17,696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liabilities, net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Preferred stock, $.001 par value, 1,000,000 shares authorized, none issued and outstanding</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Common stock, $.001 par value, 50,000,000 shares authorized at March 31, 2018 and December</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w w:val="92"/>
              </w:rPr>
              <w:t>31, 2017, respectively, and 18,367,149 and 18,318,961 issued and outstanding at March 31, 2018</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and December 31, 2017, respectively</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135,214</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Ended March 31,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licensing revenue</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Sales</w:t>
            </w:r>
          </w:p>
        </w:tc>
        <w:tc>
          <w:tcPr>
            <w:tcW w:w="4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Cost of goods sold (sales)</w:t>
            </w:r>
          </w:p>
        </w:tc>
        <w:tc>
          <w:tcPr>
            <w:tcW w:w="4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revenue</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Salaries, benefits and employment taxes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design and marketing costs</w:t>
            </w: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selling, general and administrative expenses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Interest expense - term debt</w:t>
            </w:r>
          </w:p>
        </w:tc>
        <w:tc>
          <w:tcPr>
            <w:tcW w:w="4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interest and finance charges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interest and finance expense</w:t>
            </w: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420" w:type="dxa"/>
            <w:vAlign w:val="bottom"/>
          </w:tcPr>
          <w:p>
            <w:pPr>
              <w:spacing w:after="0"/>
              <w:rPr>
                <w:sz w:val="24"/>
                <w:szCs w:val="2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18,333,912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18,674,943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18,716,802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18,674,973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98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260" w:type="dxa"/>
            <w:vAlign w:val="bottom"/>
          </w:tcPr>
          <w:p>
            <w:pPr>
              <w:jc w:val="right"/>
              <w:ind w:right="109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Adjustments to reconcile net income (loss) to net cash provided by (used in) operating activities: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income tax provision</w:t>
            </w:r>
          </w:p>
        </w:tc>
        <w:tc>
          <w:tcPr>
            <w:tcW w:w="1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to acquire intangible assets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of property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44"/>
        </w:trPr>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0"/>
        </w:trPr>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-574040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-299720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720" w:space="720"/>
            <w:col w:w="39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repurchased including vested restricted stock in exchange for withholding taxes</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Payment of deferred finance costs</w:t>
            </w: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long-term debt</w:t>
            </w:r>
          </w:p>
        </w:tc>
        <w:tc>
          <w:tcPr>
            <w:tcW w:w="7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7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15,636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10,405</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cash, cash equivalents, and restricted cash</w:t>
            </w: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during the period for interest</w:t>
            </w: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consolidated balance sheet as of December 31, 2017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(“Xcel”)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2017, as filed with the SEC on March 30, 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consumer products company. It is engaged in the design, production, licensing, marketing, and direct-to-consumer sales of branded apparel, footwear, accessories, jewelry, home goods, and other consumer products, and the acquisition of dynamic consumer lifestyle brands. The Company has developed a Fast-to-Market capability driven by its proprietary integrated technology platform.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and distribution services, and generates licensing, design, and service fee revenues through contractual arrangements with manufacturers and retailers. This includes licensing its own brands for promotion and distribution through a ubiquitous-channel retail sales strategy, which includes distribution through interactive television, the internet, and traditional brick-and-mortar retail channels.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Commencing this quarter, the Company separately presents in the Condensed Consolidated Statements of Operations sales and cost of goods sold relating to its jewelry wholesale and e-commerce operations. We had no ending inventory as of March 31, 2018 as all inventory is currently on consignment from our suppliers.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May 2014, the Financial Accounting Standards Board (“FASB”) issued Accounting Standards Update No. 2014-09, “Revenue from Contracts with Customers” (“ASU 2014-09”), which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requires greater use of judgment and estimates than under the current guidance. In August 2015, FASB issued ASU No. 2015-14, Revenue from Contracts with Customers – Deferral of the Effective Date (“ASU 2015-14”), which deferred the implementation of ASU 2014-09 by one year. Under such deferral, the adoption of ASU 2014-09 became effective for us on January 1, 2018, including interim periods within that reporting period. The Company adopted ASU 2014-09 under the modified retrospective adoption method effective January 1, 2018, by applying the new guidance only to contracts that were not completed at the date of initial application. The Company’s evaluation of the impact of the adoption of ASU 2014-09 on its consolidated financial statements included the identification of revenue within the scope of the guidance and the evaluation of applicable revenue contracts. The Company performed an extensive analysis of its existing contracts with customers and its revenue recognition policies and determined that the adoption of ASU 2014-09 did not result in material differences from the Company’s prior revenue recognition policies. In addition, the adoption of ASU 2014-09 did not result in material differences in the amount of revenue recognized in the current quarter when compared to the amount of revenue that would have been recognized in the current quarter under the old guidance. The Company recognizes revenue continuously over time as it satisfies its continuous obligation of granting access to its licensed intellectual properties, which are deemed symbolic intellectual properties under the new revenue guidance. Payments are typically due after sales have occurred and have been reported by the licensees or, whereas applicable, in accordance with minimum guaranteed payments provisions. The timing of performance obligations is typically consistent with the timing of payments, however there may be differences if contracts provide for advances or significant escalations of contractually guaranteed minimum payments. There were no such differences that would have a material impact on our balance sheet at March 31, 2018 or December 31, 2017. In accordance with Accounting Standard Codification (“ASC”) 606-10-55-65,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396" w:lineRule="exact"/>
        <w:rPr>
          <w:sz w:val="20"/>
          <w:szCs w:val="20"/>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213"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FASB Revenue Recognition Transition Resource Group, “TRG”).</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does not typically perform by transferring goods or services to customers before the customer pays consideration or before payment is due, thus the implementation of ASU 2014-09 did not result in the identification of contract assets in accordance with ASC 606-10-45-3. The Company’s unconditional right to receive consideration based on the terms and conditions of licensing contracts is presented as accounts receivable on the accompanying condensed consolidated balance. The Company typically does not receive consideration in advance of performance and, consequently, amounts of contract liabilities as defined by ASC 606-10-45-2 were not material as of March 31, 2018 and December 31, 2017.</w:t>
      </w:r>
    </w:p>
    <w:p>
      <w:pPr>
        <w:spacing w:after="0" w:line="17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does not disclose the amount attributable to unsatisfied or partially satisfied performance obligations for variable revenue contracts (identified under “View A” above) in accordance with the optional exemption allowed for under ASC 606. The company did not have any revenue recognized in the reporting period from performance obligations satisfied, or partially satisfied, in previous periods. Remaining minimum guaranteed payments for active contracts as of March 31, 2018 are expected to be recognized ratably in accordance with the straight-line criterion over the remaining term of each contract based on the passage of time and through January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new revenue standard did not result in a material impact on the Company’s ongoing results of operations, the Company did implement changes to its processes and methodologies related to revenue recognition. These included the development of new policies and/or modification of existing policies based on the five-step model provided in the new revenue standard, new training, ongoing contract review requirements, and gathering of information provided for disclosures.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(“ASU 2016-15”), which provides guidance and clarification regarding the presentation and classification on the statement of cash flows for eight specific cash flow issues. The Company adopted ASU 2016-15 effective January 1, 2018 and the adoption did not have an effect on its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May 2017, the FASB issued ASU 2017-09, “Stock Compensation (Topic 718): Scope of Modification Accounting” (“ASU 2017-09”), which provides guidance about which changes to the terms or conditions of a share-based payment award require an entity to apply modification accounting in Topic 718. The Company adopted ASU 2017-09 effective January 1, 2018 and the adoption did not have an effect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Recently Issued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We are currently evaluating the impact that the adoption of ASU 2016-02 will have on our consolidated financial statements and disclosures.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2.  Trademarks and Other Intangibles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w w:val="94"/>
              </w:rPr>
              <w:t>Trademarks and other intangibles, net consist of the following:</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4"/>
                <w:szCs w:val="2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3"/>
              </w:rPr>
              <w:t>March 31, 2018</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Accumulated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Trademarks (definite-lived)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 years</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15,463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2,747</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7 years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 years</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tcPr>
          <w:p>
            <w:pPr>
              <w:spacing w:after="0"/>
              <w:rPr>
                <w:sz w:val="24"/>
                <w:szCs w:val="2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Accumulated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Trademarks (definite-lived)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 years</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15,463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2,490</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12,973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7 years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 years</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was approximately $283,000 for both the quarter ended March 31, 2018 (the “Current Quarter”) and March 31, 2017 (the “Prior Year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related to the Isaac Mizrahi Brand, the Ripka Brand, and the H Halston Brands have been determined to have indefinite useful lives and, accordingly, no amortization has been recorded for these assets.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Net revenues from QVC totaled $6.79 million and $7.23 million for the Current Quarter and Prior Year Quarter, respectively, representing approximately 79% and 86% of the Company’s net revenues, respectively. As of March 31, 2018, and December 31, 2017, the Company had receivables from QVC of $6.86 million and $5.47 million, respectively, representing approximately 74% and 64% of the Company’s total receivables, respectively.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28, 2017, the Company and QVC entered into an amendment to terminate the C Wonder QVC Agreement effective May 1, 2017 and commence a sell-off period. During the sell-off period, QVC remained obligated to pay royalties to the Company through January 31, 2018, and QVC retains exclusive rights with respect to C Wonder branded products for interactive television, excluding certain permitted international entities, through May 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4.  Debt</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 in thousands)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00" w:type="dxa"/>
            <w:vAlign w:val="bottom"/>
            <w:gridSpan w:val="2"/>
            <w:vMerge w:val="continue"/>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Ripka Seller Notes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obligation - CW Seller</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(i)</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as of March 31, 2018 consists of (a) $4.0 million related to the Xcel Term Loan, (b) $1.48 million related to the IM Seller Note, and (c) $100,000 related to the contingent obligation – JR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as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Amended Loan Agreement) requirement for the year ended December 31, 2016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15, 2017, Xcel and BHI entered into a second amendment to the Amended Loan Agreement. Under this amendment, principal payments for the year ending December 31, 2017 were increased by a total of $750,000, principal payments for the year ending December 31, 2021 were decreased by $750,000, the minimum EBITDA (as defined in the Second Amendment to the Amended Loan Agreement) requirement for the year ending December 31, 2017 was changed from $9,000,000 to $7,000,000, and the minimum EBITDA requirements for the years ending December 31, 2018 and 2019 were changed from $9,000,000 to $8,000,000. There were no changes to the total principal balance, interest rate, maturity date, or other terms of the Loan Agreement. Management assessed and determined that this amendment represented a debt modification and, accordingly, no gain or loss was recorded. The current effective interest rate on the Amended Loan Agreement is equal to approximately 6.05%.</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As of March 31, 2018, the aggregate remaining scheduled annual principal payments under the Second Amendment to the Loan Agreement were as follows: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(April 1 through December 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Amendment to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equal to the principal amount outstanding under the Xcel Term Loan on the date of prepayment, multiplied by: (i) two percent (2.00%) if the Xcel Term Loan is prepaid on or after the closing date and on or before the second anniversary of the closing date; or (ii) one percent (1.00%) if the Xcel Term Loan is prepaid after the second anniversary of the closing date and on or before the third anniversary of the closing date.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worth (as defined in the Amended Loan Agreement) of at least $90,000,000 at the end of each fiscal quarter ending on June 30 and December 31 of each fiscal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Amended Loan Agreement) is less than 1.00 to 1.00 and, in which event, liquid assets must be at least $3,000,000;</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shall not exceed (i) $1,700,000 for the year ending December 31, 2018 and (ii) $700,000 for any fiscal year thereafter; and</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(as defined in the Amended Loan Agreement) of not less than $8,000,000 for the fiscal years ending December 31, 2018 and 2019, and not less of $9,000,000 for the following fiscal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March 31,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 For the Current Quarter and Prior Year Quarter, the Company incurred interest expense on its senior term loan debt with BHI of approximately $236,000 and $308,000,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condensed consolidated statements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aggregate remaining annual principal payments under the IM Seller Note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Payment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(April 1 through December 31)</w:t>
            </w:r>
          </w:p>
        </w:tc>
        <w:tc>
          <w:tcPr>
            <w:tcW w:w="3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2019</w:t>
            </w:r>
          </w:p>
        </w:tc>
        <w:tc>
          <w:tcPr>
            <w:tcW w:w="3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940" w:type="dxa"/>
            <w:vAlign w:val="bottom"/>
            <w:vMerge w:val="restart"/>
          </w:tcPr>
          <w:p>
            <w:pPr>
              <w:jc w:val="right"/>
              <w:ind w:right="277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Quarter and the Prior Year Quarter, the Company incurred interest expense of approximately $12,000 and $20,000, respectively under the IM Seller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2018, the remaining discounted balance, non-interest bearing note relating to the acquisition of the Ripka Brand (the “Ripka Seller Notes”) was approximately $553,000. An aggregate $600,000 principal amount of the Ripka Seller Notes is due at maturity (April 1, 2019).</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Quarter and Prior Year Quarter, the Company incurred interest expense of approximately $10,000 and $9,000, respectively, under the Ripka Seller Notes, which consisted solely of amortization of the discount on the Ripka Seller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Ripka Earn-Out is $200,000 and is payable in equal cash payments on each of May 15, 2018 and 2019. Each payment of the remaining $200,000 under the earn-out is contingent upon the Ripka Brand achieving at least $6,000,000 of net royalty income from QVC during each of the 12-month periods ending on March 31, 2018 and 2019. As of March 31, 2018 and December 31, 2017, the remaining expected value (which approximates fair value) of the Ripka Earn-Out of $0.2 million is recorded as long-term debt in the accompanying condensed consolidated balance sheets, of which $0.1 million is presented in the current portion of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as long-term debt in the accompanying condensed consolidated balance sheets as of March 31, 2018 and December 31, 2017, based on the probability of the C Wonder Brand achieving certain net royalty income targets within the earn-out periods and then calculating the present value of the weighted average payment amount. In accordance with Accounting Standards Codification Topic 480, the C Wonder Earn-Out obligation is classified as a liability in the accompanying condensed consolidated balance sheets because of the variable number of shares payable under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December 31, 2017, total contingent obligations were $3.05 million.</w:t>
      </w:r>
    </w:p>
    <w:p>
      <w:pPr>
        <w:spacing w:after="0" w:line="22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non-employee awards in accordance with ASC Topic 505-50, “Equity-Based Payments to Non-Employees”.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30, 2018, the Company granted options to purchase an aggregate of 50,000 shares of common stock to a certain key employee. The exercise price of the options is $5.50 per share, and all options vested immediately on the date of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options granted during the Current Quarter were estimated at the date of grant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9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5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 years</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98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140" w:type="dxa"/>
            <w:vAlign w:val="bottom"/>
          </w:tcPr>
          <w:p>
            <w:pPr>
              <w:spacing w:after="0"/>
              <w:rPr>
                <w:sz w:val="20"/>
                <w:szCs w:val="20"/>
                <w:color w:val="auto"/>
              </w:rPr>
            </w:pPr>
          </w:p>
        </w:tc>
      </w:tr>
      <w:tr>
        <w:trPr>
          <w:trHeight w:val="634"/>
        </w:trPr>
        <w:tc>
          <w:tcPr>
            <w:tcW w:w="1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jc w:val="right"/>
              <w:ind w:right="4370"/>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5"/>
          </w:tcPr>
          <w:p>
            <w:pPr>
              <w:spacing w:after="0"/>
              <w:rPr>
                <w:sz w:val="20"/>
                <w:szCs w:val="20"/>
                <w:color w:val="auto"/>
              </w:rPr>
            </w:pPr>
            <w:r>
              <w:rPr>
                <w:rFonts w:ascii="Arial" w:cs="Arial" w:eastAsia="Arial" w:hAnsi="Arial"/>
                <w:sz w:val="18"/>
                <w:szCs w:val="18"/>
                <w:color w:val="auto"/>
              </w:rPr>
              <w:t>A summary of the Company’s stock options activity for the Current Quarter is as follows: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left="255"/>
              <w:spacing w:after="0"/>
              <w:rPr>
                <w:sz w:val="20"/>
                <w:szCs w:val="20"/>
                <w:color w:val="auto"/>
              </w:rPr>
            </w:pPr>
            <w:r>
              <w:rPr>
                <w:rFonts w:ascii="Arial" w:cs="Arial" w:eastAsia="Arial" w:hAnsi="Arial"/>
                <w:sz w:val="18"/>
                <w:szCs w:val="18"/>
                <w:b w:val="1"/>
                <w:bCs w:val="1"/>
                <w:color w:val="auto"/>
                <w:w w:val="91"/>
              </w:rPr>
              <w:t>Weighted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left="255"/>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tcPr>
          <w:p>
            <w:pPr>
              <w:jc w:val="center"/>
              <w:ind w:left="255"/>
              <w:spacing w:after="0"/>
              <w:rPr>
                <w:sz w:val="20"/>
                <w:szCs w:val="20"/>
                <w:color w:val="auto"/>
              </w:rPr>
            </w:pPr>
            <w:r>
              <w:rPr>
                <w:rFonts w:ascii="Arial" w:cs="Arial" w:eastAsia="Arial" w:hAnsi="Arial"/>
                <w:sz w:val="18"/>
                <w:szCs w:val="18"/>
                <w:b w:val="1"/>
                <w:bCs w:val="1"/>
                <w:color w:val="auto"/>
                <w:w w:val="89"/>
              </w:rPr>
              <w:t>Exercise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700" w:type="dxa"/>
            <w:vAlign w:val="bottom"/>
          </w:tcPr>
          <w:p>
            <w:pPr>
              <w:spacing w:after="0"/>
              <w:rPr>
                <w:sz w:val="20"/>
                <w:szCs w:val="20"/>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tcPr>
          <w:p>
            <w:pPr>
              <w:jc w:val="center"/>
              <w:ind w:left="275"/>
              <w:spacing w:after="0"/>
              <w:rPr>
                <w:sz w:val="20"/>
                <w:szCs w:val="20"/>
                <w:color w:val="auto"/>
              </w:rPr>
            </w:pPr>
            <w:r>
              <w:rPr>
                <w:rFonts w:ascii="Arial" w:cs="Arial" w:eastAsia="Arial" w:hAnsi="Arial"/>
                <w:sz w:val="18"/>
                <w:szCs w:val="18"/>
                <w:b w:val="1"/>
                <w:bCs w:val="1"/>
                <w:color w:val="auto"/>
                <w:w w:val="90"/>
              </w:rPr>
              <w:t>Price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3,468,833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5.38</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5.50</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5.80</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8"/>
                <w:szCs w:val="18"/>
                <w:color w:val="auto"/>
              </w:rPr>
              <w:t>Outstanding at March 31, 2018, and expected to vest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3,498,334</w:t>
            </w:r>
          </w:p>
        </w:tc>
        <w:tc>
          <w:tcPr>
            <w:tcW w:w="160" w:type="dxa"/>
            <w:vAlign w:val="bottom"/>
          </w:tcPr>
          <w:p>
            <w:pPr>
              <w:spacing w:after="0"/>
              <w:rPr>
                <w:sz w:val="22"/>
                <w:szCs w:val="22"/>
                <w:color w:val="auto"/>
              </w:rPr>
            </w:pPr>
          </w:p>
        </w:tc>
        <w:tc>
          <w:tcPr>
            <w:tcW w:w="1220" w:type="dxa"/>
            <w:vAlign w:val="bottom"/>
            <w:gridSpan w:val="2"/>
          </w:tcPr>
          <w:p>
            <w:pPr>
              <w:jc w:val="right"/>
              <w:ind w:right="9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5.38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47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2018</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1,726,422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5.64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$280,000 and $302,000, respectively. Total unrecognized compensation expense related to unvested stock options at March 31, 2018 amounts to approximately $1,576,000 and is expected to be recognized over a weighted average period of 2.06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Quarter:</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2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2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2,613,497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(874,419)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r>
      <w:tr>
        <w:trPr>
          <w:trHeight w:val="230"/>
        </w:trPr>
        <w:tc>
          <w:tcPr>
            <w:tcW w:w="520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(17,166)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r>
      <w:tr>
        <w:trPr>
          <w:trHeight w:val="22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warrants activity for the Current Quarter is as follows: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233"/>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233"/>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4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080" w:type="dxa"/>
            <w:vAlign w:val="bottom"/>
          </w:tcPr>
          <w:p>
            <w:pPr>
              <w:jc w:val="center"/>
              <w:ind w:left="233"/>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Life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46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1080" w:type="dxa"/>
            <w:vAlign w:val="bottom"/>
          </w:tcPr>
          <w:p>
            <w:pPr>
              <w:jc w:val="center"/>
              <w:ind w:left="233"/>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 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2018</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1,891,743</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6.81</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Outstanding and exercisable at March 31,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1,891,743</w:t>
            </w:r>
          </w:p>
        </w:tc>
        <w:tc>
          <w:tcPr>
            <w:tcW w:w="1300" w:type="dxa"/>
            <w:vAlign w:val="bottom"/>
            <w:gridSpan w:val="2"/>
          </w:tcPr>
          <w:p>
            <w:pPr>
              <w:jc w:val="right"/>
              <w:ind w:right="9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6.81</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related to warrants was recognized in the Current Quarter or Prior Year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14, 2018, the company issued an aggregate of 90,209 shares of stock to non-executive employees, which vested immediately.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w w:val="96"/>
              </w:rPr>
              <w:t>A summary of the Company’s restricted stock activity for the Current Quarter is as follows: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Restricted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7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2,143,088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90,209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(201,209)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Outstanding at March 31, 2018</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2,032,088</w:t>
            </w:r>
          </w:p>
        </w:tc>
        <w:tc>
          <w:tcPr>
            <w:tcW w:w="16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approximately $227,000 and $781,000, respectively. Total unrecognized compensation expense related to unvested restricted stock grants at March 31, 2018 amounts to approximately $546,000 and is expected to be recognized over a weighted average period of 1.17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there were 5,344,957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there were 10,735,034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Effect of exercise of warrants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Effect of exercise of stock options</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95"/>
        </w:trPr>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18,333,912</w:t>
            </w:r>
          </w:p>
        </w:tc>
        <w:tc>
          <w:tcPr>
            <w:tcW w:w="160" w:type="dxa"/>
            <w:vAlign w:val="bottom"/>
          </w:tcPr>
          <w:p>
            <w:pPr>
              <w:spacing w:after="0"/>
              <w:rPr>
                <w:sz w:val="16"/>
                <w:szCs w:val="16"/>
                <w:color w:val="auto"/>
              </w:rPr>
            </w:pP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18,674,943</w:t>
            </w:r>
          </w:p>
        </w:tc>
        <w:tc>
          <w:tcPr>
            <w:tcW w:w="20" w:type="dxa"/>
            <w:vAlign w:val="bottom"/>
          </w:tcPr>
          <w:p>
            <w:pPr>
              <w:spacing w:after="0"/>
              <w:rPr>
                <w:sz w:val="16"/>
                <w:szCs w:val="16"/>
                <w:color w:val="auto"/>
              </w:rPr>
            </w:pPr>
          </w:p>
        </w:tc>
      </w:tr>
      <w:tr>
        <w:trPr>
          <w:trHeight w:val="230"/>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364,130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18,760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18,716,802</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18,674,943</w:t>
            </w:r>
          </w:p>
        </w:tc>
        <w:tc>
          <w:tcPr>
            <w:tcW w:w="20" w:type="dxa"/>
            <w:vAlign w:val="bottom"/>
            <w:tcBorders>
              <w:bottom w:val="single" w:sz="8" w:color="auto"/>
            </w:tcBorders>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-608330</wp:posOffset>
            </wp:positionV>
            <wp:extent cx="506857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-325120</wp:posOffset>
            </wp:positionV>
            <wp:extent cx="506857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0" w:space="720"/>
            <w:col w:w="4500"/>
          </w:cols>
          <w:pgMar w:left="240" w:top="908"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net loss presented for the Prior Year Quarter, the Company calculated diluted earnings per share using basic weighted-average shares outstanding for such period, as utilizing diluted shares would be anti-dilutive to loss per share.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diluted EPS excludes the common stock equivalents of the following potentially dilutive securities because their inclusion would be anti-dilutive:</w:t>
      </w:r>
    </w:p>
    <w:p>
      <w:pPr>
        <w:spacing w:after="0" w:line="166"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19"/>
                <w:szCs w:val="19"/>
                <w:color w:val="auto"/>
              </w:rPr>
            </w:pP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4,849,834</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5,195,743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46% and 800%, respectively, resulting in an income tax provision of $426,000 and $456,000,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Current Quarter the federal statutory rate differs from the effective tax rate primarily due to state taxes and recurring permanent differences, which increased the effective tax rate by approximately 11% and 8%, respectively. The effective tax rate was also attributable to the tax impact from the vesting of restricted shares of common stock, which was treated as a discrete item for tax purposes. This item increased the effective rate by 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Prior Year Quarter, the effective tax rate was primarily attributable to the tax impact from the vesting of restricted shares of common stock, which was treated as a discrete item for tax purposes. This item increased the effective rate by 737% for Prior Year Quarter. The effective tax rate was also attributable to recurring permanent differences. Based on the amount of income before income taxes compared to the recurring permanent differences, the effective rate increased by 29% for the Prior Year Quarter.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22, 2017 the SEC staff issued Staff Accounting Bulletin (“SAB”) No. 118, which provides guidance on accounting for the tax effects of the Tax Cuts and Job Act ("TCJA"). The purpose of SAB No. 118 was to address any uncertainty or diversity of view in applying ASC Topic 740, Income Taxes in the reporting period in which the TCJA was enacted. SAB No. 118 addresses situations where the accounting is incomplete for certain income tax effects of the TJCA upon issuance of a company’s financial statements for the reporting period that includes the enactment date. SAB No. 118 allows for a provisional amount to be recorded if it is a reasonable estimate of the impact of the TCJA. Additionally, SAB No. 118 allows for a measurement period to finalize the impacts of the TCJA, not to extend beyond one year from the date of enactment. The Company’s accounting for the certain elements of the TCJA was incomplete as of the period ended December 31, 2017, and remains incomplete as of March 31, 2018. However, the Company was able to make reasonable estimates of the effects and, therefore, recorded provisional estimates for these items at December 31, 2017. There have been no changes to the provisional estimates recorded as of December 31, 2017 during the quarter ended March 31, 2018.</w:t>
      </w:r>
    </w:p>
    <w:p>
      <w:pPr>
        <w:spacing w:after="0" w:line="17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is Chief Executive Officer of HOH. The HIP license agreement provides for royalty payments including guaranteed minimum royalties to be paid to the Company during the initial term that expires on December 31, 2019.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$1.5 million, and $1.75 million for the twelve months ending January 31, 2019, 2020, and 2021,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12, 2016, the Company entered into another license agreement for the H Halston Brand with Dillard’s Inc and affiliates (the “Dillard’s License”, and together with the L&amp;T License, the “DRT Licenses”).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negotiating proposed new arrangements and are operating under those terms as an at-will license as set forth below:</w:t>
      </w:r>
    </w:p>
    <w:p>
      <w:pPr>
        <w:spacing w:after="0" w:line="225" w:lineRule="exact"/>
        <w:rPr>
          <w:sz w:val="20"/>
          <w:szCs w:val="20"/>
          <w:color w:val="auto"/>
        </w:rPr>
      </w:pPr>
    </w:p>
    <w:p>
      <w:pPr>
        <w:jc w:val="both"/>
        <w:ind w:left="640" w:hanging="308"/>
        <w:spacing w:after="0" w:line="269"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HIP Trademark Usage and Royalty Participation Agreement, which has an initial term that expires on December 31, 2020 unless sooner terminated or renewed.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182" w:lineRule="exact"/>
        <w:rPr>
          <w:rFonts w:ascii="Arial" w:cs="Arial" w:eastAsia="Arial" w:hAnsi="Arial"/>
          <w:sz w:val="17"/>
          <w:szCs w:val="17"/>
          <w:color w:val="auto"/>
        </w:rPr>
      </w:pPr>
    </w:p>
    <w:p>
      <w:pPr>
        <w:jc w:val="both"/>
        <w:ind w:left="640" w:hanging="308"/>
        <w:spacing w:after="0" w:line="270"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of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 Once effective, it will terminate and replace the HIP License Agreement.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and HOC entered into an arrangement whereby HOC pays the Company a license fee for branded products related to categories not included in the HOC license and supply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recorded approximately $0.6 million and $0 of revenue from HOC for the Current Quarter and the Prior Year Quarter. The Company had a receivable balance of approximately $0.9 million and $0.8 million due from HOC as of March 31, 2018 and December 31,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recorded $0 and $9,000 of HIP fees (as a reduction to net revenue) for the Current Quarter and the Prior Year quarter, respectively.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2018, the Company had a prepaid balance of $0.2 million to HIP to be applied against future fees due to HIP, which is recorded as a prepaid in non-current assets as of March 31, 2018.</w:t>
      </w:r>
    </w:p>
    <w:p>
      <w:pPr>
        <w:spacing w:after="0" w:line="1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Facility Exit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 The Company recorded a net non-cash charge of approximately $648,000 associated with the recognition of this liability in the second quarter of 2016.</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remaining balance of the exit cost liability related to the former office space was approximately $599,000 as of March 31, 2018, of which $219,000 was recorded in other current liabilities and $380,000 was recorded in other long-term liabilities in the accompanying unaudited condensed consolidated balance sheets. The balance of this liability will be paid out over a period of approximately 3.9 years, through February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related to the exit cost liability for the Current Quarter and Prior Year Quarter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Cash payments,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 to liability (revision to estimated cash flows)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60" w:type="dxa"/>
            <w:vAlign w:val="bottom"/>
            <w:vMerge w:val="restart"/>
          </w:tcPr>
          <w:p>
            <w:pPr>
              <w:jc w:val="right"/>
              <w:ind w:right="10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8" w:name="page19"/>
    <w:bookmarkEnd w:id="18"/>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2017.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Xcel Brands, Inc. (“Xcel,” the “Company,” “we,” “us,” or “our”) is a consumer products company. We are engaged in the design, production, licensing, marketing, and direct-to-consumer sales of branded apparel, footwear, accessories, jewelry, home goods, and other consumer products, and the acquisition of dynamic consumer lifestyle brands. We have developed a Fast-to-Market capability driven by our proprietary integrated technology platform. Currently, our brand portfolio consists of the Isaac Mizrahi, Judith Ripka, H Halston, C Wonder, and the Highline Collective brands. Our in-house designers and marketing executives work with our licensees to help design, promote, and elevate each brand within their respective distribution channels. We license our own brands for promotion and distribution through a ubiquitous-channel retail sales strategy, which includes promotion through interactive television, internet, and traditional brick-and-mortar retail channels.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three primary strategies:</w:t>
      </w:r>
    </w:p>
    <w:p>
      <w:pPr>
        <w:spacing w:after="0" w:line="170" w:lineRule="exact"/>
        <w:rPr>
          <w:sz w:val="20"/>
          <w:szCs w:val="20"/>
          <w:color w:val="auto"/>
        </w:rPr>
      </w:pPr>
    </w:p>
    <w:p>
      <w:pPr>
        <w:ind w:left="640" w:hanging="308"/>
        <w:spacing w:after="0" w:line="25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whereby we design, manage production, merchandise the shows, and manage the on-air talent;</w:t>
      </w:r>
    </w:p>
    <w:p>
      <w:pPr>
        <w:spacing w:after="0" w:line="1" w:lineRule="exact"/>
        <w:rPr>
          <w:rFonts w:ascii="Arial" w:cs="Arial" w:eastAsia="Arial" w:hAnsi="Arial"/>
          <w:sz w:val="18"/>
          <w:szCs w:val="18"/>
          <w:color w:val="auto"/>
        </w:rPr>
      </w:pPr>
    </w:p>
    <w:p>
      <w:pPr>
        <w:ind w:left="640" w:right="20" w:hanging="308"/>
        <w:spacing w:after="0" w:line="265"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 mortar retail channels whereby we provide certain design services and, in certain cases, manage supply and merchandising; and</w:t>
      </w:r>
    </w:p>
    <w:p>
      <w:pPr>
        <w:ind w:left="640" w:hanging="308"/>
        <w:spacing w:after="0" w:line="261"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strategic supply agreements directly with overseas factories for distribution to our retail partners and through our own direct-to-consumer e-commerce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2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Fast-to-Market supply chain and integrated technology platform enables us to design and distribute trend-right product;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operating strategy of licensing brands with significant media presence and driving sales through our ubiquitous-channel retail sales strategy; and</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retail licensees with design and Fast-to-Market vertical production capabilities.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license our brands to third parties, provide certain design, production, marketing and distribution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and cable networks enable us to reach consumers in over 400 million homes worldwide and hundreds of millions of social media followers.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our service-fee based Fast-to-Market production platform provides significant competitive advantages compared with traditional wholesale apparel companies that design, manufacture, and distribute products. We focus on our core competencies of design, integrated technologies, Fast-to-Market production, marketing, and brand development, while outsourcing manufacturing and the related inventory ownership to best-in-class licensees, manufacturers, and retailers.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leveraging our design, production, and marketing capabilities, and distribution 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three months ended March 31, 2018 (the “Current Quarter”) compared with the three months ended March 31, 2017 (the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Current Quarter total revenues increased approximately $0.34 million to $8.77 million from $8.43 million for the Prior Year Quarter. Our net licensing revenue showed an increase of $0.05 million, which was primarily due to higher net revenues from our wholesale and department store business of approximately $0.52 million, primarily driven by an increase in the number of retail stores our brands are sold in since our launch of H Halston and IMNYC at Dillard’s in March and September 2017, respectively, and expanding into more product categories for our Fast-to-Market production platform in our department store business. This increase was partially offset primarily by lower revenues associated with the termination and transition of the C Wonder Brand from QVC, whose sell-off period terminated in January 2018. Additionally, our jewelry wholesale and ecommerce business contributed $0.29 million to the overall increase in net total revenues in the Current Year Quarter. Net revenue for our jewelry wholesale and ecommerce business was $0.11 million and $0 in the Current Quarter and Prior Year Quarter,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costs and expenses decreased approximately $0.63 million to $7.37 million for the Current Quarter from approximately $8.00 million in the Prior Year Quarter. This decrease was primarily attributable to (i) a net decrease in total compensation, including stock-based compensation, of approximately $0.52 million and (ii) a decrease in other design and marketing costs of approximately $0.13 million primarily attributable to lower expenses in our department store business compared to the Prior Year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Interest and finance expense for the Current Quarter decreased by approximately $0.09 million to $0.29 million, compared with $0.38 million in the Prior Year Quarter. This decrease was primarily attributable to lower interest expense of $0.08 million on our term debt due to a lower principal balance.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Current Quarter the federal statutory rate differs from the effective tax rate primarily due to state taxes and recurring permanent differences, which increased the effective tax rate by approximately 11% and 8%, respectively. The effective tax rate was also attributable to the tax impact from the vesting of restricted shares of common stock, which was treated as a discrete item for tax purposes. This item increased the effective rate by 6%.</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effective income tax rate for the Prior Year Quarter was approximately 800% resulting in a $0.46 million income tax provision. During the Prior Year Quarter, the effective tax rate was primarily attributable to the tax impact from the vesting of restricted shares of common stock, which was treated as a discrete item for tax purposes. This item increased the effective rate by 737%. The effective tax rate was also attributable to recurring permanent differences. Based on the amount of income before income taxes compared to the recurring permanent differences, the effective rate increased by 29%.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On December 22, 2017 the SEC staff issued Staff Accounting Bulletin (“SAB”) No. 118, which provides guidance on accounting for the tax effects of the Tax Cuts and Job Act ("TCJA"). The purpose of SAB No. 118 was to address any uncertainty or diversity of view in applying ASC Topic 740, Income Taxes in the reporting period in which the TCJA was enacted. SAB No. 118 addresses situations where the accounting is incomplete for certain income tax effects of the TJCA upon issuance of a company’s financial statements for the reporting period that includes the enactment date. SAB No. 118 allows for a provisional amount to be recorded if it is a reasonable estimate of the impact of the TCJA. Additionally, SAB No. 118 allows for a measurement period to finalize the impacts of the TCJA, not to extend beyond one year from the date of enactment. The Company’s accounting for the certain elements of the TCJA was incomplete as of the period ended December 31, 2017, and remains incomplete as of March 31, 2018. However, the Company was able to make reasonable estimates of the effects and, therefore, recorded provisional estimates for these items at December 31, 2017. There have been no changes to the provisional estimates recorded as of December 31, 2017 during the quarter ended March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$0.50 million for the Current Quarter, compared to a net loss of $0.40 million for the Prior Year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non-GAAP net income of $1.44 million, or $0.08 per diluted share (“non-GAAP diluted EPS”) for the Current Quarter, compared with non-GAAP net income of $1.15 million, or non-GAAP diluted EPS of $0.06 for the Prior Year Quarter. Non-GAAP net income is a non-GAAP unaudited term, which we define as net income (loss), exclusive of stock-based compensation, non-cash interest and finance expense from discounted debt related to acquired assets, and deferred tax provision. Non-GAAP net income and non-GAAP diluted EPS measures do not include the tax effect of the aforementioned adjusting items, due to the nature of these items and the Company’s tax strategy.</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had Adjusted EBITDA of $2.16 million for the Current Quarter, compared with Adjusted EBITDA of $1.94 million for the Prior Year Quarter. Adjusted EBITDA is a non-GAAP unaudited measure, which we define as net income before stock-based compensation, interest and finance expense, income taxes, other state and local franchise taxes, and depreciation and amortization.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following table is a reconciliation of net income (loss)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in thousands)</w:t>
      </w:r>
    </w:p>
    <w:p>
      <w:pPr>
        <w:spacing w:after="0" w:line="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Non-cash interest and finance expense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income tax provision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Non-GAAP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(399)</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-745490</wp:posOffset>
            </wp:positionV>
            <wp:extent cx="57975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-462280</wp:posOffset>
            </wp:positionV>
            <wp:extent cx="57975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-179705</wp:posOffset>
            </wp:positionV>
            <wp:extent cx="579755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diluted earnings (loss) per share (our most directly comparable financial measure presented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non-GAAP diluted EPS: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provision</w:t>
            </w: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18,716,802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19,042,018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(presented in accordance with GAAP) to non-GAAP weighted average diluted shares:</w:t>
      </w:r>
    </w:p>
    <w:p>
      <w:pPr>
        <w:sectPr>
          <w:pgSz w:w="11900" w:h="16838" w:orient="portrait"/>
          <w:cols w:equalWidth="0" w:num="1">
            <w:col w:w="1142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exercising warrants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Non-GAAP weighted average diluted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31750</wp:posOffset>
            </wp:positionV>
            <wp:extent cx="19723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39" w:lineRule="exact"/>
        <w:rPr>
          <w:sz w:val="20"/>
          <w:szCs w:val="20"/>
          <w:color w:val="auto"/>
        </w:rPr>
      </w:pPr>
    </w:p>
    <w:p>
      <w:pPr>
        <w:ind w:left="220"/>
        <w:spacing w:after="0"/>
        <w:tabs>
          <w:tab w:leader="none" w:pos="18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7" w:lineRule="exact"/>
        <w:rPr>
          <w:sz w:val="20"/>
          <w:szCs w:val="20"/>
          <w:color w:val="auto"/>
        </w:rPr>
      </w:pPr>
    </w:p>
    <w:p>
      <w:pPr>
        <w:jc w:val="both"/>
        <w:ind w:left="340"/>
        <w:spacing w:after="0"/>
        <w:tabs>
          <w:tab w:leader="none" w:pos="1940" w:val="left"/>
        </w:tabs>
        <w:rPr>
          <w:sz w:val="20"/>
          <w:szCs w:val="20"/>
          <w:color w:val="auto"/>
        </w:rPr>
      </w:pPr>
      <w:r>
        <w:rPr>
          <w:rFonts w:ascii="Arial" w:cs="Arial" w:eastAsia="Arial" w:hAnsi="Arial"/>
          <w:sz w:val="18"/>
          <w:szCs w:val="18"/>
          <w:color w:val="auto"/>
        </w:rPr>
        <w:t>18,333,912</w:t>
      </w:r>
      <w:r>
        <w:rPr>
          <w:sz w:val="20"/>
          <w:szCs w:val="20"/>
          <w:color w:val="auto"/>
        </w:rPr>
        <w:tab/>
      </w:r>
      <w:r>
        <w:rPr>
          <w:rFonts w:ascii="Arial" w:cs="Arial" w:eastAsia="Arial" w:hAnsi="Arial"/>
          <w:sz w:val="18"/>
          <w:szCs w:val="18"/>
          <w:color w:val="auto"/>
        </w:rPr>
        <w:t>18,674,943</w:t>
      </w:r>
    </w:p>
    <w:p>
      <w:pPr>
        <w:spacing w:after="0" w:line="23" w:lineRule="exact"/>
        <w:rPr>
          <w:sz w:val="20"/>
          <w:szCs w:val="20"/>
          <w:color w:val="auto"/>
        </w:rPr>
      </w:pPr>
    </w:p>
    <w:p>
      <w:pPr>
        <w:jc w:val="both"/>
        <w:ind w:left="560"/>
        <w:spacing w:after="0"/>
        <w:tabs>
          <w:tab w:leader="none" w:pos="2180" w:val="left"/>
        </w:tabs>
        <w:rPr>
          <w:sz w:val="20"/>
          <w:szCs w:val="20"/>
          <w:color w:val="auto"/>
        </w:rPr>
      </w:pPr>
      <w:r>
        <w:rPr>
          <w:rFonts w:ascii="Arial" w:cs="Arial" w:eastAsia="Arial" w:hAnsi="Arial"/>
          <w:sz w:val="18"/>
          <w:szCs w:val="18"/>
          <w:color w:val="auto"/>
        </w:rPr>
        <w:t>364,130</w:t>
      </w:r>
      <w:r>
        <w:rPr>
          <w:sz w:val="20"/>
          <w:szCs w:val="20"/>
          <w:color w:val="auto"/>
        </w:rPr>
        <w:tab/>
      </w:r>
      <w:r>
        <w:rPr>
          <w:rFonts w:ascii="Arial" w:cs="Arial" w:eastAsia="Arial" w:hAnsi="Arial"/>
          <w:sz w:val="18"/>
          <w:szCs w:val="18"/>
          <w:color w:val="auto"/>
        </w:rPr>
        <w:t>364,430</w:t>
      </w:r>
    </w:p>
    <w:p>
      <w:pPr>
        <w:spacing w:after="0" w:line="9" w:lineRule="exact"/>
        <w:rPr>
          <w:sz w:val="20"/>
          <w:szCs w:val="20"/>
          <w:color w:val="auto"/>
        </w:rPr>
      </w:pPr>
    </w:p>
    <w:p>
      <w:pPr>
        <w:jc w:val="both"/>
        <w:ind w:left="640"/>
        <w:spacing w:after="0"/>
        <w:tabs>
          <w:tab w:leader="none" w:pos="2360" w:val="left"/>
        </w:tabs>
        <w:rPr>
          <w:sz w:val="20"/>
          <w:szCs w:val="20"/>
          <w:color w:val="auto"/>
        </w:rPr>
      </w:pPr>
      <w:r>
        <w:rPr>
          <w:rFonts w:ascii="Arial" w:cs="Arial" w:eastAsia="Arial" w:hAnsi="Arial"/>
          <w:sz w:val="18"/>
          <w:szCs w:val="18"/>
          <w:color w:val="auto"/>
        </w:rPr>
        <w:t>18,760</w:t>
      </w:r>
      <w:r>
        <w:rPr>
          <w:sz w:val="20"/>
          <w:szCs w:val="20"/>
          <w:color w:val="auto"/>
        </w:rPr>
        <w:tab/>
      </w:r>
      <w:r>
        <w:rPr>
          <w:rFonts w:ascii="Arial" w:cs="Arial" w:eastAsia="Arial" w:hAnsi="Arial"/>
          <w:sz w:val="18"/>
          <w:szCs w:val="18"/>
          <w:color w:val="auto"/>
        </w:rPr>
        <w:t>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1972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5" w:lineRule="exact"/>
        <w:rPr>
          <w:sz w:val="20"/>
          <w:szCs w:val="20"/>
          <w:color w:val="auto"/>
        </w:rPr>
      </w:pPr>
    </w:p>
    <w:p>
      <w:pPr>
        <w:jc w:val="both"/>
        <w:ind w:left="340"/>
        <w:spacing w:after="0"/>
        <w:tabs>
          <w:tab w:leader="none" w:pos="1940" w:val="left"/>
        </w:tabs>
        <w:rPr>
          <w:sz w:val="20"/>
          <w:szCs w:val="20"/>
          <w:color w:val="auto"/>
        </w:rPr>
      </w:pPr>
      <w:r>
        <w:rPr>
          <w:rFonts w:ascii="Arial" w:cs="Arial" w:eastAsia="Arial" w:hAnsi="Arial"/>
          <w:sz w:val="18"/>
          <w:szCs w:val="18"/>
          <w:color w:val="auto"/>
        </w:rPr>
        <w:t>18,716,802</w:t>
      </w:r>
      <w:r>
        <w:rPr>
          <w:sz w:val="20"/>
          <w:szCs w:val="20"/>
          <w:color w:val="auto"/>
        </w:rPr>
        <w:tab/>
      </w:r>
      <w:r>
        <w:rPr>
          <w:rFonts w:ascii="Arial" w:cs="Arial" w:eastAsia="Arial" w:hAnsi="Arial"/>
          <w:sz w:val="18"/>
          <w:szCs w:val="18"/>
          <w:color w:val="auto"/>
        </w:rPr>
        <w:t>19,042,018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19723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4000"/>
          </w:cols>
          <w:pgMar w:left="240" w:top="908" w:right="239" w:bottom="1440" w:gutter="0" w:footer="0" w:header="0"/>
          <w:type w:val="continuous"/>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(loss)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 in thousands)</w:t>
            </w: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provision</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20" w:type="dxa"/>
            <w:vAlign w:val="bottom"/>
            <w:vMerge w:val="restart"/>
          </w:tcPr>
          <w:p>
            <w:pPr>
              <w:jc w:val="right"/>
              <w:ind w:right="119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March 31, 2018 and December 31, 2017, our cash and cash equivalents were $8.90 million and $10.19 million, respectively.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Restricted cash at March 31, 2018 and December 31, 2017 consisted of (i) $1.11 million of cash deposited with Bank Hapoalim B.M. (“BHI”) as collateral for an irrevocable standby letter of credit associated with the lease of our current corporate office and operating facilities at 1333 Broadway, New York City, and</w:t>
      </w:r>
    </w:p>
    <w:p>
      <w:pPr>
        <w:ind w:firstLine="8"/>
        <w:spacing w:after="0" w:line="261" w:lineRule="auto"/>
        <w:tabs>
          <w:tab w:leader="none" w:pos="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$0.40 million of cash held as a security deposit for the sublease of our former corporate offices at 475 Tenth Avenue, New York City by us to a third-party subtenant.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(including debt service under the Amendment to the Loan Agreement), and capital expenditure needs, for at least the twelve months subsequent to the filing date of this Quarterly Report on Form 10-Q.</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dependent on our licensees for substantially all of our revenues, and there is no assurance that the licensees will perform as projected. Our business operating model does not require significant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 related to the C Wonder Brand (see Note 4, Debt in the Unaudited Condensed Consolidated Financial Statements) is payable in stock or cash, at the Company’s discretion. Payment of this obligation in stock would not affect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working capital (current assets less current liabilities) was $9.48 million and $10.20 million as of March 31, 2018 and December 31, 2017, respectively. Commentary on the components of our cash flows for the Current Quarter as compared with the Prior Year Quarter is set forth below. Working capital for the Current Quarter was impacted by a $1 million investment in capital expenditures for our department store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approximately $1.57 million in the Current Quarter, compared with net cash used in operating activities of approximately $1.01 million in the Prior Year Quarter.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Quarter cash provided by operating activities was primarily attributable to the combination of net income of $0.50 million plus non-cash expenses of approximately $1.40 million and net change in operating assets and liabilities of approximately $(0.33) million. Non-cash net expenses mainly consisted of $0.51 million of stock-based compensation, $0.43 million of deferred income tax provision, $0.41 million of depreciation and amortization, and non-cash interest and other finance costs of $0.05 million. The net change in operating assets and liabilities includes a net increase in accounts receivable of $0.80 million, an increase in prepaid expenses and other assets of $0.06 million, an increase in accounts payable, accrued expenses and other current liabilities of $0.56 million, all primarily due to timing of collections and payments, and a decrease in other liabilities of $0.03 million attributable to accrued rent.</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Prior Year Quarter cash used in operating activities was primarily due to the combination of a net loss of $(0.40) million and the net change in operating assets and liabilities of approximately $(2.60) million, partially offset by non-cash expenses of approximately $1.99 million. Non-cash expenses mainly consisted of $1.08 million of stock-based compensation, $0.39 million of depreciation and amortization, $0.06 million of amortization of debt discount and deferred finance costs, and approximately $0.46 million of deferred income tax provision. The net change in operating assets and liabilities includes an increase in accounts receivable of $1.74 million, primarily attributable to the increase in revenues from the fourth quarter of 2016 to the Prior Year Quarter, and a decrease in accounts payable, accrued expenses and other current liabilities of $0.65 million, largely due to bonus payouts.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for the Current Quarter was approximately $1.04 million, compared with approximately $0.15 million in the Prior Year Quarter. Cash used in investing activities for both the Current Quarter and Prior Year Quarter was primarily attributable to capital expenditures.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Current Quarter was approximately $1.82 million, primarily attributable to payments on our senior term debt obligation of $1.00 million, payment on our IM Seller Note obligation of approximately $0.73 million, and shares repurchased related to vested restricted stock in exchange for withholding taxes of $0.09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Prior Year Quarter was approximately $2.76 million, primarily attributable to payments on our senior term debt obligation of $1.25 million, payment on our IM Seller Note obligation of $0.71 million, and shares repurchased including vested restricted stock in exchange for withholding taxes of $0.80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we entered into an agreement with QVC to terminate our interactive television license agreement for the C Wonder brand, under which QVC remained obligated to pay royalties to us through January 2018, and QVC will retain exclusive rights with respect to C Wonder branded products for interactive television, excluding certain permitted international entities, through May 2018. We have licensed several categories for C Wonder and expect to launch C Wonder in Asia later this year. In addition, we are pursuing new domestic distribution channels and intend to enter into new contractual agreements for the C Wonder brand.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2016, we brought the IMNYC Isaac Mizrahi, H Halston, and Highline Collective brands to Lord &amp; Taylor and Hudson’s Bay department stores through our Fast-to-Market production platform, “virtual vertical”. We launched the H Halston brand at Dillard’s department stores through our Fast-to-Market production platform in March 2017, and launched the IMNYC brand at Dillard’s in September 2017. We also intend to seek new opportunities, including expansion through interactive television, our “virtual vertical” production platform, additional domestic and international licensing arrangements, and acquiring additional brands.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2017, filed with the SEC on March 30, 2018, for a discussion of our critical accounting policies. During the Three months ended March 31, 2018, there were no material changes to these policies.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2018, the end of the period covered by this report. Based on, and as of the date of such evaluation, the Chief Executive Officer and the Chief Financial Officer have concluded that our disclosure controls and procedures were effective as of March 31, 2018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March 31, 2018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2017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three months ended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shares of common stock we repurchased during the quarter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 per</w:t>
            </w: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Part of a Publicly Announced</w:t>
            </w:r>
          </w:p>
        </w:tc>
      </w:tr>
      <w:tr>
        <w:trPr>
          <w:trHeight w:val="234"/>
        </w:trPr>
        <w:tc>
          <w:tcPr>
            <w:tcW w:w="5080" w:type="dxa"/>
            <w:vAlign w:val="bottom"/>
            <w:gridSpan w:val="2"/>
          </w:tcPr>
          <w:p>
            <w:pPr>
              <w:ind w:left="2240"/>
              <w:spacing w:after="0"/>
              <w:rPr>
                <w:sz w:val="20"/>
                <w:szCs w:val="20"/>
                <w:color w:val="auto"/>
              </w:rPr>
            </w:pPr>
            <w:r>
              <w:rPr>
                <w:rFonts w:ascii="Arial" w:cs="Arial" w:eastAsia="Arial" w:hAnsi="Arial"/>
                <w:sz w:val="18"/>
                <w:szCs w:val="18"/>
                <w:b w:val="1"/>
                <w:bCs w:val="1"/>
                <w:color w:val="auto"/>
              </w:rPr>
              <w:t>Period</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30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Plan or Program</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2018 to March 31, 2018 (i)</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stock grants.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ind w:left="13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31.1 Rule 13a-14(a)/15d-14(a) Certification (CEO)</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31.2 Rule 13a-14(a)/15d-14(a) Certification (CFO)</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32.1 Section 1350 Certification (CEO)</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32.2 Section 1350 Certification (CFO)</w:t>
        </w:r>
      </w:hyperlink>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15, 2018</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15, 2018</w:t>
            </w: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2018</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2018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2018</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2018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May 15, 2018</w:t>
            </w:r>
          </w:p>
        </w:tc>
        <w:tc>
          <w:tcPr>
            <w:tcW w:w="3040" w:type="dxa"/>
            <w:vAlign w:val="bottom"/>
          </w:tcPr>
          <w:p>
            <w:pPr>
              <w:ind w:left="24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Roman"/>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2019-12-28T22:00:00Z</dcterms:created>
  <dcterms:modified xsi:type="dcterms:W3CDTF">2019-12-28T22:00:00Z</dcterms:modified>
</cp:coreProperties>
</file>