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x 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March 31,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1260" w:hanging="251"/>
        <w:spacing w:after="0"/>
        <w:tabs>
          <w:tab w:leader="none" w:pos="12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20" w:type="dxa"/>
            <w:vAlign w:val="bottom"/>
            <w:gridSpan w:val="4"/>
          </w:tcPr>
          <w:p>
            <w:pPr>
              <w:jc w:val="center"/>
              <w:ind w:right="3780"/>
              <w:spacing w:after="0"/>
              <w:rPr>
                <w:sz w:val="20"/>
                <w:szCs w:val="20"/>
                <w:color w:val="auto"/>
              </w:rPr>
            </w:pPr>
            <w:r>
              <w:rPr>
                <w:rFonts w:ascii="Arial" w:cs="Arial" w:eastAsia="Arial" w:hAnsi="Arial"/>
                <w:sz w:val="18"/>
                <w:szCs w:val="18"/>
                <w:color w:val="auto"/>
                <w:w w:val="92"/>
              </w:rPr>
              <w:t>For the transition period from ___ to ___</w:t>
            </w:r>
          </w:p>
        </w:tc>
      </w:tr>
      <w:tr>
        <w:trPr>
          <w:trHeight w:val="432"/>
        </w:trPr>
        <w:tc>
          <w:tcPr>
            <w:tcW w:w="2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20" w:type="dxa"/>
            <w:vAlign w:val="bottom"/>
            <w:gridSpan w:val="4"/>
          </w:tcPr>
          <w:p>
            <w:pPr>
              <w:jc w:val="center"/>
              <w:ind w:right="3800"/>
              <w:spacing w:after="0"/>
              <w:rPr>
                <w:sz w:val="20"/>
                <w:szCs w:val="20"/>
                <w:color w:val="auto"/>
              </w:rPr>
            </w:pPr>
            <w:r>
              <w:rPr>
                <w:rFonts w:ascii="Arial" w:cs="Arial" w:eastAsia="Arial" w:hAnsi="Arial"/>
                <w:sz w:val="18"/>
                <w:szCs w:val="18"/>
                <w:i w:val="1"/>
                <w:iCs w:val="1"/>
                <w:color w:val="auto"/>
                <w:w w:val="91"/>
              </w:rPr>
              <w:t>Commission File Number: 001-37527</w:t>
            </w:r>
          </w:p>
        </w:tc>
      </w:tr>
      <w:tr>
        <w:trPr>
          <w:trHeight w:val="418"/>
        </w:trPr>
        <w:tc>
          <w:tcPr>
            <w:tcW w:w="2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20" w:type="dxa"/>
            <w:vAlign w:val="bottom"/>
            <w:gridSpan w:val="4"/>
          </w:tcPr>
          <w:p>
            <w:pPr>
              <w:jc w:val="center"/>
              <w:ind w:right="3800"/>
              <w:spacing w:after="0"/>
              <w:rPr>
                <w:sz w:val="20"/>
                <w:szCs w:val="20"/>
                <w:color w:val="auto"/>
              </w:rPr>
            </w:pPr>
            <w:r>
              <w:rPr>
                <w:rFonts w:ascii="Arial" w:cs="Arial" w:eastAsia="Arial" w:hAnsi="Arial"/>
                <w:sz w:val="18"/>
                <w:szCs w:val="18"/>
                <w:b w:val="1"/>
                <w:bCs w:val="1"/>
                <w:color w:val="auto"/>
                <w:w w:val="98"/>
              </w:rPr>
              <w:t>XCEL BRANDS, INC.</w:t>
            </w:r>
          </w:p>
        </w:tc>
      </w:tr>
      <w:tr>
        <w:trPr>
          <w:trHeight w:val="230"/>
        </w:trPr>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20" w:type="dxa"/>
            <w:vAlign w:val="bottom"/>
            <w:gridSpan w:val="4"/>
          </w:tcPr>
          <w:p>
            <w:pPr>
              <w:jc w:val="center"/>
              <w:ind w:right="378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3800" w:type="dxa"/>
            <w:vAlign w:val="bottom"/>
            <w:gridSpan w:val="2"/>
          </w:tcPr>
          <w:p>
            <w:pPr>
              <w:jc w:val="center"/>
              <w:ind w:left="1390"/>
              <w:spacing w:after="0"/>
              <w:rPr>
                <w:sz w:val="20"/>
                <w:szCs w:val="20"/>
                <w:color w:val="auto"/>
              </w:rPr>
            </w:pPr>
            <w:r>
              <w:rPr>
                <w:rFonts w:ascii="Arial" w:cs="Arial" w:eastAsia="Arial" w:hAnsi="Arial"/>
                <w:sz w:val="18"/>
                <w:szCs w:val="18"/>
                <w:color w:val="auto"/>
                <w:w w:val="89"/>
              </w:rPr>
              <w:t>Delaware</w:t>
            </w:r>
          </w:p>
        </w:tc>
        <w:tc>
          <w:tcPr>
            <w:tcW w:w="7620" w:type="dxa"/>
            <w:vAlign w:val="bottom"/>
            <w:gridSpan w:val="4"/>
          </w:tcPr>
          <w:p>
            <w:pPr>
              <w:jc w:val="center"/>
              <w:ind w:left="2510"/>
              <w:spacing w:after="0"/>
              <w:rPr>
                <w:sz w:val="20"/>
                <w:szCs w:val="20"/>
                <w:color w:val="auto"/>
              </w:rPr>
            </w:pPr>
            <w:r>
              <w:rPr>
                <w:rFonts w:ascii="Arial" w:cs="Arial" w:eastAsia="Arial" w:hAnsi="Arial"/>
                <w:sz w:val="18"/>
                <w:szCs w:val="18"/>
                <w:color w:val="auto"/>
                <w:w w:val="89"/>
              </w:rPr>
              <w:t>76-0307819</w:t>
            </w:r>
          </w:p>
        </w:tc>
      </w:tr>
      <w:tr>
        <w:trPr>
          <w:trHeight w:val="195"/>
        </w:trPr>
        <w:tc>
          <w:tcPr>
            <w:tcW w:w="3800" w:type="dxa"/>
            <w:vAlign w:val="bottom"/>
            <w:tcBorders>
              <w:top w:val="single" w:sz="8" w:color="auto"/>
            </w:tcBorders>
            <w:gridSpan w:val="2"/>
          </w:tcPr>
          <w:p>
            <w:pPr>
              <w:jc w:val="center"/>
              <w:ind w:left="1370"/>
              <w:spacing w:after="0" w:line="195" w:lineRule="exact"/>
              <w:rPr>
                <w:sz w:val="20"/>
                <w:szCs w:val="20"/>
                <w:color w:val="auto"/>
              </w:rPr>
            </w:pPr>
            <w:r>
              <w:rPr>
                <w:rFonts w:ascii="Arial" w:cs="Arial" w:eastAsia="Arial" w:hAnsi="Arial"/>
                <w:sz w:val="18"/>
                <w:szCs w:val="18"/>
                <w:color w:val="auto"/>
                <w:w w:val="91"/>
              </w:rPr>
              <w:t>(State or Other Jurisdiction of</w:t>
            </w:r>
          </w:p>
        </w:tc>
        <w:tc>
          <w:tcPr>
            <w:tcW w:w="146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50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800" w:type="dxa"/>
            <w:vAlign w:val="bottom"/>
            <w:gridSpan w:val="2"/>
          </w:tcPr>
          <w:p>
            <w:pPr>
              <w:jc w:val="center"/>
              <w:ind w:left="1370"/>
              <w:spacing w:after="0"/>
              <w:rPr>
                <w:sz w:val="20"/>
                <w:szCs w:val="20"/>
                <w:color w:val="auto"/>
              </w:rPr>
            </w:pPr>
            <w:r>
              <w:rPr>
                <w:rFonts w:ascii="Arial" w:cs="Arial" w:eastAsia="Arial" w:hAnsi="Arial"/>
                <w:sz w:val="18"/>
                <w:szCs w:val="18"/>
                <w:color w:val="auto"/>
                <w:w w:val="92"/>
              </w:rPr>
              <w:t>Incorporation or Organization)</w:t>
            </w: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2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20" w:type="dxa"/>
            <w:vAlign w:val="bottom"/>
            <w:gridSpan w:val="4"/>
          </w:tcPr>
          <w:p>
            <w:pPr>
              <w:jc w:val="center"/>
              <w:ind w:right="3780"/>
              <w:spacing w:after="0"/>
              <w:rPr>
                <w:sz w:val="20"/>
                <w:szCs w:val="20"/>
                <w:color w:val="auto"/>
              </w:rPr>
            </w:pPr>
            <w:r>
              <w:rPr>
                <w:rFonts w:ascii="Arial" w:cs="Arial" w:eastAsia="Arial" w:hAnsi="Arial"/>
                <w:sz w:val="18"/>
                <w:szCs w:val="18"/>
                <w:color w:val="auto"/>
                <w:w w:val="92"/>
              </w:rPr>
              <w:t>1333 Broadway, 10th Floor, New York, NY 10018</w:t>
            </w:r>
          </w:p>
        </w:tc>
      </w:tr>
      <w:tr>
        <w:trPr>
          <w:trHeight w:val="224"/>
        </w:trPr>
        <w:tc>
          <w:tcPr>
            <w:tcW w:w="23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5340" w:type="dxa"/>
            <w:vAlign w:val="bottom"/>
            <w:tcBorders>
              <w:top w:val="single" w:sz="8" w:color="auto"/>
            </w:tcBorders>
            <w:gridSpan w:val="3"/>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spacing w:after="0"/>
              <w:rPr>
                <w:sz w:val="19"/>
                <w:szCs w:val="19"/>
                <w:color w:val="auto"/>
              </w:rPr>
            </w:pPr>
          </w:p>
        </w:tc>
      </w:tr>
      <w:tr>
        <w:trPr>
          <w:trHeight w:val="404"/>
        </w:trPr>
        <w:tc>
          <w:tcPr>
            <w:tcW w:w="2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0" w:type="dxa"/>
            <w:vAlign w:val="bottom"/>
            <w:gridSpan w:val="2"/>
          </w:tcPr>
          <w:p>
            <w:pPr>
              <w:jc w:val="center"/>
              <w:ind w:left="1150"/>
              <w:spacing w:after="0"/>
              <w:rPr>
                <w:sz w:val="20"/>
                <w:szCs w:val="20"/>
                <w:color w:val="auto"/>
              </w:rPr>
            </w:pPr>
            <w:r>
              <w:rPr>
                <w:rFonts w:ascii="Arial" w:cs="Arial" w:eastAsia="Arial" w:hAnsi="Arial"/>
                <w:sz w:val="18"/>
                <w:szCs w:val="18"/>
                <w:color w:val="auto"/>
                <w:w w:val="90"/>
              </w:rPr>
              <w:t>(347) 727-2474</w:t>
            </w:r>
          </w:p>
        </w:tc>
        <w:tc>
          <w:tcPr>
            <w:tcW w:w="27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620" w:type="dxa"/>
            <w:vAlign w:val="bottom"/>
            <w:gridSpan w:val="4"/>
          </w:tcPr>
          <w:p>
            <w:pPr>
              <w:jc w:val="center"/>
              <w:ind w:right="3800"/>
              <w:spacing w:after="0"/>
              <w:rPr>
                <w:sz w:val="20"/>
                <w:szCs w:val="20"/>
                <w:color w:val="auto"/>
              </w:rPr>
            </w:pPr>
            <w:r>
              <w:rPr>
                <w:rFonts w:ascii="Arial" w:cs="Arial" w:eastAsia="Arial" w:hAnsi="Arial"/>
                <w:sz w:val="18"/>
                <w:szCs w:val="18"/>
                <w:color w:val="auto"/>
                <w:w w:val="90"/>
              </w:rPr>
              <w:t>(Issuer's Telephone Number, Including Area Code)</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980" w:type="dxa"/>
            <w:vAlign w:val="bottom"/>
          </w:tcPr>
          <w:p>
            <w:pPr>
              <w:ind w:left="19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37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980" w:type="dxa"/>
            <w:vAlign w:val="bottom"/>
          </w:tcPr>
          <w:p>
            <w:pPr>
              <w:ind w:left="194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3980" w:type="dxa"/>
            <w:vAlign w:val="bottom"/>
          </w:tcPr>
          <w:p>
            <w:pPr>
              <w:ind w:left="194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5, 2017, there were 18,447,692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0" w:type="dxa"/>
            <w:vAlign w:val="bottom"/>
            <w:gridSpan w:val="8"/>
          </w:tcPr>
          <w:p>
            <w:pPr>
              <w:jc w:val="center"/>
              <w:ind w:right="2340"/>
              <w:spacing w:after="0"/>
              <w:rPr>
                <w:sz w:val="20"/>
                <w:szCs w:val="20"/>
                <w:color w:val="auto"/>
              </w:rPr>
            </w:pPr>
            <w:r>
              <w:rPr>
                <w:rFonts w:ascii="Arial" w:cs="Arial" w:eastAsia="Arial" w:hAnsi="Arial"/>
                <w:sz w:val="18"/>
                <w:szCs w:val="18"/>
                <w:b w:val="1"/>
                <w:bCs w:val="1"/>
                <w:color w:val="auto"/>
                <w:w w:val="98"/>
              </w:rPr>
              <w:t>XCEL BRANDS, INC.</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20" w:type="dxa"/>
            <w:vAlign w:val="bottom"/>
            <w:gridSpan w:val="7"/>
          </w:tcPr>
          <w:p>
            <w:pPr>
              <w:jc w:val="center"/>
              <w:ind w:right="3900"/>
              <w:spacing w:after="0"/>
              <w:rPr>
                <w:sz w:val="20"/>
                <w:szCs w:val="20"/>
                <w:color w:val="auto"/>
              </w:rPr>
            </w:pPr>
            <w:r>
              <w:rPr>
                <w:rFonts w:ascii="Arial" w:cs="Arial" w:eastAsia="Arial" w:hAnsi="Arial"/>
                <w:sz w:val="18"/>
                <w:szCs w:val="18"/>
                <w:color w:val="auto"/>
              </w:rPr>
              <w:t>INDEX</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9"/>
            <w:shd w:val="clear" w:color="auto" w:fill="CCEEFF"/>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PART II – 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Signatures</w:t>
              </w:r>
            </w:hyperlink>
          </w:p>
        </w:tc>
        <w:tc>
          <w:tcPr>
            <w:tcW w:w="8360" w:type="dxa"/>
            <w:vAlign w:val="bottom"/>
            <w:tcBorders>
              <w:bottom w:val="single" w:sz="8" w:color="CCEEFF"/>
            </w:tcBorders>
            <w:gridSpan w:val="1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15"/>
          </w:tcPr>
          <w:p>
            <w:pPr>
              <w:jc w:val="center"/>
              <w:ind w:left="4410"/>
              <w:spacing w:after="0"/>
              <w:rPr>
                <w:sz w:val="20"/>
                <w:szCs w:val="20"/>
                <w:color w:val="auto"/>
              </w:rPr>
            </w:pPr>
            <w:r>
              <w:rPr>
                <w:rFonts w:ascii="Arial" w:cs="Arial" w:eastAsia="Arial" w:hAnsi="Arial"/>
                <w:sz w:val="18"/>
                <w:szCs w:val="18"/>
                <w:color w:val="auto"/>
                <w:w w:val="79"/>
              </w:rPr>
              <w:t>2</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0" w:type="dxa"/>
            <w:vAlign w:val="bottom"/>
          </w:tcPr>
          <w:p>
            <w:pPr>
              <w:jc w:val="center"/>
              <w:ind w:left="1790"/>
              <w:spacing w:after="0"/>
              <w:rPr>
                <w:sz w:val="20"/>
                <w:szCs w:val="20"/>
                <w:color w:val="auto"/>
              </w:rPr>
            </w:pPr>
            <w:r>
              <w:rPr>
                <w:rFonts w:ascii="Arial" w:cs="Arial" w:eastAsia="Arial" w:hAnsi="Arial"/>
                <w:sz w:val="18"/>
                <w:szCs w:val="18"/>
                <w:b w:val="1"/>
                <w:bCs w:val="1"/>
                <w:color w:val="auto"/>
              </w:rPr>
              <w:t>PART 1. FINANCIAL INFORMATION</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Xcel Brands, Inc. and Subsidiaries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87"/>
              </w:rPr>
              <w:t>Unaudited Condensed Consolidated Balance Sheets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2017</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(Note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7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1"/>
              </w:rPr>
              <w:t>Current Assets:</w:t>
            </w: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10,201</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8,706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Trademarks and other intangibles, net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110,955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111,220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7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w w:val="87"/>
              </w:rPr>
              <w:t>Restricted cash</w:t>
            </w: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7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1,514</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128,973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148,767</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151,120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 accrued expenses and other current liabilities</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2,228</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Accrued payroll</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6,193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Deferred tax liabilities, net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7,357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6,901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7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35,000,000 shares authorized at March 31, 2017 and December 31, 2016, and</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18,447,692 and 18,644,982 issued and outstanding at March 31, 2017 and December 31, 2016, respectively</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w w:val="95"/>
              </w:rPr>
              <w:t>Paid-in capital</w:t>
            </w: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97,642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97,354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106,062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106,174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148,767</w:t>
            </w:r>
          </w:p>
        </w:tc>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151,120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3160" w:type="dxa"/>
            <w:vAlign w:val="bottom"/>
            <w:gridSpan w:val="7"/>
          </w:tcPr>
          <w:p>
            <w:pPr>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(Note 1)</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Salaries, benefits and employment taxes</w:t>
            </w: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4,367</w:t>
            </w: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design and marketing costs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Interest expense - term debt</w:t>
            </w: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interest and finance charges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interest and finance expense</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18,674,943</w:t>
            </w:r>
          </w:p>
        </w:tc>
        <w:tc>
          <w:tcPr>
            <w:tcW w:w="2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18,458,748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19"/>
                <w:szCs w:val="19"/>
                <w:color w:val="auto"/>
              </w:rPr>
            </w:pPr>
          </w:p>
        </w:tc>
        <w:tc>
          <w:tcPr>
            <w:tcW w:w="3160" w:type="dxa"/>
            <w:vAlign w:val="bottom"/>
            <w:gridSpan w:val="6"/>
          </w:tcPr>
          <w:p>
            <w:pPr>
              <w:spacing w:after="0"/>
              <w:rPr>
                <w:sz w:val="20"/>
                <w:szCs w:val="20"/>
                <w:color w:val="auto"/>
              </w:rPr>
            </w:pPr>
            <w:r>
              <w:rPr>
                <w:rFonts w:ascii="Arial" w:cs="Arial" w:eastAsia="Arial" w:hAnsi="Arial"/>
                <w:sz w:val="18"/>
                <w:szCs w:val="18"/>
                <w:b w:val="1"/>
                <w:bCs w:val="1"/>
                <w:color w:val="auto"/>
                <w:w w:val="94"/>
              </w:rPr>
              <w:t>For the Three Months Ended March 31,</w:t>
            </w:r>
          </w:p>
        </w:tc>
      </w:tr>
      <w:tr>
        <w:trPr>
          <w:trHeight w:val="234"/>
        </w:trPr>
        <w:tc>
          <w:tcPr>
            <w:tcW w:w="82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8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(Note 1)</w:t>
            </w: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r>
      <w:tr>
        <w:trPr>
          <w:trHeight w:val="21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finance costs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82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1,212</w:t>
            </w:r>
          </w:p>
        </w:tc>
      </w:tr>
      <w:tr>
        <w:trPr>
          <w:trHeight w:val="21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note discount</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8260" w:type="dxa"/>
            <w:vAlign w:val="bottom"/>
          </w:tcPr>
          <w:p>
            <w:pPr>
              <w:ind w:left="340"/>
              <w:spacing w:after="0"/>
              <w:rPr>
                <w:sz w:val="20"/>
                <w:szCs w:val="20"/>
                <w:color w:val="auto"/>
              </w:rPr>
            </w:pPr>
            <w:r>
              <w:rPr>
                <w:rFonts w:ascii="Arial" w:cs="Arial" w:eastAsia="Arial" w:hAnsi="Arial"/>
                <w:sz w:val="18"/>
                <w:szCs w:val="18"/>
                <w:color w:val="auto"/>
              </w:rPr>
              <w:t>Deferred income tax provision (benefit)</w:t>
            </w:r>
          </w:p>
        </w:tc>
        <w:tc>
          <w:tcPr>
            <w:tcW w:w="9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(1,737)</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(1,534)</w:t>
            </w:r>
          </w:p>
        </w:tc>
      </w:tr>
      <w:tr>
        <w:trPr>
          <w:trHeight w:val="21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260" w:type="dxa"/>
            <w:vAlign w:val="bottom"/>
          </w:tcPr>
          <w:p>
            <w:pPr>
              <w:ind w:left="340"/>
              <w:spacing w:after="0"/>
              <w:rPr>
                <w:sz w:val="20"/>
                <w:szCs w:val="20"/>
                <w:color w:val="auto"/>
              </w:rPr>
            </w:pPr>
            <w:r>
              <w:rPr>
                <w:rFonts w:ascii="Arial" w:cs="Arial" w:eastAsia="Arial" w:hAnsi="Arial"/>
                <w:sz w:val="18"/>
                <w:szCs w:val="18"/>
                <w:color w:val="auto"/>
              </w:rPr>
              <w:t>Accounts payable, accrued expenses and other current liabilities</w:t>
            </w:r>
          </w:p>
        </w:tc>
        <w:tc>
          <w:tcPr>
            <w:tcW w:w="9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(1,110)</w:t>
            </w:r>
          </w:p>
        </w:tc>
      </w:tr>
      <w:tr>
        <w:trPr>
          <w:trHeight w:val="216"/>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826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297</w:t>
            </w:r>
          </w:p>
        </w:tc>
      </w:tr>
      <w:tr>
        <w:trPr>
          <w:trHeight w:val="210"/>
        </w:trPr>
        <w:tc>
          <w:tcPr>
            <w:tcW w:w="8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(1,012</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Cost to acquire intangible assets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(18)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(135)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-116205</wp:posOffset>
            </wp:positionV>
            <wp:extent cx="892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(246)</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-123190</wp:posOffset>
            </wp:positionV>
            <wp:extent cx="892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3">
            <w:col w:w="8620" w:space="720"/>
            <w:col w:w="920" w:space="720"/>
            <w:col w:w="4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 and warrants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Shares repurchased including vested restricted stock in exchange for</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withholding taxes</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Payment of deferred finance costs</w:t>
            </w: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long-term debt</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Payment of earn-out obligations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15,636</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11,710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to amounts on consolidated balance sheets:</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10,201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cash, cash equivalents, and restricted cash</w:t>
            </w: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11,710</w:t>
            </w:r>
          </w:p>
        </w:tc>
        <w:tc>
          <w:tcPr>
            <w:tcW w:w="24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during the period for interest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4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370</w:t>
            </w:r>
          </w:p>
        </w:tc>
        <w:tc>
          <w:tcPr>
            <w:tcW w:w="24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condensed balance sheet as of December 31, 2016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Rule 10-01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2016, as filed with the SEC on March 24, 2017.</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a media and brand management company engaged in the design, production, licensing, marketing, and direct to consumer sales of branded apparel, footwear, accessories, jewelry, home goods, and other consumer products, and the acquisition of dynamic consumer lifestyle brands. Currently, the Company’s brand portfolio consists of the Isaac Mizrahi brand (the "Isaac Mizrahi Brand"), the Judith Ripka brand (the “Ripka Brand”), the H by Halston and H Halston brands (collectively, the “H Halston Brands”), the C Wonder brand (the “C Wonder Brand”), and the Highline Collective brand.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licenses its brands to third parties, provides certain design, production, and marketing services, and generates licensing, design, and service fee revenues through contractual arrangements and other agreements with manufacturers and retailers. These activities include licensing its own brands for promotion and distribution through a ubiquitous retail sales strategy, which encompasses distribution through interactive television, the internet, and traditional brick-and-mortar retail channels.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reclassifications have been made to the prior period unaudited condensed consolidated financial statements to conform to the current period presentation, including:</w:t>
      </w:r>
    </w:p>
    <w:p>
      <w:pPr>
        <w:spacing w:after="0" w:line="170" w:lineRule="exact"/>
        <w:rPr>
          <w:sz w:val="20"/>
          <w:szCs w:val="20"/>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Presentation of e-commerce gross margin within total net revenues on the condensed consolidated statements of operations. Of the $70,000 of costs previously presented as cost of goods sold for the three months ended March 31, 2016, $31,000 has been reclassified to net revenues, and $39,000 has been reclassified to other selling, general and administrative expenses.</w:t>
      </w: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Presentation of restricted cash on the condensed consolidated statements of cash flows, as a result of the early adoption of Accounting Standards Update No. 2016-18 in the fourth quarter of 2016.</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2.</w:t>
            </w:r>
          </w:p>
        </w:tc>
        <w:tc>
          <w:tcPr>
            <w:tcW w:w="5100" w:type="dxa"/>
            <w:vAlign w:val="bottom"/>
          </w:tcPr>
          <w:p>
            <w:pPr>
              <w:ind w:left="140"/>
              <w:spacing w:after="0"/>
              <w:rPr>
                <w:sz w:val="20"/>
                <w:szCs w:val="20"/>
                <w:color w:val="auto"/>
              </w:rPr>
            </w:pPr>
            <w:r>
              <w:rPr>
                <w:rFonts w:ascii="Arial" w:cs="Arial" w:eastAsia="Arial" w:hAnsi="Arial"/>
                <w:sz w:val="18"/>
                <w:szCs w:val="18"/>
                <w:b w:val="1"/>
                <w:bCs w:val="1"/>
                <w:color w:val="auto"/>
              </w:rPr>
              <w:t>Trademarks, Goodwill and Other Intangibles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2"/>
              </w:rPr>
              <w:t>March 31, 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96,694</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15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4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10 years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114,909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110,955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December 31, 2016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15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4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Non-compete agreement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10 years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for intangible assets was $283,000 and $282,000 for the quarter ended March 31, 2017 (the “Current Quarter”) and the quarter ended March 31, 2016 (the “Prior Year Quarter”),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trademarks related to the Isaac Mizrahi Brand, the Ripka Brand, and the H Halston Brands have been determined to have indefinite useful lives, and accordingly no amortization has been recorded for these assets.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$12.371 million of goodwill related to the 2011 acquisition of the Isaac Mizrahi business. There was no change in goodwill during the Current Quarter.</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Company’s agreements with QVC, QVC is required to pay the Company fees based primarily on a percentage of its net sales of Isaac Mizrahi, Ripka, H Halston, and C Wonder branded merchandise. QVC royalty revenue represents a significant portion of the Company’s total revenues. Revenues from QVC totaled $7.30 million and $7.31 million for the Current Quarter and Prior Year Quarter, respectively, representing approximately 87% and 87% of the Company’s total revenues, respectively. As of March 31, 2017 and December 31, 2016, the Company had receivables from QVC of $7.25 million and $5.89 million, respectively, representing approximately 83% and 85% of the Company’s total receivables,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63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Debt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80" w:type="dxa"/>
            <w:vAlign w:val="bottom"/>
            <w:gridSpan w:val="3"/>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400" w:type="dxa"/>
            <w:vAlign w:val="bottom"/>
          </w:tcPr>
          <w:p>
            <w:pPr>
              <w:spacing w:after="0"/>
              <w:rPr>
                <w:sz w:val="20"/>
                <w:szCs w:val="20"/>
                <w:color w:val="auto"/>
              </w:rPr>
            </w:pPr>
          </w:p>
        </w:tc>
        <w:tc>
          <w:tcPr>
            <w:tcW w:w="6380" w:type="dxa"/>
            <w:vAlign w:val="bottom"/>
            <w:gridSpan w:val="2"/>
          </w:tcPr>
          <w:p>
            <w:pPr>
              <w:ind w:left="460"/>
              <w:spacing w:after="0"/>
              <w:rPr>
                <w:sz w:val="20"/>
                <w:szCs w:val="20"/>
                <w:color w:val="auto"/>
              </w:rPr>
            </w:pPr>
            <w:r>
              <w:rPr>
                <w:rFonts w:ascii="Arial" w:cs="Arial" w:eastAsia="Arial" w:hAnsi="Arial"/>
                <w:sz w:val="18"/>
                <w:szCs w:val="18"/>
                <w:color w:val="auto"/>
              </w:rPr>
              <w:t>($ in thousands)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1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Unamortized deferred finance costs related to term loan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IM Seller Note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Ripka Seller Notes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obligation - CW Seller</w:t>
            </w: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80" w:type="dxa"/>
            <w:vAlign w:val="bottom"/>
            <w:tcBorders>
              <w:bottom w:val="single" w:sz="8" w:color="CCEEFF"/>
            </w:tcBorders>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31,922</w:t>
            </w:r>
          </w:p>
        </w:tc>
        <w:tc>
          <w:tcPr>
            <w:tcW w:w="80" w:type="dxa"/>
            <w:vAlign w:val="bottom"/>
            <w:shd w:val="clear" w:color="auto" w:fill="CCEEFF"/>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(i)</w:t>
            </w: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80" w:type="dxa"/>
            <w:vAlign w:val="bottom"/>
            <w:tcBorders>
              <w:bottom w:val="single" w:sz="8" w:color="CCEEFF"/>
            </w:tcBorders>
          </w:tcPr>
          <w:p>
            <w:pPr>
              <w:spacing w:after="0"/>
              <w:rPr>
                <w:sz w:val="19"/>
                <w:szCs w:val="19"/>
                <w:color w:val="auto"/>
              </w:rPr>
            </w:pP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portion of long-term debt as of March 31, 2017 consists of (a) $4.750 million related to the Xcel Term Loan and (b) $1.443 million related to the IM Seller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Xcel Term Loan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Bank Hapoalim B.M. (“BHI”), as agent (the “Agent”), and the financial institutions party thereto as lenders (the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 Management assessed and determined that this amendment represented a debt modification and, accordingly, no gain or loss was recorded.</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24, 2017, Xcel and BHI amended the terms of the Loan Agreement (the “Amended Loan Agreement”). Under this amendment, principal payments for the year ending December 31, 2017 were increased by a total of $1,000,000, principal payments for the year ending December 31, 2021 were decreased by $1,000,000, and the minimum EBITDA (as defined in the Amended Loan Agreement) requirement for the year ended December 31, 2016 was eliminated. There were no changes to the total principal balance, interest rate, maturity date, or other terms of the Loan Agreement. Management assessed and determined that this amendment represented a debt modification and, accordingly, no gain or loss was recorded.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Xcel Term Loan matures on January 1, 2021. Principal on the Xcel Term Loan is payable in quarterly installments on each of January 1, April 1, July 1 and October 1. The aggregate remaining annual principal payments under the Amended Loan Agreement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gridSpan w:val="2"/>
          </w:tcPr>
          <w:p>
            <w:pPr>
              <w:ind w:left="1720"/>
              <w:spacing w:after="0"/>
              <w:rPr>
                <w:sz w:val="20"/>
                <w:szCs w:val="20"/>
                <w:color w:val="auto"/>
              </w:rPr>
            </w:pPr>
            <w:r>
              <w:rPr>
                <w:rFonts w:ascii="Arial" w:cs="Arial" w:eastAsia="Arial" w:hAnsi="Arial"/>
                <w:sz w:val="18"/>
                <w:szCs w:val="18"/>
                <w:color w:val="auto"/>
              </w:rPr>
              <w:t>($ in thousands)</w:t>
            </w:r>
          </w:p>
        </w:tc>
        <w:tc>
          <w:tcPr>
            <w:tcW w:w="3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Principal</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gridSpan w:val="2"/>
          </w:tcPr>
          <w:p>
            <w:pPr>
              <w:ind w:left="1720"/>
              <w:spacing w:after="0"/>
              <w:rPr>
                <w:sz w:val="20"/>
                <w:szCs w:val="20"/>
                <w:color w:val="auto"/>
              </w:rPr>
            </w:pPr>
            <w:r>
              <w:rPr>
                <w:rFonts w:ascii="Arial" w:cs="Arial" w:eastAsia="Arial" w:hAnsi="Arial"/>
                <w:sz w:val="18"/>
                <w:szCs w:val="18"/>
                <w:b w:val="1"/>
                <w:bCs w:val="1"/>
                <w:color w:val="auto"/>
              </w:rPr>
              <w:t>Year Ending December 31,</w:t>
            </w:r>
          </w:p>
        </w:tc>
        <w:tc>
          <w:tcPr>
            <w:tcW w:w="3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Payment</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(April 1 through December 31)</w:t>
            </w:r>
          </w:p>
        </w:tc>
        <w:tc>
          <w:tcPr>
            <w:tcW w:w="3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2018</w:t>
            </w:r>
          </w:p>
        </w:tc>
        <w:tc>
          <w:tcPr>
            <w:tcW w:w="3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2020</w:t>
            </w:r>
          </w:p>
        </w:tc>
        <w:tc>
          <w:tcPr>
            <w:tcW w:w="3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300" w:type="dxa"/>
            <w:vAlign w:val="bottom"/>
          </w:tcPr>
          <w:p>
            <w:pPr>
              <w:ind w:left="320"/>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60" w:type="dxa"/>
            <w:vAlign w:val="bottom"/>
            <w:vMerge w:val="restart"/>
          </w:tcPr>
          <w:p>
            <w:pPr>
              <w:jc w:val="right"/>
              <w:ind w:right="28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Under the Amended Loan Agreement, the Company has the right to prepay the Xcel Term Loan, provided that any prepayment of less than all of the outstanding balance shall be applied to the remaining amounts due in inverse order of maturity. If the Xcel Term Loan is prepaid on or prior to the third anniversary of the closing date (including as a result of an event of default), the Company shall pay an early termination fee equal to the principal amount outstanding under the Term Loan on the date of prepayment, multiplied by: (i) two percent (2.00%) if the Xcel Term Loan is prepaid on or after the closing date and on or before the second anniversary of the closing date; or (ii) one percent (1.00%) if the Xcel Term Loan is prepaid after the second anniversary of the closing date and on or before the third anniversary of the closing date.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Xcel’s obligations under the Amended Loan Agreement are guaranteed by the Guarantors and secured by all of the assets of Xcel and the Guarantors (as well as any subsidiary formed or acquired that becomes a credit party to the Amended Loan Agreement) and, subject to certain limitations contained in the Amended Loan Agreement, equity interests of the Guarantors (as well as any subsidiary formed or acquired that becomes a credit party to the Amended Loan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Amended Loan Agreement):</w:t>
      </w:r>
    </w:p>
    <w:p>
      <w:pPr>
        <w:spacing w:after="0" w:line="181"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worth (as defined in the Amended Loan Agreement) of at least $90,000,000 at the end of each fiscal quarter ending on June 30 and December 31 of each fiscal year;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Amended Loan Agreement) is less than 1.00 to 1.00 and, in which event, liquid assets must be at least $3,000,000;</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fixed charge ratio of at least 1.20 to 1.00 for each fiscal quarter ended June 30 and December 31 for the twelve fiscal month period ending on such date;</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 expenditures shall not exceed (i) $2,650,000 for the year ending December 31, 2016 and (ii) $700,000 for any fiscal year thereafter;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(as defined in the Amended Loan Agreement) of $9,000,000 for each fiscal year commencing January 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applicable covenants as of March 31,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on the Xcel Term Loan accrues at a fixed rate of 5.1% per annum and is payable on each day on which the scheduled principal payments are required to be made. For the Current Quarter and Prior Year Quarter, the Company incurred interest expense on its senior term loan debt with BHI of $308,000 and $310,000,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 Seller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was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was amortized over the term of the IM Seller Note and recorded as other interest and finance expense on the Company’s condensed consolidated statements of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On December 24, 2013, the IM Seller Note was amended to (1) revise the maturity date to September 30, 2016, (2) revise the date to which the maturity date may be extended to September 30, 2018, (3) provide the Company with a prepayment right with its common stock, subject to remitting in cash certain required cash payments and a minimum common stock price of $4.50 per share, and (4) require interim scheduled payments.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2016, the IM Seller Note was further amended and restated to (1) revise the maturity date to March 31, 2019, (2) require six semi-annual principal and interest installment payments of $750,000,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The aggregate remaining annual principal payments under the IM Seller Note are as follows: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8740" w:type="dxa"/>
            <w:vAlign w:val="bottom"/>
            <w:gridSpan w:val="3"/>
          </w:tcPr>
          <w:p>
            <w:pPr>
              <w:ind w:left="1720"/>
              <w:spacing w:after="0"/>
              <w:rPr>
                <w:sz w:val="20"/>
                <w:szCs w:val="20"/>
                <w:color w:val="auto"/>
              </w:rPr>
            </w:pPr>
            <w:r>
              <w:rPr>
                <w:rFonts w:ascii="Arial" w:cs="Arial" w:eastAsia="Arial" w:hAnsi="Arial"/>
                <w:sz w:val="18"/>
                <w:szCs w:val="18"/>
                <w:color w:val="auto"/>
              </w:rPr>
              <w:t>($ in thousands)</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Amount of</w:t>
            </w:r>
          </w:p>
        </w:tc>
      </w:tr>
      <w:tr>
        <w:trPr>
          <w:trHeight w:val="230"/>
        </w:trPr>
        <w:tc>
          <w:tcPr>
            <w:tcW w:w="17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8740" w:type="dxa"/>
            <w:vAlign w:val="bottom"/>
            <w:gridSpan w:val="3"/>
          </w:tcPr>
          <w:p>
            <w:pPr>
              <w:ind w:left="1720"/>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1720" w:type="dxa"/>
            <w:vAlign w:val="bottom"/>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(April 1 through December 31)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1,459</w:t>
            </w: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40" w:type="dxa"/>
            <w:vAlign w:val="bottom"/>
            <w:shd w:val="clear" w:color="auto" w:fill="CCEEFF"/>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70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Current Quarter, the Company incurred interest expense of $20,000. For the Prior Year Quarter, the Company incurred interest expense of $72,000, which consisted solely of amortization of the discount on the IM Seller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3, 2014, as part of the consideration for the purchase of the Ripka Brand, JR Licensing issued to Ripka promissory notes in the aggregate principal amount of $6,000,000 (the “Ripka Seller Notes”). The Ripka Seller Notes have a term of five years from the date of issuance, are payable in cash or shares of the Company’s common stock valued at the time of payment, at the Company’s option, and with a floor price of $7.00 per share if paid in stock, with Ripka having certain rights to extend the maturity of the Ripka Seller Notes in the event the Company’s stock is trading at a price of less than $7.00 per share.</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determined that the Company’s expected borrowing rate was estimated to be 7.33% per annum and, therefore, discounted the Ripka Seller Notes by $1,835,000 using a 7.33% imputed annual interest rate, resulting in an initial value of $4,165,000. The imputed interest amount is being amortized over the term of the Ripka Seller Notes and recorded as other interest and finance expense on the Company’s condensed consolidated statements of operations.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the Company satisfied an aggregate $5,400,000 principal amount of the Ripka Seller Notes by issuing an aggregate 600,001 shares of the Company’s common stock to the respective holders of the Ripka Seller Notes. An aggregate $600,000 principal amount of the Ripka Seller Notes is due at maturity (March 31, 2019).</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both the Current Quarter and Prior Year Quarter, the Company incurred interest expense of approximately $9,000, which consisted solely of amortization of the discount on the Ripka Seller Notes.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purchase of the Ripka Brand, the Company agreed to pay Ripka additional consideration of up to $5 million in aggregate (the “Ripka Earn-Out”), payable in cash or shares of the Company’s common stock based on the fair market value of the Company’s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does not include any revenues generated by interactive television sales or any revenue accelerated as a result of termination of any license agreement. The Ripka Earn-Out of $3.78 million was recorded based on the difference between the fair value of the acquired assets of the Ripka Brand at the acquisition date and the total consideration paid.</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21, 2016, the Company entered into an agreement with the sellers of the Ripka Brand which amended the terms of the Ripka Earn-Out, such that the maximum amount of earn-out consideration was reduced to $375,000, of which $175,000 was payable in cash upon execution of the amendment, and $100,000 is payable in cash on each of May 15, 2018 and 2019. The payment of the remaining future payments of $200,000 under the earn-out is contingent upon the Ripka Brand achieving at least $6,000,000 of net royalty income from QVC during each of the 12-month periods ending on March 31, 2018 and 2019. The reduction of the Ripka Earn-Out liability from its previous carrying value of $3.78 million to $0.38 million resulted in a gain on reduction of contingent obligations in the fourth quarter of the fiscal year ended December 31, 2016 of approximately $3.41 million. The remaining expected value (which approximates fair value) of the Ripka Earn-Out of $0.20 million is recorded as long-term debt in the accompanying condensed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 – CW Seller (C Wonder Earn-Out)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in the accompanying condensed consolidated balance sheets based on the probability of the C Wonder Brand achieving certain net royalty income targets within the earn-out periods and then calculating the present value of the weighted average payment amount. In accordance with Accounting Standards Codification Topic 480, the C Wonder Earn-Out obligation is classified as a liability in the accompanying condensed consolidated balance sheets because of the variable number of shares payable under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and December 31, 2016, total contingent obligations were $3.05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expire at various times – either five, seven, or ten years from the date of grant, depending on the particular grant.</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1, 2017, the Company granted options to purchase an aggregate of 150,000 shares of common stock to a certain key employee. The exercise price of the options is $5.50 per share, and one-third of the options will vest on each of January 1, 2018, January 1, 2019, and January 1, 2020.</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24, 2017, the Company granted options to purchase an aggregate of 500,000 shares of common stock to a certain executive. The exercise price of the options is $5.00 per share, and one-fifth of the options will vest on each of January 1, 2018, January 1, 2019, January 1, 2020, January 1, 2021, and January 1, 2022.</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2017, the Company granted options to purchase an aggregate of 150,000 shares of common stock to non-management directors. The exercise price of the options is $2.70 per share, and 50% of the options will vest on each of April 1, 2018 and March 31,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 fair values of the options granted during the Current Quarter were estimated at the date of grant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33.80 – 35.20%</w:t>
            </w:r>
          </w:p>
        </w:tc>
      </w:tr>
      <w:tr>
        <w:trPr>
          <w:trHeight w:val="216"/>
        </w:trPr>
        <w:tc>
          <w:tcPr>
            <w:tcW w:w="14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4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3.25 – 5.42 years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4"/>
              </w:rPr>
              <w:t>1.55 – 2.02%</w:t>
            </w:r>
          </w:p>
        </w:tc>
      </w:tr>
      <w:tr>
        <w:trPr>
          <w:trHeight w:val="418"/>
        </w:trPr>
        <w:tc>
          <w:tcPr>
            <w:tcW w:w="6760" w:type="dxa"/>
            <w:vAlign w:val="bottom"/>
            <w:gridSpan w:val="4"/>
          </w:tcPr>
          <w:p>
            <w:pPr>
              <w:jc w:val="right"/>
              <w:ind w:right="300"/>
              <w:spacing w:after="0"/>
              <w:rPr>
                <w:sz w:val="20"/>
                <w:szCs w:val="20"/>
                <w:color w:val="auto"/>
              </w:rPr>
            </w:pPr>
            <w:r>
              <w:rPr>
                <w:rFonts w:ascii="Arial" w:cs="Arial" w:eastAsia="Arial" w:hAnsi="Arial"/>
                <w:sz w:val="18"/>
                <w:szCs w:val="18"/>
                <w:color w:val="auto"/>
                <w:w w:val="91"/>
              </w:rPr>
              <w:t>A summary of the Company’s stock options activity for the Current Quarter is as follows: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4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Number of</w:t>
            </w: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(in Years)</w:t>
            </w:r>
          </w:p>
        </w:tc>
        <w:tc>
          <w:tcPr>
            <w:tcW w:w="1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1440" w:type="dxa"/>
            <w:vAlign w:val="bottom"/>
          </w:tcPr>
          <w:p>
            <w:pPr>
              <w:spacing w:after="0"/>
              <w:rPr>
                <w:sz w:val="22"/>
                <w:szCs w:val="22"/>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8"/>
              </w:rPr>
              <w:t>Outstanding at March 31, 2017, and expected to vest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3,229,000</w:t>
            </w:r>
          </w:p>
        </w:tc>
        <w:tc>
          <w:tcPr>
            <w:tcW w:w="16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197"/>
        </w:trPr>
        <w:tc>
          <w:tcPr>
            <w:tcW w:w="1440" w:type="dxa"/>
            <w:vAlign w:val="bottom"/>
          </w:tcPr>
          <w:p>
            <w:pPr>
              <w:spacing w:after="0"/>
              <w:rPr>
                <w:sz w:val="17"/>
                <w:szCs w:val="17"/>
                <w:color w:val="auto"/>
              </w:rPr>
            </w:pPr>
          </w:p>
        </w:tc>
        <w:tc>
          <w:tcPr>
            <w:tcW w:w="42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March 31, 2017</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811,670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4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$302,000 and $18,000, respectively. Total unrecognized compensation expense related to unvested stock options at March 31, 2017 amounts to $3,040,000 and is expected to be recognized over a weighted average period of 2.77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Quarter:</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0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Number of</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60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Options</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2,294,667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(670,337)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r>
      <w:tr>
        <w:trPr>
          <w:trHeight w:val="230"/>
        </w:trPr>
        <w:tc>
          <w:tcPr>
            <w:tcW w:w="6000" w:type="dxa"/>
            <w:vAlign w:val="bottom"/>
          </w:tcPr>
          <w:p>
            <w:pPr>
              <w:ind w:left="160"/>
              <w:spacing w:after="0"/>
              <w:rPr>
                <w:sz w:val="20"/>
                <w:szCs w:val="20"/>
                <w:color w:val="auto"/>
              </w:rPr>
            </w:pPr>
            <w:r>
              <w:rPr>
                <w:rFonts w:ascii="Arial" w:cs="Arial" w:eastAsia="Arial" w:hAnsi="Arial"/>
                <w:sz w:val="18"/>
                <w:szCs w:val="18"/>
                <w:color w:val="auto"/>
              </w:rPr>
              <w:t>Forfeited or Canceled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223"/>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2,417,330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under the Plan expire at various times – either five, seven, or ten years from the date of grant, depending on the particular grant.</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2017 and December 31, 2016, there were 1,966,743 warrants outstanding and exercisable, with a weighted average exercise price of $6.76 per share, and an aggregate intrinsic value of zero. The weighted average remaining contractual life of the warrants outstanding and exercisable at March 31, 2017 and December 31, 2016 was 2.56 and 2.81 years,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warrants to purchase shares of common stock granted, canceled, exercised, or expired/forfeited during the Current Quarter. No compensation expense was recognized in the Current Quarter or Prior Year Quarter related to warrants.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31, 2017, the Company issued 50,000 shares of restricted stock to a consulting firm whose controlling shareholder is a director of the Company. Of the 50,000 shares of restricted stock granted, 25,000 shares vested immediately and 25,000 shares shall vest on January 31, 2018. See Note 8, Related Party Transactions, for additional information.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2017, the Company issued to non-management directors an aggregate of 48,000 shares of restricted stock. The shares of restricted stock will vest evenly over two years, whereby 50% shall vest on March 31, 2018 and 50% shall vest on March 31,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each executive and director grantee may extend the first anniversary of all or a portion of the restricted stock by six months and, thereafter one or more times may further extend such date with respect to all or a portion of the restricted stock until the next following date six months or twelve months hence, by providing written notice of such election to extend such date with respect to all or a portion of the restricted stock prior to such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 summary of the Company’s restricted stock activity for the Current Quarter is as follows: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7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7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Restricted</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17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17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3,171,685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98,000</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(683,251)</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40" w:type="dxa"/>
            <w:vAlign w:val="bottom"/>
            <w:shd w:val="clear" w:color="auto" w:fill="CCEEFF"/>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Outstanding at March 31, 2017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2,585,684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Compensation expense related to restricted stock grants for the Current Quarter and Prior Year Quarter was $781,000 and $1,194,000, respectively. Total unrecognized compensation expense related to unvested restricted stock grants at March 31, 2017 amounts to $1,530,000 and is expected to be recognized over a weighted average period of 1.68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2017, there were 5,532,131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2017, there were 10,727,874 shares of common stock reserved for issuance pursuant to unexercised warrants and stock options, or available for issuance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Basic earnings per share (“EPS”) is computed by dividing net income (loss) available to common stockholders by the weighted average number of common shares outstanding during the period. Weighted-average basic shares outstanding for the three months ended March 31, 2017 and 2016 were 18,674,943 and 18,458,748,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EPS gives effect to all potentially dilutive common shares outstanding during the period, including stock options and warrants, using the treasury stock method. Diluted EPS excludes all potentially dilutive shares of common stock if their effect is anti-dilutive. As a result of the net loss presented for the Current Quarter and Prior Year Quarter, the Company calculated diluted earnings per share using basic weighted-average shares outstanding for those periods, as utilizing diluted shares would be anti-dilutive to loss per share.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computation of diluted EPS excludes the common stock equivalents of the following potentially dilutive securities because their inclusion would be anti-dilutive:</w:t>
      </w:r>
    </w:p>
    <w:p>
      <w:pPr>
        <w:spacing w:after="0" w:line="180"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500" w:type="dxa"/>
            <w:vAlign w:val="bottom"/>
            <w:gridSpan w:val="4"/>
          </w:tcPr>
          <w:p>
            <w:pPr>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49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EFF"/>
            </w:tcBorders>
          </w:tcPr>
          <w:p>
            <w:pPr>
              <w:spacing w:after="0"/>
              <w:rPr>
                <w:sz w:val="19"/>
                <w:szCs w:val="19"/>
                <w:color w:val="auto"/>
              </w:rPr>
            </w:pPr>
          </w:p>
        </w:tc>
      </w:tr>
      <w:tr>
        <w:trPr>
          <w:trHeight w:val="223"/>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1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7"/>
              </w:rPr>
              <w:t>5,195,743</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7"/>
              </w:rPr>
              <w:t>3,266,500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800% and 53%, respectively, resulting in an income tax provision (benefit) of $456,000 and $(51,000),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Current Quarter, the effective tax rate was primarily attributable to the tax impact from the vesting of restricted shares of common stock, which was treated as a discrete item for tax purposes. This item increased the effective rate by 737% for the Current Quarter. The effective tax rate was also attributable to recurring permanent differences. Based on the amount of income before income taxes compared to the recurring permanent differences, the effective rate increased by 29% for the Current Quarter.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Prior Year Quarter, the effective tax rate was attributable to recurring permanent differences. Based on the amount of loss before income taxes compared to the permanent differences, the effective rate increased by 19% for the Prior Year Quarter.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 with the acquisition of the H Halston Brand on December 22, 2014, the Company entered into a license agreement with The H Company IP, LLC (“HIP”), which was subsequently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 2015, the Company entered into a license agreement with Lord and Taylor, LLC (the “L&amp;T License”) and simultaneously amended the H Halston License Agreement eliminating HIP’s minimum guaranteed royalty obligations, provided the L&amp;T License is in effect. In addition, the Company entered into a sublicense agreement with HIP obligating the Company to pay HIP a fee on an annual basis the greater of (i) 50% of royalties received under the L&amp;T License from H Halston products or (ii) guaranteed minimum royalties. Provided that Lord &amp; Taylor is paying the Company at least $1,000,000 per quarter under the L&amp;T License, the remaining contractually required guaranteed minimum royalties are equal to $0.75 million, $0.75 million, $1.5 million, and $1.75 million for the twelve months ending January 31, 2018, 2019, 2020, and 2021, respectively. Cumulative fees paid to HIP by the Company or on the Company’s behalf through March 31, 2017 were $0.19 million.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$9,000 and $34,000 of HIP fees (as a reduction to net revenue) for the Current Quarter and the Prior Year Quarter, respectively.</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Jones, III</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Current Quarter and Prior Year Quarter, Edward Jones, III, a director of the Company, performed consulting services for and received compensation from a certain licensee of the Company. Under the terms of the Company’s agreement with this certain licensee, the licensee may supply the Company’s branded products to our other licensees. Under the terms of the Company’s separate pre-existing agreements with other licensees, the Company would earn royalties on the sales of such branded products sold to end customers.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31, 2017, the Company entered into a two-year consulting agreement (the “QTR Consulting Agreement”) with Jones Texas, Inc. (“JTI”), whose controlling shareholder is Edward Jones, III, a director of the Company, pursuant to which JTI shall cause Mr. Jones to provide consulting services in connection with the Company’s quick-time-response fashion program and other projects. Pursuant to the QTR Consulting Agreement, the Company issued an aggregate of 50,000 shares of common stock to JTI, of which 25,000 shares vested immediately, and 25,000 shares shall vest on January 30, 2018; however, up to 25,000 shares of common stock are subject to forfeiture if the Company’s business with suppliers of women’s apparel is materially diminished, as defined in the QTR Consulting Agreement. The Company may issue an additional 28,334 shares of common stock to JTI if certain performance targets are met. The Company also paid JTI a cash consulting fee of $75,000 on January 30, 2017 and will pay an additional cash consulting fee of $75,000 to JTI on April 30, 2017.</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Facility Exit Costs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Company relocated its corporate offices and operations from 475 Tenth Avenue in New York City to 1333 Broadway in New York City. In connection with the exit from its former office location, the Company recognized a liability at the exit and cease-use date for the remaining lease obligation associated with 475 Tenth Avenue, based on the remaining contractual lease payments less estimated sublease rentals, discounted to present value using a credit-adjusted risk-free rate. The Company recorded a net non-cash charge of approximately $648,000 associated with the recognition of this liability in the second quarter of 2016.</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remaining balance of the exit cost liability related to the former office space was approximately $737,000 as of March 31, 2017, of which $157,000 was recorded in other current liabilities and $580,000 was recorded in other long-term liabilities in the accompanying unaudited condensed consolidated balance sheets. The balance of this liability will be paid out over a period of approximately 5 years, through February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gridSpan w:val="3"/>
          </w:tcPr>
          <w:p>
            <w:pPr>
              <w:spacing w:after="0"/>
              <w:rPr>
                <w:sz w:val="20"/>
                <w:szCs w:val="20"/>
                <w:color w:val="auto"/>
              </w:rPr>
            </w:pPr>
            <w:r>
              <w:rPr>
                <w:rFonts w:ascii="Arial" w:cs="Arial" w:eastAsia="Arial" w:hAnsi="Arial"/>
                <w:sz w:val="18"/>
                <w:szCs w:val="18"/>
                <w:color w:val="auto"/>
              </w:rPr>
              <w:t>A summary of the activity related to the exit cost liability for the Current Quarter is as follows:</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8740" w:type="dxa"/>
            <w:vAlign w:val="bottom"/>
            <w:gridSpan w:val="3"/>
          </w:tcPr>
          <w:p>
            <w:pPr>
              <w:ind w:left="1720"/>
              <w:spacing w:after="0"/>
              <w:rPr>
                <w:sz w:val="20"/>
                <w:szCs w:val="20"/>
                <w:color w:val="auto"/>
              </w:rPr>
            </w:pPr>
            <w:r>
              <w:rPr>
                <w:rFonts w:ascii="Arial" w:cs="Arial" w:eastAsia="Arial" w:hAnsi="Arial"/>
                <w:sz w:val="18"/>
                <w:szCs w:val="18"/>
                <w:color w:val="auto"/>
              </w:rPr>
              <w:t>($ in thousands)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2017</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r>
      <w:tr>
        <w:trPr>
          <w:trHeight w:val="216"/>
        </w:trPr>
        <w:tc>
          <w:tcPr>
            <w:tcW w:w="17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Cash payments, net</w:t>
            </w:r>
          </w:p>
        </w:tc>
        <w:tc>
          <w:tcPr>
            <w:tcW w:w="3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to liability (revision to estimated cash flows)</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7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3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23"/>
        </w:trPr>
        <w:tc>
          <w:tcPr>
            <w:tcW w:w="1720" w:type="dxa"/>
            <w:vAlign w:val="bottom"/>
          </w:tcPr>
          <w:p>
            <w:pPr>
              <w:spacing w:after="0"/>
              <w:rPr>
                <w:sz w:val="19"/>
                <w:szCs w:val="19"/>
                <w:color w:val="auto"/>
              </w:rPr>
            </w:pPr>
          </w:p>
        </w:tc>
        <w:tc>
          <w:tcPr>
            <w:tcW w:w="7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March 31, 2017</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28, 2017, the Company and QVC entered into an amendment to terminate the C Wonder QVC Agreement effective May 1, 2017 and commence a sell-off period. During the sell-off period, QVC remains obligated to pay royalties to the Company through January 31, 2018, and QVC retains exclusive rights with respect to C Wonder branded products for interactive television, excluding certain permitted international entities, through May 1, 2018.</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Safe Harbor Statement under the Private Securities Litigation Reform Act of 1995. </w:t>
      </w:r>
      <w:r>
        <w:rPr>
          <w:rFonts w:ascii="Arial" w:cs="Arial" w:eastAsia="Arial" w:hAnsi="Arial"/>
          <w:sz w:val="18"/>
          <w:szCs w:val="18"/>
          <w:color w:val="auto"/>
        </w:rPr>
        <w:t>The statements that are not historical facts contained in this report are</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2016.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Xcel Brands, Inc. (“Xcel,” the “Company,” “we,” “us,” or “our”) is a media and brand management company engaged in the design, production, licensing, marketing, and direct to consumer sales of branded apparel, footwear, accessories, jewelry, home goods, and other consumer products, and the acquisition of dynamic consumer lifestyle brands. Currently, our brand portfolio consists of the Isaac Mizrahi, Judith Ripka, H Halston, C Wonder, and Highline Collective brands. We also managed and designed the Liz Claiborne New York brand (“LCNY brand”) through July 31, 2016. Going forward, we intend to focus on our wholly owned brands.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licensing our brands for distribution through interactive television (i.e. QVC, The Shopping Channel); and</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licensees and customers for the following reasons: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production oversight, marketing, and social media;</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ubiquitous-channel retail sales strategy across interactive television, internet, and traditional retail channels;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certain retail licensees with vertical production capabilities.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license our brands to third parties, provide certain design, production, and marketing services, and generate licensing, design, and service fee revenues through contractual arrangements with manufacturers and retailers. This includes licensing our own brands for promotion and distribution through a ubiquitous-channel retail sales strategy, which includes distribution through interactive television, the internet, and traditional brick-and-mortar retail channels. We believe that this strategy distinguishes us from other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distribution channels.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interactive television companies enable us to reach consumers in over 360 million homes worldwide.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We believe our “virtual vertical” production platform provides significant competitive advantages compared with traditional wholesale apparel companies that design, manufacture, and distribute products. We remain focused on our core competencies of licensing, production, design, marketing, and brand development, while outsourcing manufacturing and the related inventory ownership to best-in-class partners. We believe that we offer 360 degrees of service for a comprehensive solution for our retail partners that addresses many of the challenges facing the retail industry today.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production oversight, and marketing capabilities and retail and licensee relationships.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three months ended March 31, 2017 (the “Current Quarter”) compared with the three months ended March 31, 2016 (the “Prior Year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Current Quarter net revenues increased approximately $0.07 million to $8.43 million from $8.36 million in the Prior Year Quarter. This increase was primarily due to the combination of (i) higher revenues from our interactive television agreements of approximately $0.52 million and (ii) higher revenues related to our quick-time-response department store agreements of approximately $0.09 million. These increases were partially offset by a decrease in revenue of approximately $0.53 million associated with the management and design of the LCNY brand (for which our contract ended in July 2016).</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Also included in net revenues for the Current Quarter and Prior Year Quarter was less than $0.01 million and $0.02 million, respectively, of gross margin (sales less cost of goods sold) related to e-commerce sales, which declined as the result of management’s decision to phase out of e-commerce.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costs and expenses totaled $8.00 million for the Current Quarter, or essentially flat compared with $8.02 million for the Prior Year Quarter. Increases in salaries and design and marketing costs to support the ongoing growth of our business were more than offset by decreases in stock-based compensation, depreciation and amortization, and other general and administrative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and finance expense for the Current Quarter decreased by approximately $0.06 million to $0.38 million, compared with $0.44 million in the Prior Year Quarter. This decrease was primarily attributable to the change in interest recognized on the IM Seller Note (from an imputed rate of 9.0% to an interest rate of 2.2%) as a result of the amendment of the IM Seller Note in September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effective income tax rate for the Current Quarter was approximately 800% resulting in a $0.46 million income tax provision. During the Current Quarter, the effective tax rate was primarily attributable to the tax impact from the vesting of restricted shares of common stock, which was treated as a discrete item for tax purposes. This item increased the effective rate by 737%. The effective tax rate was also attributable to recurring permanent differences. Based on the amount of income before income taxes compared to the recurring permanent differences, the effective rate increased by 29%.</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income tax rate for the Prior Year Quarter was approximately 53% which resulted in a $0.05 million income tax benefit. For the Prior Year Quarter, the effective tax rate was attributable to recurring permanent differences. Based on the amount of loss before income taxes compared to the permanent differences, the effective rate increased by 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a net loss of $0.40 million for the Current Quarter, compared with a net loss of $0.05 million for the Prior Year Quarter.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had non-GAAP net income of $1.11 million, or $0.06 per diluted share (“non-GAAP diluted EPS”) for the Current Quarter, compared with non-GAAP net income of $1.25 million, or non-GAAP diluted EPS of $0.07 for the Prior Year Quarter. Non-GAAP net income is a non-GAAP unaudited term, which we define as net income (loss), exclusive of stock-based compensation, non-cash interest expense from discounted debt related to acquired assets, loss on extinguishment of debt, gain on the reduction of contingent obligations, non-recurring facility exit charges, certain discrete tax items related to vesting or exercise of stock-based awards, and net income or loss from discontinued operations. Non-GAAP net income and non-GAAP diluted EPS measures do not include the tax effect of the aforementioned adjusting items, due to the nature of these items and the Company’s tax strategy.</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Adjusted EBITDA of $1.94 million for the Current Quarter, compared with Adjusted EBITDA of $2.00 million for the Prior Year Quarter. Adjusted EBITDA is a non-GAAP unaudited measure, which we define as net income (loss) before stock-based compensation, interest expense and other financing costs, loss on extinguishment of debt, gain on the reduction of contingent obligations, income taxes, other state and local franchise taxes, depreciation and amortization, non-recurring facility exit charges, and net income or loss from discontinued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they provide supplemental information to assist investors in evaluating the Company’s financial results.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(loss) and other GAAP results, and not rely on any single financial measure.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is a reconciliation of net loss (our most directly comparable financial measure presented in accordance with GAAP) to non-GAAP net 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060" w:type="dxa"/>
            <w:vAlign w:val="bottom"/>
            <w:gridSpan w:val="7"/>
          </w:tcPr>
          <w:p>
            <w:pPr>
              <w:ind w:left="2560"/>
              <w:spacing w:after="0"/>
              <w:rPr>
                <w:sz w:val="20"/>
                <w:szCs w:val="20"/>
                <w:color w:val="auto"/>
              </w:rPr>
            </w:pPr>
            <w:r>
              <w:rPr>
                <w:rFonts w:ascii="Arial" w:cs="Arial" w:eastAsia="Arial" w:hAnsi="Arial"/>
                <w:sz w:val="18"/>
                <w:szCs w:val="18"/>
                <w:b w:val="1"/>
                <w:bCs w:val="1"/>
                <w:color w:val="auto"/>
                <w:w w:val="93"/>
              </w:rPr>
              <w:t>Three Months Ended March 31,</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in thousands)</w:t>
            </w:r>
          </w:p>
        </w:tc>
        <w:tc>
          <w:tcPr>
            <w:tcW w:w="25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Discrete tax items</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60" w:type="dxa"/>
            <w:vAlign w:val="bottom"/>
            <w:vMerge w:val="restart"/>
          </w:tcPr>
          <w:p>
            <w:pPr>
              <w:jc w:val="right"/>
              <w:ind w:right="157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The following table is a reconciliation of basic and diluted loss per share (our most directly comparable financial measure presented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to non-GAAP diluted EPS:</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920" w:type="dxa"/>
            <w:vAlign w:val="bottom"/>
            <w:gridSpan w:val="9"/>
          </w:tcPr>
          <w:p>
            <w:pPr>
              <w:ind w:left="142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Discrete tax items</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Non-GAAP weighted average diluted shares</w:t>
            </w: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19,042,018</w:t>
            </w:r>
          </w:p>
        </w:tc>
        <w:tc>
          <w:tcPr>
            <w:tcW w:w="1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19,141,968</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is a reconciliation of basic weighted average shares outstanding (presented in accordance with GAAP) to non-GAAP weighted average diluted shares: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920" w:type="dxa"/>
            <w:vAlign w:val="bottom"/>
            <w:gridSpan w:val="6"/>
          </w:tcPr>
          <w:p>
            <w:pPr>
              <w:ind w:left="14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46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1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18,674,943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18,458,748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Effect of exercising warrants</w:t>
            </w:r>
          </w:p>
        </w:tc>
        <w:tc>
          <w:tcPr>
            <w:tcW w:w="2720" w:type="dxa"/>
            <w:vAlign w:val="bottom"/>
            <w:gridSpan w:val="3"/>
          </w:tcPr>
          <w:p>
            <w:pPr>
              <w:jc w:val="right"/>
              <w:ind w:right="180"/>
              <w:spacing w:after="0"/>
              <w:rPr>
                <w:sz w:val="20"/>
                <w:szCs w:val="20"/>
                <w:color w:val="auto"/>
              </w:rPr>
            </w:pPr>
            <w:r>
              <w:rPr>
                <w:rFonts w:ascii="Arial" w:cs="Arial" w:eastAsia="Arial" w:hAnsi="Arial"/>
                <w:sz w:val="18"/>
                <w:szCs w:val="18"/>
                <w:color w:val="auto"/>
              </w:rPr>
              <w:t>364,430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650,433</w:t>
            </w:r>
          </w:p>
        </w:tc>
        <w:tc>
          <w:tcPr>
            <w:tcW w:w="6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exercising stock options</w:t>
            </w:r>
          </w:p>
        </w:tc>
        <w:tc>
          <w:tcPr>
            <w:tcW w:w="2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2,645</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32,787</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Non-GAAP weighted average diluted shares</w:t>
            </w:r>
          </w:p>
        </w:tc>
        <w:tc>
          <w:tcPr>
            <w:tcW w:w="14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19,042,018</w:t>
            </w:r>
          </w:p>
        </w:tc>
        <w:tc>
          <w:tcPr>
            <w:tcW w:w="1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19,141,968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loss (our most directly comparable financial measure presented in accordance with GAAP) to Adjusted EBITDA:</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4420" w:type="dxa"/>
            <w:vAlign w:val="bottom"/>
            <w:gridSpan w:val="7"/>
          </w:tcPr>
          <w:p>
            <w:pPr>
              <w:ind w:left="19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in thousands)</w:t>
            </w:r>
          </w:p>
        </w:tc>
        <w:tc>
          <w:tcPr>
            <w:tcW w:w="19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1,212</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At March 31, 2017 and December 31, 2016, our cash and cash equivalents were $10.20 million and $14.13 million, respectively.</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Restricted cash at March 31, 2017 and December 31, 2016 consisted of (i) $1.11 million of cash deposited with Bank Hapoalim B.M. (“BHI”) as collateral for an irrevocable standby letter of credit associated with the lease of our current corporate office and operating facilities at 1333 Broadway, New York City, and</w:t>
      </w:r>
    </w:p>
    <w:p>
      <w:pPr>
        <w:ind w:right="20" w:firstLine="8"/>
        <w:spacing w:after="0" w:line="261" w:lineRule="auto"/>
        <w:tabs>
          <w:tab w:leader="none" w:pos="2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$0.40 million of cash held as a security deposit for the sublease of our former corporate offices at 475 Tenth Avenue, New York City by us to a third party subtenant.</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expect that existing cash and operating cash flows will be adequate to meet our operating needs, debt service obligations (including debt service under the Amended Loan Agreement), and capital expenditure needs, for at least the twelve months subsequent to the filing date of this Quarterly Report on Form 10-Q. We are dependent on our licensees for substantially all of our revenues, and there is no assurance that the licensees will perform as projected.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Our business operating model does not require significant 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contingent obligation related to the C Wonder Brand (see Note 4, Debt in the Unaudited Condensed Consolidated Financial Statements) is payable in stock or cash, at the Company’s discretion. Payment of this obligation in stock would not affect our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working capital (current assets less current liabilities) was $10.47 million and $11.53 million as of March 31, 2017 and December 31,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Commentary on the components of our cash flows for the Current Quarter as compared with the Prior Year Quarter is set forth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operating activities was approximately $1.01 million in the Current Quarter, compared with net cash used in operating activities of approximately $1.30 million in the Prior Year Quarter.</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Quarter’s cash used in operating activities was due to the combination of a net loss of $(0.40) million and the net change in operating assets and liabilities of approximately $(2.60) million, partially offset by non-cash expenses of approximately $1.99 million. Non-cash expenses mainly consisted of $1.08 million of stock-based compensation, $0.39 million of depreciation and amortization, $0.06 million of amortization of debt discount and deferred finance costs, and approximately $0.46 million of deferred income tax provision. The net change in operating assets and liabilities includes an increase in accounts receivable of $1.74 million, primarily attributable to the increase in revenues from the fourth quarter of 2016 to the Current Quarter, and a decrease in accounts payable, accrued expenses and other current liabilities of $0.65 million, largely due to bonus payouts.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Prior Year Quarter’s cash used in operating activities was due to the combination of a net loss of $(0.05) million and the net change in operating assets and liabilities of $(2.97) million, partially offset by non-cash expenses of approximately $1.72 million. Non-cash expenses mainly consisted of $1.21 million of stock-based compensation, $0.43 million of depreciation and amortization, $0.13 million of amortization of debt discount and deferred finance costs, and $(0.05) million of deferred income tax benefit. The net change in operating assets and liabilities includes an increase in accounts receivable of $1.53 million, primarily attributable to the increases in revenues, and a decrease in accounts payable, accrued expenses and other current liabilities of $1.11 million, largely due to bonus payouts.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in investing activities for the Current Quarter was approximately $0.15 million, compared with approximately $0.25 million in the Prior Year Quarter. Cash used in investing activities for both the Current Quarter and Prior Year Quarter was primarily attributable to capital expenditures, which were higher in the Prior Year Quarter due to the build-out of our current corporate offices and operations facility (which we relocated to in June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the Current Quarter was approximately $2.76 million, compared with net cash used in investing activities for the Prior Year Quarter of approximately $2.73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Current Year was primarily attributable to payments on our senior term debt obligation of $1.25 million, payment on our IM Seller Note obligation of $0.71 million, and shares repurchased including vested restricted stock in exchange for withholding taxes of $0.80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86" w:lineRule="auto"/>
        <w:rPr>
          <w:sz w:val="20"/>
          <w:szCs w:val="20"/>
          <w:color w:val="auto"/>
        </w:rPr>
      </w:pPr>
      <w:r>
        <w:rPr>
          <w:rFonts w:ascii="Arial" w:cs="Arial" w:eastAsia="Arial" w:hAnsi="Arial"/>
          <w:sz w:val="17"/>
          <w:szCs w:val="17"/>
          <w:color w:val="auto"/>
        </w:rPr>
        <w:t>Net cash used in financing activities for the Prior Year Quarter was primarily attributable to payments on our senior term debt obligations of $1.38 million, payment on our IM Seller Note obligation of $0.75 million, payment of the QVC Earn-Out obligation of $0.25 million, shares repurchased including vested restricted stock in exchange for withholding taxes of $0.30 million, and payment of deferred finance costs of $0.07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2017, we entered into a mutual agreement with QVC to terminate our interactive television license agreement for the C Wonder brand, under which QVC will remain obligated to pay royalties to us through January 2018, and QVC will retain exclusive rights with respect to C Wonder branded products for interactive television, excluding certain permitted international entities, through May 2018. We are pursuing new distribution channels and licensing partners, and intend to enter into new contractual agreements for the C Wonder brand.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2016, we brought the IMNYC Isaac Mizrahi, H Halston, and Highline Collective brands to Lord &amp; Taylor and Hudson’s Bay department stores through our quick-time-response direct-to-retail “virtual vertical” production platform. We launched the H Halston brand at Dillard’s department stores through our quick-time-response platform in April 2017, and plan to launch certain products under our other brands at Dillard’s retail stores in the future. We also intend to seek new opportunities, including expansion through interactive television, our “virtual vertical” production platform, additional domestic and international licensing arrangements, and acquiring additional brands.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however, will still remain largely dependent on our ability to build and maintain our brands’ awareness and contract with and retain key licensees, as well as our licensees’ ability to accurately predict upcoming fashion and design trends within their respective customer bases and fulfill the product requirements of their particular retail channels within the global marketplace. Unanticipated changes in consumer fashion preferences and purchasing patterns, slowdowns in the U.S. economy, changes in the prices of supplies, consolidation of retail establishments, and other factors noted in “Risk Factors” in our Annual Report on Form 10-K for the year ended December 31, 2016 as filed with the SEC could adversely affect our licensees’ ability to meet and/or exceed their contractual commitments to us, and thereby adversely affect our future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2016, filed with the SEC on March 24, 2017, for a discussion of our critical accounting policies. During the three months ended March 31, 2017, there were no material changes to these policies.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March 31, 2017, the end of the period covered by this report. Based on, and as of the date of such evaluation, the Chief Executive Officer and the Chief Financial Officer have concluded that our disclosure controls and procedures were effective as of March 31, 2017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March 31, 2017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2016 are not the only risks we face. Additional risks and uncertainties not currently known to us or that we currently deem to be immaterial also may materially adversely affect our financial condition and/or operating results.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March 31, 2017, pursuant to a consulting agreement, we issued 50,000 shares of common stock to Jones Texas, Inc., of which Edward Jones, III, a director of our Company, is the controlling shareholder. This issuance will be registered under the Securities Act. The issuance was not considered a “public offering” as defined in Section 4(a)(2) of the Securities Act due to the insubstantial number of persons involved, size of the offering, manner of the offering, and number of securities offered. We did not undertake an offering in which we sold a high number of securities to a high number of investors. In addition, Jones Texas, Inc. had the necessary investment intent as required by Section 4(a)(2) because it agreed to receive share certificates bearing a legend stating that such securities are restricted pursuant to Rule 144 of the Securities Act. This restriction ensures that these securities would not be immediately redistributed into the market and therefore not be part of a “public offering.” Based on an analysis of the above factors, the issuance of these shares met the requirements to qualify for exemption under Section 4(a)(2) of the Securities Act for this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shares of common stock we repurchased during the three months ended March 31, 2017:</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Total Number of Shares</w:t>
            </w:r>
          </w:p>
        </w:tc>
      </w:t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Number of</w:t>
            </w: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2220" w:type="dxa"/>
            <w:vAlign w:val="bottom"/>
            <w:gridSpan w:val="3"/>
          </w:tcPr>
          <w:p>
            <w:pPr>
              <w:jc w:val="center"/>
              <w:ind w:right="100"/>
              <w:spacing w:after="0"/>
              <w:rPr>
                <w:sz w:val="20"/>
                <w:szCs w:val="20"/>
                <w:color w:val="auto"/>
              </w:rPr>
            </w:pPr>
            <w:r>
              <w:rPr>
                <w:rFonts w:ascii="Arial" w:cs="Arial" w:eastAsia="Arial" w:hAnsi="Arial"/>
                <w:sz w:val="18"/>
                <w:szCs w:val="18"/>
                <w:color w:val="auto"/>
                <w:w w:val="83"/>
              </w:rPr>
              <w:t>Purchased as</w:t>
            </w:r>
          </w:p>
        </w:tc>
      </w:t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Price per</w:t>
            </w:r>
          </w:p>
        </w:tc>
        <w:tc>
          <w:tcPr>
            <w:tcW w:w="2220" w:type="dxa"/>
            <w:vAlign w:val="bottom"/>
            <w:gridSpan w:val="3"/>
          </w:tcPr>
          <w:p>
            <w:pPr>
              <w:spacing w:after="0"/>
              <w:rPr>
                <w:sz w:val="20"/>
                <w:szCs w:val="20"/>
                <w:color w:val="auto"/>
              </w:rPr>
            </w:pPr>
            <w:r>
              <w:rPr>
                <w:rFonts w:ascii="Arial" w:cs="Arial" w:eastAsia="Arial" w:hAnsi="Arial"/>
                <w:sz w:val="18"/>
                <w:szCs w:val="18"/>
                <w:color w:val="auto"/>
                <w:w w:val="95"/>
              </w:rPr>
              <w:t>Part of a Publicly Announced</w:t>
            </w:r>
          </w:p>
        </w:tc>
      </w:tr>
      <w:tr>
        <w:trPr>
          <w:trHeight w:val="230"/>
        </w:trPr>
        <w:tc>
          <w:tcPr>
            <w:tcW w:w="6340" w:type="dxa"/>
            <w:vAlign w:val="bottom"/>
            <w:gridSpan w:val="2"/>
          </w:tcPr>
          <w:p>
            <w:pPr>
              <w:ind w:left="2880"/>
              <w:spacing w:after="0"/>
              <w:rPr>
                <w:sz w:val="20"/>
                <w:szCs w:val="20"/>
                <w:color w:val="auto"/>
              </w:rPr>
            </w:pPr>
            <w:r>
              <w:rPr>
                <w:rFonts w:ascii="Arial" w:cs="Arial" w:eastAsia="Arial" w:hAnsi="Arial"/>
                <w:sz w:val="18"/>
                <w:szCs w:val="18"/>
                <w:color w:val="auto"/>
              </w:rPr>
              <w:t>Period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Purchased</w:t>
            </w:r>
          </w:p>
        </w:tc>
        <w:tc>
          <w:tcPr>
            <w:tcW w:w="18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Share</w:t>
            </w:r>
          </w:p>
        </w:tc>
        <w:tc>
          <w:tcPr>
            <w:tcW w:w="22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Plan or Program</w:t>
            </w:r>
          </w:p>
        </w:tc>
      </w:tr>
      <w:tr>
        <w:trPr>
          <w:trHeight w:val="223"/>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 2017 to March 31, 2017 (i)</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291,790</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291,790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were exchanged from employees and directors in connection with the income tax withholding obligations on behalf of such employees and directors from the vesting of restricted stock.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31.1 Rule 13a-14(a)/15d-14(a) Certification (CEO)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31.2 Rule 13a-14(a)/15d-14(a) Certification (CFO)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32.1 Section 1350 Certification (CEO)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32.2 Section 1350 Certification (CFO)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101.INS XBRL Instance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101.DEF XBRL Taxonomy Extension Definitions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11, 2017</w:t>
            </w: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54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5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26</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2017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May 11, 2017</w:t>
            </w:r>
          </w:p>
        </w:tc>
        <w:tc>
          <w:tcPr>
            <w:tcW w:w="2920" w:type="dxa"/>
            <w:vAlign w:val="bottom"/>
          </w:tcPr>
          <w:p>
            <w:pPr>
              <w:ind w:left="23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3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2017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May 11, 2017</w:t>
            </w:r>
          </w:p>
        </w:tc>
        <w:tc>
          <w:tcPr>
            <w:tcW w:w="2920" w:type="dxa"/>
            <w:vAlign w:val="bottom"/>
          </w:tcPr>
          <w:p>
            <w:pPr>
              <w:ind w:left="23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March 31, 2017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May 11, 2017</w:t>
            </w:r>
          </w:p>
        </w:tc>
        <w:tc>
          <w:tcPr>
            <w:tcW w:w="2920" w:type="dxa"/>
            <w:vAlign w:val="bottom"/>
          </w:tcPr>
          <w:p>
            <w:pPr>
              <w:ind w:left="23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3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March 31, 2017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May 11, 2017</w:t>
            </w:r>
          </w:p>
        </w:tc>
        <w:tc>
          <w:tcPr>
            <w:tcW w:w="2920" w:type="dxa"/>
            <w:vAlign w:val="bottom"/>
          </w:tcPr>
          <w:p>
            <w:pPr>
              <w:ind w:left="23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3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lowerRoman"/>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Roman"/>
      <w:start w:val="2"/>
    </w:lvl>
  </w:abstractNum>
  <w:abstractNum w:abstractNumId="15">
    <w:nsid w:val="628C895D"/>
    <w:multiLevelType w:val="hybridMultilevel"/>
    <w:lvl w:ilvl="0">
      <w:lvlJc w:val="left"/>
      <w:lvlText w:val="(%1)"/>
      <w:numFmt w:val="lowerRoman"/>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2019-12-29T05:50:28Z</dcterms:created>
  <dcterms:modified xsi:type="dcterms:W3CDTF">2019-12-29T05:50:28Z</dcterms:modified>
</cp:coreProperties>
</file>