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7" w:lineRule="exact"/>
        <w:rPr>
          <w:sz w:val="24"/>
          <w:szCs w:val="24"/>
          <w:color w:val="auto"/>
        </w:rPr>
      </w:pPr>
    </w:p>
    <w:p>
      <w:pPr>
        <w:ind w:left="32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37527</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7" w:lineRule="exact"/>
        <w:rPr>
          <w:sz w:val="24"/>
          <w:szCs w:val="24"/>
          <w:color w:val="auto"/>
        </w:rPr>
      </w:pPr>
    </w:p>
    <w:p>
      <w:pPr>
        <w:ind w:left="320"/>
        <w:spacing w:after="0"/>
        <w:rPr>
          <w:sz w:val="24"/>
          <w:szCs w:val="24"/>
          <w:color w:val="auto"/>
        </w:rPr>
      </w:pPr>
      <w:r>
        <w:rPr>
          <w:rFonts w:ascii="Arial" w:cs="Arial" w:eastAsia="Arial" w:hAnsi="Arial"/>
          <w:sz w:val="18"/>
          <w:szCs w:val="18"/>
          <w:b w:val="1"/>
          <w:bCs w:val="1"/>
          <w:color w:val="auto"/>
        </w:rPr>
        <w:t>TRANSITION REPORT UNDER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w w:val="89"/>
              </w:rPr>
              <w:t>Delaware</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290"/>
              <w:spacing w:after="0" w:line="207" w:lineRule="exact"/>
              <w:rPr>
                <w:sz w:val="20"/>
                <w:szCs w:val="20"/>
                <w:color w:val="auto"/>
              </w:rPr>
            </w:pPr>
            <w:r>
              <w:rPr>
                <w:rFonts w:ascii="Arial" w:cs="Arial" w:eastAsia="Arial" w:hAnsi="Arial"/>
                <w:sz w:val="18"/>
                <w:szCs w:val="18"/>
                <w:color w:val="auto"/>
                <w:w w:val="91"/>
              </w:rPr>
              <w:t>76</w:t>
            </w:r>
            <w:r>
              <w:rPr>
                <w:rFonts w:ascii="MS PGothic" w:cs="MS PGothic" w:eastAsia="MS PGothic" w:hAnsi="MS PGothic"/>
                <w:sz w:val="18"/>
                <w:szCs w:val="18"/>
                <w:color w:val="auto"/>
                <w:w w:val="91"/>
              </w:rPr>
              <w:t>‑</w:t>
            </w:r>
            <w:r>
              <w:rPr>
                <w:rFonts w:ascii="Arial" w:cs="Arial" w:eastAsia="Arial" w:hAnsi="Arial"/>
                <w:sz w:val="18"/>
                <w:szCs w:val="18"/>
                <w:color w:val="auto"/>
                <w:w w:val="91"/>
              </w:rPr>
              <w:t>0307819</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880" w:type="dxa"/>
            <w:vAlign w:val="bottom"/>
            <w:gridSpan w:val="5"/>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290"/>
              <w:spacing w:after="0" w:line="195" w:lineRule="exact"/>
              <w:rPr>
                <w:sz w:val="20"/>
                <w:szCs w:val="20"/>
                <w:color w:val="auto"/>
              </w:rPr>
            </w:pPr>
            <w:r>
              <w:rPr>
                <w:rFonts w:ascii="Arial" w:cs="Arial" w:eastAsia="Arial" w:hAnsi="Arial"/>
                <w:sz w:val="18"/>
                <w:szCs w:val="18"/>
                <w:color w:val="auto"/>
                <w:w w:val="93"/>
              </w:rPr>
              <w:t>(I.R.S. Employer</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840" w:type="dxa"/>
            <w:vAlign w:val="bottom"/>
            <w:gridSpan w:val="8"/>
          </w:tcPr>
          <w:p>
            <w:pPr>
              <w:jc w:val="center"/>
              <w:ind w:right="1960"/>
              <w:spacing w:after="0"/>
              <w:rPr>
                <w:sz w:val="20"/>
                <w:szCs w:val="20"/>
                <w:color w:val="auto"/>
              </w:rPr>
            </w:pPr>
            <w:r>
              <w:rPr>
                <w:rFonts w:ascii="Arial" w:cs="Arial" w:eastAsia="Arial" w:hAnsi="Arial"/>
                <w:sz w:val="18"/>
                <w:szCs w:val="18"/>
                <w:color w:val="auto"/>
                <w:w w:val="91"/>
              </w:rPr>
              <w:t>Incorporation or Organization)</w:t>
            </w:r>
          </w:p>
        </w:tc>
        <w:tc>
          <w:tcPr>
            <w:tcW w:w="2100" w:type="dxa"/>
            <w:vAlign w:val="bottom"/>
            <w:gridSpan w:val="2"/>
          </w:tcPr>
          <w:p>
            <w:pPr>
              <w:jc w:val="center"/>
              <w:ind w:right="270"/>
              <w:spacing w:after="0"/>
              <w:rPr>
                <w:sz w:val="20"/>
                <w:szCs w:val="20"/>
                <w:color w:val="auto"/>
              </w:rPr>
            </w:pPr>
            <w:r>
              <w:rPr>
                <w:rFonts w:ascii="Arial" w:cs="Arial" w:eastAsia="Arial" w:hAnsi="Arial"/>
                <w:sz w:val="18"/>
                <w:szCs w:val="18"/>
                <w:color w:val="auto"/>
                <w:w w:val="95"/>
              </w:rPr>
              <w:t>Identification No.)</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color w:val="auto"/>
                <w:w w:val="92"/>
              </w:rPr>
              <w:t>1333 Broadway, 10th Floor, New York, NY 10018</w:t>
            </w:r>
          </w:p>
        </w:tc>
        <w:tc>
          <w:tcPr>
            <w:tcW w:w="72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60" w:type="dxa"/>
            <w:vAlign w:val="bottom"/>
            <w:gridSpan w:val="4"/>
          </w:tcPr>
          <w:p>
            <w:pPr>
              <w:jc w:val="center"/>
              <w:ind w:right="220"/>
              <w:spacing w:after="0" w:line="207" w:lineRule="exact"/>
              <w:rPr>
                <w:sz w:val="20"/>
                <w:szCs w:val="20"/>
                <w:color w:val="auto"/>
              </w:rPr>
            </w:pPr>
            <w:r>
              <w:rPr>
                <w:rFonts w:ascii="Arial" w:cs="Arial" w:eastAsia="Arial" w:hAnsi="Arial"/>
                <w:sz w:val="18"/>
                <w:szCs w:val="18"/>
                <w:color w:val="auto"/>
                <w:w w:val="91"/>
              </w:rPr>
              <w:t>(347) 727</w:t>
            </w:r>
            <w:r>
              <w:rPr>
                <w:rFonts w:ascii="MS PGothic" w:cs="MS PGothic" w:eastAsia="MS PGothic" w:hAnsi="MS PGothic"/>
                <w:sz w:val="18"/>
                <w:szCs w:val="18"/>
                <w:color w:val="auto"/>
                <w:w w:val="91"/>
              </w:rPr>
              <w:t>‑</w:t>
            </w:r>
            <w:r>
              <w:rPr>
                <w:rFonts w:ascii="Arial" w:cs="Arial" w:eastAsia="Arial" w:hAnsi="Arial"/>
                <w:sz w:val="18"/>
                <w:szCs w:val="18"/>
                <w:color w:val="auto"/>
                <w:w w:val="91"/>
              </w:rPr>
              <w:t>2474</w:t>
            </w:r>
          </w:p>
        </w:tc>
        <w:tc>
          <w:tcPr>
            <w:tcW w:w="7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00" w:type="dxa"/>
            <w:vAlign w:val="bottom"/>
            <w:gridSpan w:val="8"/>
          </w:tcPr>
          <w:p>
            <w:pPr>
              <w:jc w:val="center"/>
              <w:ind w:right="1870"/>
              <w:spacing w:after="0"/>
              <w:rPr>
                <w:sz w:val="20"/>
                <w:szCs w:val="20"/>
                <w:color w:val="auto"/>
              </w:rPr>
            </w:pPr>
            <w:r>
              <w:rPr>
                <w:rFonts w:ascii="Arial" w:cs="Arial" w:eastAsia="Arial" w:hAnsi="Arial"/>
                <w:sz w:val="18"/>
                <w:szCs w:val="18"/>
                <w:color w:val="auto"/>
                <w:w w:val="91"/>
              </w:rPr>
              <w:t>(Issuer’s Telephone Number, Including Area Code)</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500" w:type="dxa"/>
            <w:vAlign w:val="bottom"/>
            <w:gridSpan w:val="9"/>
          </w:tcPr>
          <w:p>
            <w:pPr>
              <w:jc w:val="center"/>
              <w:ind w:right="1070"/>
              <w:spacing w:after="0"/>
              <w:rPr>
                <w:sz w:val="20"/>
                <w:szCs w:val="20"/>
                <w:color w:val="auto"/>
              </w:rPr>
            </w:pPr>
            <w:r>
              <w:rPr>
                <w:rFonts w:ascii="Arial" w:cs="Arial" w:eastAsia="Arial" w:hAnsi="Arial"/>
                <w:sz w:val="18"/>
                <w:szCs w:val="18"/>
                <w:color w:val="auto"/>
                <w:w w:val="90"/>
              </w:rPr>
              <w:t>Securities registered pursuant to Section 12(b) of the Exchange Act:</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Trading Symbol</w:t>
            </w:r>
          </w:p>
        </w:tc>
        <w:tc>
          <w:tcPr>
            <w:tcW w:w="3380" w:type="dxa"/>
            <w:vAlign w:val="bottom"/>
            <w:gridSpan w:val="5"/>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24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rPr>
              <w:t>XELB</w:t>
            </w: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6"/>
              </w:rPr>
              <w:t>NASDAQ Global Market</w:t>
            </w:r>
          </w:p>
        </w:tc>
        <w:tc>
          <w:tcPr>
            <w:tcW w:w="520" w:type="dxa"/>
            <w:vAlign w:val="bottom"/>
            <w:tcBorders>
              <w:top w:val="single" w:sz="8" w:color="auto"/>
            </w:tcBorders>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6500" w:type="dxa"/>
            <w:vAlign w:val="bottom"/>
            <w:gridSpan w:val="9"/>
          </w:tcPr>
          <w:p>
            <w:pPr>
              <w:jc w:val="center"/>
              <w:ind w:right="107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60" w:type="dxa"/>
            <w:vAlign w:val="bottom"/>
            <w:gridSpan w:val="3"/>
          </w:tcPr>
          <w:p>
            <w:pPr>
              <w:jc w:val="center"/>
              <w:ind w:right="1520"/>
              <w:spacing w:after="0"/>
              <w:rPr>
                <w:sz w:val="20"/>
                <w:szCs w:val="20"/>
                <w:color w:val="auto"/>
              </w:rPr>
            </w:pPr>
            <w:r>
              <w:rPr>
                <w:rFonts w:ascii="Arial" w:cs="Arial" w:eastAsia="Arial" w:hAnsi="Arial"/>
                <w:sz w:val="18"/>
                <w:szCs w:val="18"/>
                <w:color w:val="auto"/>
                <w:w w:val="92"/>
              </w:rPr>
              <w:t>None</w:t>
            </w: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17"/>
        </w:trPr>
        <w:tc>
          <w:tcPr>
            <w:tcW w:w="8960" w:type="dxa"/>
            <w:vAlign w:val="bottom"/>
            <w:gridSpan w:val="11"/>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w:t>
            </w:r>
          </w:p>
        </w:tc>
        <w:tc>
          <w:tcPr>
            <w:tcW w:w="3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No</w:t>
            </w:r>
          </w:p>
        </w:tc>
        <w:tc>
          <w:tcPr>
            <w:tcW w:w="52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4"/>
        </w:trPr>
        <w:tc>
          <w:tcPr>
            <w:tcW w:w="8960" w:type="dxa"/>
            <w:vAlign w:val="bottom"/>
            <w:gridSpan w:val="11"/>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34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w w:val="95"/>
              </w:rPr>
              <w:t>No</w:t>
            </w:r>
          </w:p>
        </w:tc>
        <w:tc>
          <w:tcPr>
            <w:tcW w:w="52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36"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8"/>
          <w:szCs w:val="18"/>
          <w:color w:val="auto"/>
        </w:rPr>
        <w:t>‑</w:t>
      </w:r>
      <w:r>
        <w:rPr>
          <w:rFonts w:ascii="Arial" w:cs="Arial" w:eastAsia="Arial" w:hAnsi="Arial"/>
          <w:sz w:val="18"/>
          <w:szCs w:val="18"/>
          <w:color w:val="auto"/>
        </w:rPr>
        <w:t>K or any amendment 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56"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240"/>
          </w:cols>
          <w:pgMar w:left="820" w:top="233" w:right="839" w:bottom="1440" w:gutter="0" w:footer="0" w:header="0"/>
        </w:sectPr>
      </w:pPr>
    </w:p>
    <w:p>
      <w:pPr>
        <w:spacing w:after="0" w:line="110" w:lineRule="exact"/>
        <w:rPr>
          <w:sz w:val="24"/>
          <w:szCs w:val="24"/>
          <w:color w:val="auto"/>
        </w:rPr>
      </w:pPr>
    </w:p>
    <w:p>
      <w:pPr>
        <w:ind w:left="20"/>
        <w:spacing w:after="0" w:line="39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331" w:lineRule="exact"/>
        <w:rPr>
          <w:sz w:val="24"/>
          <w:szCs w:val="24"/>
          <w:color w:val="auto"/>
        </w:rPr>
      </w:pPr>
    </w:p>
    <w:p>
      <w:pPr>
        <w:sectPr>
          <w:pgSz w:w="11900" w:h="16838" w:orient="portrait"/>
          <w:cols w:equalWidth="0" w:num="4">
            <w:col w:w="1640" w:space="80"/>
            <w:col w:w="2860" w:space="720"/>
            <w:col w:w="2040" w:space="120"/>
            <w:col w:w="2780"/>
          </w:cols>
          <w:pgMar w:left="820" w:top="233" w:right="839" w:bottom="144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 w:lineRule="exact"/>
        <w:rPr>
          <w:sz w:val="24"/>
          <w:szCs w:val="24"/>
          <w:color w:val="auto"/>
        </w:rPr>
      </w:pPr>
    </w:p>
    <w:p>
      <w:pPr>
        <w:spacing w:after="0" w:line="242" w:lineRule="exact"/>
        <w:tabs>
          <w:tab w:leader="none" w:pos="8260" w:val="left"/>
          <w:tab w:leader="none" w:pos="8700" w:val="left"/>
        </w:tabs>
        <w:rPr>
          <w:sz w:val="20"/>
          <w:szCs w:val="20"/>
          <w:color w:val="auto"/>
        </w:rPr>
      </w:pPr>
      <w:r>
        <w:rPr>
          <w:rFonts w:ascii="Arial" w:cs="Arial" w:eastAsia="Arial" w:hAnsi="Arial"/>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2 of the Act). Yes</w:t>
      </w:r>
      <w:r>
        <w:rPr>
          <w:sz w:val="20"/>
          <w:szCs w:val="20"/>
          <w:color w:val="auto"/>
        </w:rPr>
        <w:tab/>
      </w:r>
      <w:r>
        <w:rPr>
          <w:rFonts w:ascii="Arial" w:cs="Arial" w:eastAsia="Arial" w:hAnsi="Arial"/>
          <w:sz w:val="18"/>
          <w:szCs w:val="18"/>
          <w:color w:val="auto"/>
        </w:rPr>
        <w:t>No</w:t>
      </w:r>
      <w:r>
        <w:rPr>
          <w:sz w:val="20"/>
          <w:szCs w:val="20"/>
          <w:color w:val="auto"/>
        </w:rPr>
        <w:tab/>
      </w:r>
      <w:r>
        <w:rPr>
          <w:rFonts w:ascii="Arial Unicode MS" w:cs="Arial Unicode MS" w:eastAsia="Arial Unicode MS" w:hAnsi="Arial Unicode MS"/>
          <w:sz w:val="18"/>
          <w:szCs w:val="18"/>
          <w:color w:val="auto"/>
        </w:rPr>
        <w:t>☒</w:t>
      </w:r>
    </w:p>
    <w:p>
      <w:pPr>
        <w:spacing w:after="0" w:line="75"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was $16,979,806 based upon the closing price of such common stock on June 30, 2019.</w:t>
      </w:r>
    </w:p>
    <w:p>
      <w:pPr>
        <w:ind w:right="1540"/>
        <w:spacing w:after="0" w:line="371" w:lineRule="auto"/>
        <w:rPr>
          <w:sz w:val="20"/>
          <w:szCs w:val="20"/>
          <w:color w:val="auto"/>
        </w:rPr>
      </w:pPr>
      <w:r>
        <w:rPr>
          <w:rFonts w:ascii="Arial" w:cs="Arial" w:eastAsia="Arial" w:hAnsi="Arial"/>
          <w:sz w:val="18"/>
          <w:szCs w:val="18"/>
          <w:color w:val="auto"/>
        </w:rPr>
        <w:t>The number of shares of the issuer’s common stock issued and outstanding as of March 30, 2020 was 18,866,417 shares.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31115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596900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8360" w:type="dxa"/>
            <w:vAlign w:val="bottom"/>
            <w:gridSpan w:val="9"/>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gridSpan w:val="5"/>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6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1A</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4</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680" w:type="dxa"/>
            <w:vAlign w:val="bottom"/>
          </w:tcPr>
          <w:p>
            <w:pPr>
              <w:jc w:val="right"/>
              <w:spacing w:after="0"/>
              <w:rPr>
                <w:rFonts w:ascii="Arial" w:cs="Arial" w:eastAsia="Arial" w:hAnsi="Arial"/>
                <w:sz w:val="18"/>
                <w:szCs w:val="18"/>
                <w:b w:val="1"/>
                <w:bCs w:val="1"/>
                <w:u w:val="single" w:color="auto"/>
                <w:color w:val="0000EE"/>
                <w:w w:val="99"/>
              </w:rPr>
            </w:pPr>
            <w:hyperlink w:anchor="page30">
              <w:r>
                <w:rPr>
                  <w:rFonts w:ascii="Arial" w:cs="Arial" w:eastAsia="Arial" w:hAnsi="Arial"/>
                  <w:sz w:val="18"/>
                  <w:szCs w:val="18"/>
                  <w:b w:val="1"/>
                  <w:bCs w:val="1"/>
                  <w:u w:val="single" w:color="auto"/>
                  <w:color w:val="0000EE"/>
                  <w:w w:val="99"/>
                </w:rPr>
                <w:t>PART II</w:t>
              </w:r>
            </w:hyperlink>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jc w:val="right"/>
              <w:spacing w:after="0" w:line="190"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w:t>
              </w:r>
            </w:hyperlink>
          </w:p>
        </w:tc>
        <w:tc>
          <w:tcPr>
            <w:tcW w:w="480" w:type="dxa"/>
            <w:vAlign w:val="bottom"/>
          </w:tcPr>
          <w:p>
            <w:pPr>
              <w:ind w:left="20"/>
              <w:spacing w:after="0" w:line="190"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5</w:t>
              </w:r>
            </w:hyperlink>
          </w:p>
        </w:tc>
        <w:tc>
          <w:tcPr>
            <w:tcW w:w="7200" w:type="dxa"/>
            <w:vAlign w:val="bottom"/>
            <w:gridSpan w:val="7"/>
          </w:tcPr>
          <w:p>
            <w:pPr>
              <w:ind w:left="20"/>
              <w:spacing w:after="0" w:line="190"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Market for Registrant’s Common Equity, Related Stockholder Matters and Issuer Purchases of</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Equity Securities</w:t>
              </w:r>
            </w:hyperlink>
          </w:p>
        </w:tc>
        <w:tc>
          <w:tcPr>
            <w:tcW w:w="4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6</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7A</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8</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9</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9A</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68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9B</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PART III</w:t>
              </w:r>
            </w:hyperlink>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jc w:val="right"/>
              <w:spacing w:after="0" w:line="19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w:t>
              </w:r>
            </w:hyperlink>
          </w:p>
        </w:tc>
        <w:tc>
          <w:tcPr>
            <w:tcW w:w="480" w:type="dxa"/>
            <w:vAlign w:val="bottom"/>
          </w:tcPr>
          <w:p>
            <w:pPr>
              <w:ind w:left="20"/>
              <w:spacing w:after="0" w:line="19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10</w:t>
              </w:r>
            </w:hyperlink>
          </w:p>
        </w:tc>
        <w:tc>
          <w:tcPr>
            <w:tcW w:w="7200" w:type="dxa"/>
            <w:vAlign w:val="bottom"/>
            <w:gridSpan w:val="7"/>
          </w:tcPr>
          <w:p>
            <w:pPr>
              <w:ind w:left="20"/>
              <w:spacing w:after="0" w:line="190" w:lineRule="exact"/>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Promoters, Control Persons and Corporate Governance;</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Compliance with Section 16(a) of the Exchange Act</w:t>
              </w:r>
            </w:hyperlink>
          </w:p>
        </w:tc>
        <w:tc>
          <w:tcPr>
            <w:tcW w:w="2440" w:type="dxa"/>
            <w:vAlign w:val="bottom"/>
            <w:tcBorders>
              <w:top w:val="single" w:sz="8" w:color="0000EE"/>
            </w:tcBorders>
          </w:tcPr>
          <w:p>
            <w:pPr>
              <w:spacing w:after="0"/>
              <w:rPr>
                <w:sz w:val="17"/>
                <w:szCs w:val="17"/>
                <w:color w:val="auto"/>
              </w:rPr>
            </w:pPr>
          </w:p>
        </w:tc>
        <w:tc>
          <w:tcPr>
            <w:tcW w:w="98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68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11</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0"/>
        </w:trPr>
        <w:tc>
          <w:tcPr>
            <w:tcW w:w="680" w:type="dxa"/>
            <w:vAlign w:val="bottom"/>
          </w:tcPr>
          <w:p>
            <w:pPr>
              <w:jc w:val="right"/>
              <w:spacing w:after="0" w:line="190"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w:t>
              </w:r>
            </w:hyperlink>
          </w:p>
        </w:tc>
        <w:tc>
          <w:tcPr>
            <w:tcW w:w="480" w:type="dxa"/>
            <w:vAlign w:val="bottom"/>
          </w:tcPr>
          <w:p>
            <w:pPr>
              <w:ind w:left="20"/>
              <w:spacing w:after="0" w:line="190"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12</w:t>
              </w:r>
            </w:hyperlink>
          </w:p>
        </w:tc>
        <w:tc>
          <w:tcPr>
            <w:tcW w:w="7200" w:type="dxa"/>
            <w:vAlign w:val="bottom"/>
            <w:gridSpan w:val="7"/>
          </w:tcPr>
          <w:p>
            <w:pPr>
              <w:ind w:left="20"/>
              <w:spacing w:after="0" w:line="190"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Security Ownership of Certain Beneficial Owners and Management and Related Stockholder</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Matters</w:t>
              </w:r>
            </w:hyperlink>
          </w:p>
        </w:tc>
        <w:tc>
          <w:tcPr>
            <w:tcW w:w="6140" w:type="dxa"/>
            <w:vAlign w:val="bottom"/>
            <w:tcBorders>
              <w:top w:val="single" w:sz="8" w:color="0000EE"/>
            </w:tcBorders>
            <w:gridSpan w:val="4"/>
          </w:tcPr>
          <w:p>
            <w:pPr>
              <w:spacing w:after="0"/>
              <w:rPr>
                <w:sz w:val="17"/>
                <w:szCs w:val="17"/>
                <w:color w:val="auto"/>
              </w:rPr>
            </w:pPr>
          </w:p>
        </w:tc>
        <w:tc>
          <w:tcPr>
            <w:tcW w:w="5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68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13</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Certain Relationships and Related Transactions, and Director Independence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80" w:type="dxa"/>
            <w:vAlign w:val="bottom"/>
          </w:tcPr>
          <w:p>
            <w:pPr>
              <w:jc w:val="right"/>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14</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PART IV</w:t>
              </w:r>
            </w:hyperlink>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Item</w:t>
              </w:r>
            </w:hyperlink>
          </w:p>
        </w:tc>
        <w:tc>
          <w:tcPr>
            <w:tcW w:w="480" w:type="dxa"/>
            <w:vAlign w:val="bottom"/>
          </w:tcPr>
          <w:p>
            <w:pPr>
              <w:ind w:left="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15</w:t>
              </w:r>
            </w:hyperlink>
          </w:p>
        </w:tc>
        <w:tc>
          <w:tcPr>
            <w:tcW w:w="7200" w:type="dxa"/>
            <w:vAlign w:val="bottom"/>
            <w:gridSpan w:val="7"/>
          </w:tcPr>
          <w:p>
            <w:pPr>
              <w:ind w:left="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0" w:type="dxa"/>
            <w:vAlign w:val="bottom"/>
            <w:gridSpan w:val="7"/>
          </w:tcPr>
          <w:p>
            <w:pPr>
              <w:ind w:left="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878"/>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3"/>
          </w:tcPr>
          <w:p>
            <w:pPr>
              <w:ind w:left="3260"/>
              <w:spacing w:after="0"/>
              <w:rPr>
                <w:sz w:val="20"/>
                <w:szCs w:val="20"/>
                <w:color w:val="auto"/>
              </w:rPr>
            </w:pPr>
            <w:r>
              <w:rPr>
                <w:rFonts w:ascii="Arial" w:cs="Arial" w:eastAsia="Arial" w:hAnsi="Arial"/>
                <w:sz w:val="18"/>
                <w:szCs w:val="18"/>
                <w:color w:val="auto"/>
              </w:rPr>
              <w:t>2</w:t>
            </w: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6"/>
          <w:szCs w:val="16"/>
          <w:color w:val="auto"/>
        </w:rPr>
        <w:t>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396"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8"/>
          <w:szCs w:val="18"/>
          <w:color w:val="auto"/>
        </w:rPr>
        <w:t>The "Isaac Mizrahi New York</w:t>
      </w:r>
      <w:r>
        <w:rPr>
          <w:rFonts w:ascii="Arial" w:cs="Arial" w:eastAsia="Arial" w:hAnsi="Arial"/>
          <w:sz w:val="8"/>
          <w:szCs w:val="8"/>
          <w:color w:val="auto"/>
        </w:rPr>
        <w:t>®</w:t>
      </w:r>
      <w:r>
        <w:rPr>
          <w:rFonts w:ascii="Arial" w:cs="Arial" w:eastAsia="Arial" w:hAnsi="Arial"/>
          <w:sz w:val="18"/>
          <w:szCs w:val="18"/>
          <w:color w:val="auto"/>
        </w:rPr>
        <w:t>," “Isaac Mizrahi</w:t>
      </w:r>
      <w:r>
        <w:rPr>
          <w:rFonts w:ascii="Arial" w:cs="Arial" w:eastAsia="Arial" w:hAnsi="Arial"/>
          <w:sz w:val="8"/>
          <w:szCs w:val="8"/>
          <w:color w:val="auto"/>
        </w:rPr>
        <w:t>®</w:t>
      </w:r>
      <w:r>
        <w:rPr>
          <w:rFonts w:ascii="Arial" w:cs="Arial" w:eastAsia="Arial" w:hAnsi="Arial"/>
          <w:sz w:val="18"/>
          <w:szCs w:val="18"/>
          <w:color w:val="auto"/>
        </w:rPr>
        <w:t>," "IsaacMizrahiLIVE</w:t>
      </w:r>
      <w:r>
        <w:rPr>
          <w:rFonts w:ascii="Arial" w:cs="Arial" w:eastAsia="Arial" w:hAnsi="Arial"/>
          <w:sz w:val="8"/>
          <w:szCs w:val="8"/>
          <w:color w:val="auto"/>
        </w:rPr>
        <w:t>®</w:t>
      </w:r>
      <w:r>
        <w:rPr>
          <w:rFonts w:ascii="Arial" w:cs="Arial" w:eastAsia="Arial" w:hAnsi="Arial"/>
          <w:sz w:val="18"/>
          <w:szCs w:val="18"/>
          <w:color w:val="auto"/>
        </w:rPr>
        <w:t>," "Isaac Mizrahi Jeans</w:t>
      </w:r>
      <w:r>
        <w:rPr>
          <w:rFonts w:ascii="Arial" w:cs="Arial" w:eastAsia="Arial" w:hAnsi="Arial"/>
          <w:sz w:val="8"/>
          <w:szCs w:val="8"/>
          <w:color w:val="auto"/>
        </w:rPr>
        <w:t>™</w:t>
      </w:r>
      <w:r>
        <w:rPr>
          <w:rFonts w:ascii="Arial" w:cs="Arial" w:eastAsia="Arial" w:hAnsi="Arial"/>
          <w:sz w:val="18"/>
          <w:szCs w:val="18"/>
          <w:color w:val="auto"/>
        </w:rPr>
        <w:t xml:space="preserve">," "Isaac Mizrahi CRAFT </w:t>
      </w:r>
      <w:r>
        <w:rPr>
          <w:rFonts w:ascii="Arial" w:cs="Arial" w:eastAsia="Arial" w:hAnsi="Arial"/>
          <w:sz w:val="8"/>
          <w:szCs w:val="8"/>
          <w:color w:val="auto"/>
        </w:rPr>
        <w:t>™</w:t>
      </w:r>
      <w:r>
        <w:rPr>
          <w:rFonts w:ascii="Arial" w:cs="Arial" w:eastAsia="Arial" w:hAnsi="Arial"/>
          <w:sz w:val="17"/>
          <w:szCs w:val="17"/>
          <w:color w:val="auto"/>
        </w:rPr>
        <w:t>," "Judith Ripka LTD</w:t>
      </w:r>
      <w:r>
        <w:rPr>
          <w:rFonts w:ascii="Arial" w:cs="Arial" w:eastAsia="Arial" w:hAnsi="Arial"/>
          <w:sz w:val="8"/>
          <w:szCs w:val="8"/>
          <w:color w:val="auto"/>
        </w:rPr>
        <w:t>™</w:t>
      </w:r>
      <w:r>
        <w:rPr>
          <w:rFonts w:ascii="Arial" w:cs="Arial" w:eastAsia="Arial" w:hAnsi="Arial"/>
          <w:sz w:val="17"/>
          <w:szCs w:val="17"/>
          <w:color w:val="auto"/>
        </w:rPr>
        <w:t>," "Judith Ripka Collection</w:t>
      </w:r>
      <w:r>
        <w:rPr>
          <w:rFonts w:ascii="Arial" w:cs="Arial" w:eastAsia="Arial" w:hAnsi="Arial"/>
          <w:sz w:val="8"/>
          <w:szCs w:val="8"/>
          <w:color w:val="auto"/>
        </w:rPr>
        <w:t>™</w:t>
      </w:r>
      <w:r>
        <w:rPr>
          <w:rFonts w:ascii="Arial" w:cs="Arial" w:eastAsia="Arial" w:hAnsi="Arial"/>
          <w:sz w:val="17"/>
          <w:szCs w:val="17"/>
          <w:color w:val="auto"/>
        </w:rPr>
        <w:t>," "Judith Ripka Legacy</w:t>
      </w:r>
      <w:r>
        <w:rPr>
          <w:rFonts w:ascii="Arial" w:cs="Arial" w:eastAsia="Arial" w:hAnsi="Arial"/>
          <w:sz w:val="8"/>
          <w:szCs w:val="8"/>
          <w:color w:val="auto"/>
        </w:rPr>
        <w:t>™</w:t>
      </w:r>
      <w:r>
        <w:rPr>
          <w:rFonts w:ascii="Arial" w:cs="Arial" w:eastAsia="Arial" w:hAnsi="Arial"/>
          <w:sz w:val="17"/>
          <w:szCs w:val="17"/>
          <w:color w:val="auto"/>
        </w:rPr>
        <w:t>," "Judith Ripka</w:t>
      </w:r>
      <w:r>
        <w:rPr>
          <w:rFonts w:ascii="Arial" w:cs="Arial" w:eastAsia="Arial" w:hAnsi="Arial"/>
          <w:sz w:val="8"/>
          <w:szCs w:val="8"/>
          <w:color w:val="auto"/>
        </w:rPr>
        <w:t>®</w:t>
      </w:r>
      <w:r>
        <w:rPr>
          <w:rFonts w:ascii="Arial" w:cs="Arial" w:eastAsia="Arial" w:hAnsi="Arial"/>
          <w:sz w:val="17"/>
          <w:szCs w:val="17"/>
          <w:color w:val="auto"/>
        </w:rPr>
        <w:t>,” "Judith Ripka Sterling</w:t>
      </w:r>
      <w:r>
        <w:rPr>
          <w:rFonts w:ascii="Arial" w:cs="Arial" w:eastAsia="Arial" w:hAnsi="Arial"/>
          <w:sz w:val="8"/>
          <w:szCs w:val="8"/>
          <w:color w:val="auto"/>
        </w:rPr>
        <w:t xml:space="preserve"> ™</w:t>
      </w:r>
      <w:r>
        <w:rPr>
          <w:rFonts w:ascii="Arial" w:cs="Arial" w:eastAsia="Arial" w:hAnsi="Arial"/>
          <w:sz w:val="17"/>
          <w:szCs w:val="17"/>
          <w:color w:val="auto"/>
        </w:rPr>
        <w:t>,"</w:t>
      </w:r>
      <w:r>
        <w:rPr>
          <w:rFonts w:ascii="Arial" w:cs="Arial" w:eastAsia="Arial" w:hAnsi="Arial"/>
          <w:sz w:val="8"/>
          <w:szCs w:val="8"/>
          <w:color w:val="auto"/>
        </w:rPr>
        <w:t xml:space="preserve"> </w:t>
      </w:r>
      <w:r>
        <w:rPr>
          <w:rFonts w:ascii="Arial" w:cs="Arial" w:eastAsia="Arial" w:hAnsi="Arial"/>
          <w:sz w:val="17"/>
          <w:szCs w:val="17"/>
          <w:color w:val="auto"/>
        </w:rPr>
        <w:t>"Halston," "Halston Heritage," "H by Halston</w:t>
      </w:r>
      <w:r>
        <w:rPr>
          <w:rFonts w:ascii="Arial" w:cs="Arial" w:eastAsia="Arial" w:hAnsi="Arial"/>
          <w:sz w:val="8"/>
          <w:szCs w:val="8"/>
          <w:color w:val="auto"/>
        </w:rPr>
        <w:t>®</w:t>
      </w:r>
      <w:r>
        <w:rPr>
          <w:rFonts w:ascii="Arial" w:cs="Arial" w:eastAsia="Arial" w:hAnsi="Arial"/>
          <w:sz w:val="17"/>
          <w:szCs w:val="17"/>
          <w:color w:val="auto"/>
        </w:rPr>
        <w:t>," "H Halston</w:t>
      </w:r>
      <w:r>
        <w:rPr>
          <w:rFonts w:ascii="Arial" w:cs="Arial" w:eastAsia="Arial" w:hAnsi="Arial"/>
          <w:sz w:val="8"/>
          <w:szCs w:val="8"/>
          <w:color w:val="auto"/>
        </w:rPr>
        <w:t>™</w:t>
      </w:r>
      <w:r>
        <w:rPr>
          <w:rFonts w:ascii="Arial" w:cs="Arial" w:eastAsia="Arial" w:hAnsi="Arial"/>
          <w:sz w:val="17"/>
          <w:szCs w:val="17"/>
          <w:color w:val="auto"/>
        </w:rPr>
        <w:t>," "Roy Frowick," "C. Wonder</w:t>
      </w:r>
      <w:r>
        <w:rPr>
          <w:rFonts w:ascii="Arial" w:cs="Arial" w:eastAsia="Arial" w:hAnsi="Arial"/>
          <w:sz w:val="8"/>
          <w:szCs w:val="8"/>
          <w:color w:val="auto"/>
        </w:rPr>
        <w:t>™</w:t>
      </w:r>
      <w:r>
        <w:rPr>
          <w:rFonts w:ascii="Arial" w:cs="Arial" w:eastAsia="Arial" w:hAnsi="Arial"/>
          <w:sz w:val="17"/>
          <w:szCs w:val="17"/>
          <w:color w:val="auto"/>
        </w:rPr>
        <w:t>," and "C. Wonder Limited</w:t>
      </w:r>
      <w:r>
        <w:rPr>
          <w:rFonts w:ascii="Arial" w:cs="Arial" w:eastAsia="Arial" w:hAnsi="Arial"/>
          <w:sz w:val="8"/>
          <w:szCs w:val="8"/>
          <w:color w:val="auto"/>
        </w:rPr>
        <w:t>™</w:t>
      </w:r>
      <w:r>
        <w:rPr>
          <w:rFonts w:ascii="Arial" w:cs="Arial" w:eastAsia="Arial" w:hAnsi="Arial"/>
          <w:sz w:val="17"/>
          <w:szCs w:val="17"/>
          <w:color w:val="auto"/>
        </w:rPr>
        <w:t>" brands and all related logos and other trademarks or service marks of the Company appearing in this Annual Report are the property of the Company.</w:t>
      </w:r>
    </w:p>
    <w:p>
      <w:pPr>
        <w:spacing w:after="0" w:line="175"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Xcel Brands, Inc. is a media and consumer products company engaged in the design, production, marketing, wholesale distribution, and direct-to-consumer sales of branded apparel, footwear, accessories, jewelry, home goods and other consumer products, and the acquisition of dynamic consumer lifestyle brands. We have developed a design, production, and supply chain capability driven by our proprietary integrated technology platform. Currently, our brand portfolio consists of the Isaac Mizrahi brand (the "Isaac Mizrahi Brand"), the Judith Ripka brand (the "Ripka Brand"), the Halston brand (the "Halston Brand"), and the C Wonder brand (the "C Wonder Brand"). We also own and manage the Longaberger brand (the “Longaberger Brand”) through our controlling interest in Longaberger Licensing, LLC.</w:t>
      </w:r>
    </w:p>
    <w:p>
      <w:pPr>
        <w:spacing w:after="0" w:line="177"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Our vision is intended to reimagine shopping, entertainment, and social media as one. We design, produce, market, and distribute products and, in certain cases, license our brands to third parties, and generate licensing fees. We and our licensees distribute through a ubiquitous-channel retail sales strategy, which includes distribution through interactive television, the Internet, and traditional brick-and-mortar retail channels. By leveraging digital and social media content across all distribution channels, we seek to drive consumer engagement and generate retail sales across our brands. Our strong relationships with leading retailers and interactive television companies and cable network TV enable us to reach consumers in approximately 380 million homes worldwide and hundreds of millions of social media followers.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70" w:lineRule="exact"/>
        <w:rPr>
          <w:sz w:val="20"/>
          <w:szCs w:val="20"/>
          <w:color w:val="auto"/>
        </w:rPr>
      </w:pPr>
    </w:p>
    <w:p>
      <w:pPr>
        <w:ind w:left="700" w:right="59" w:hanging="332"/>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distribute and/or license our brands for sale through interactive television (i.e. QVC, The Shopping Channel) whereby we design, manage production, merchandise the shows, and manage the on-air talent;</w:t>
      </w:r>
    </w:p>
    <w:p>
      <w:pPr>
        <w:spacing w:after="0" w:line="146" w:lineRule="exact"/>
        <w:rPr>
          <w:rFonts w:ascii="Arial" w:cs="Arial" w:eastAsia="Arial" w:hAnsi="Arial"/>
          <w:sz w:val="17"/>
          <w:szCs w:val="17"/>
          <w:color w:val="auto"/>
        </w:rPr>
      </w:pPr>
    </w:p>
    <w:p>
      <w:pPr>
        <w:jc w:val="both"/>
        <w:ind w:left="700" w:right="59" w:hanging="332"/>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sites directly to the end consumer; and</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quickly integrate additional consumer brands into our operating platform and leverage our design, production, and marketing capabilities, and distribution relationships.</w:t>
      </w:r>
    </w:p>
    <w:p>
      <w:pPr>
        <w:spacing w:after="0" w:line="170"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700" w:hanging="332"/>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management team, including our officers’ and directors’ experience in, and relationships within the industry;</w:t>
      </w:r>
    </w:p>
    <w:p>
      <w:pPr>
        <w:spacing w:after="0" w:line="248" w:lineRule="exact"/>
        <w:rPr>
          <w:rFonts w:ascii="Arial" w:cs="Arial" w:eastAsia="Arial" w:hAnsi="Arial"/>
          <w:sz w:val="16"/>
          <w:szCs w:val="16"/>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media and internet presence and distribution.</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January 2018 we launched our Judith Ripka Fine Jewelry wholesale operations, and in November 2018, we launched our apparel wholesale operations.</w:t>
      </w:r>
    </w:p>
    <w:p>
      <w:pPr>
        <w:spacing w:after="0" w:line="17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 February 2019, we acquired the Halston brand, the Halston Heritage brand and Roy Frowick brand (collectively the "Halston Heritage Brands"). The acquisition of the Halston Heritage Brands gives us an opportunity to focus on the entirety of the Halston Brand, the various labels and their design nuances, while continuing to preserve the iconic American brand’s legacy.</w:t>
      </w:r>
    </w:p>
    <w:p>
      <w:pPr>
        <w:spacing w:after="0" w:line="18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In November 2019, we acquired a controlling interest in the Longaberger Brand, and through that venture we are actively managing this home goods and lifestyle brand to build on its history and bring the brand into the future.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21" w:lineRule="exact"/>
        <w:rPr>
          <w:sz w:val="20"/>
          <w:szCs w:val="20"/>
          <w:color w:val="auto"/>
        </w:rPr>
      </w:pPr>
      <w:r>
        <w:rPr>
          <w:rFonts w:ascii="Arial" w:cs="Arial" w:eastAsia="Arial" w:hAnsi="Arial"/>
          <w:sz w:val="17"/>
          <w:szCs w:val="17"/>
          <w:color w:val="auto"/>
        </w:rPr>
        <w:t>Our principal office is located at 1333 Broadway, New York, NY 10018. Our telephone number is (347) 727</w:t>
      </w:r>
      <w:r>
        <w:rPr>
          <w:rFonts w:ascii="MS PGothic" w:cs="MS PGothic" w:eastAsia="MS PGothic" w:hAnsi="MS PGothic"/>
          <w:sz w:val="17"/>
          <w:szCs w:val="17"/>
          <w:color w:val="auto"/>
        </w:rPr>
        <w:t>‑</w:t>
      </w:r>
      <w:r>
        <w:rPr>
          <w:rFonts w:ascii="Arial" w:cs="Arial" w:eastAsia="Arial" w:hAnsi="Arial"/>
          <w:sz w:val="17"/>
          <w:szCs w:val="17"/>
          <w:color w:val="auto"/>
        </w:rPr>
        <w:t>2474. Additionally, we maintain websites for our respective brands and an e-commerce site for our Judith Ripka brand at www.isaacmizrahi.com, www.judithripka.com, and www.cwonder.com. Our corporate website is www.xcelbrands.com.</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Currently, our brand portfolio consists of the Isaac Mizrahi Brand, the Judith Ripka Brand, the H Halston Brand, the Halston Heritage Brands, the C Wonder Brand, the Longaberger brand and the various labels under these brands.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ubiquitous-channel retail sales strategy, the brand is available across various distribution channels to reach customers wherever they shop: better department stores, such as Lord &amp; Taylor and Hudson’s Bay; interactive television, including QVC and The Shopping Channel; and national specialty retailers. The brand is also sold in various global locations, including Canada and the United Kingdom. We acquired the IsaacMizrahi brand in September 2011.</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Ms. Ripka launched an innovative collection of fine jewelry on QVC under the Judith Ripka Brand in 1996, where the brand offers customers fine jewelry, watches, and accessories at more accessible price points, including precious and semi-precious stones and multi-faceted diamonique stones made exclusively for QVC. We acquired the Ripka brand in April 2014. A line of luxury watches was introduced in 2015. In December 2017, we launched our Judith Ripka Fine Jewelry e-commerce operations and in January 2018, we launched the Judith Ripka Fine Jewelry wholesale operations.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Halston</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We launched the H by Halston brand on QVC in September 2015, which is available exclusively through interactive television channels. In April 2016 we launched the H Halston brand lifestyle collection in certain better department stores. The Halston and Halston Heritage brands are distributed in premium retailers such as Saks, Neiman Marcus, and Bloomingdale’s.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 Wonder</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launched the brand on QVC in March 2016. During the first quarter of 2017, we reached an agreement with QVC to enable us to transition the brand to a broader base of retailers, including department stores and mass merchant retailers.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Longaberger</w:t>
      </w:r>
    </w:p>
    <w:p>
      <w:pPr>
        <w:spacing w:after="0" w:line="22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Longaberger is an iconic American heritage home and collectibles brand that was founded in 1973 by the Longaberger family. The brand is best known for its distinctive handwoven baskets. We acquired a 50% ownership interest in this brand through a joint venture with Hilco Global in November 2019, and are actively managing this brand to build on its history and bring it into the future. We launched the brand on QVC in November 2019.</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Our vision is intended to reimagine shopping, entertainment, and social media as one. To fulfill this vision, we plan to continue to grow the reach of our brand portfolio by leveraging our own internal design, production, integrated technology platforms and marketing expertise, and our relationships with our retail and direct-to-consumer customers, key licensees, manufacturers and retailers. We also continue to market our brands through our innovative ubiquitous-channel retail sales strategy. Our strategy includes distribution through interactive television, e-commerce,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p>
      <w:pPr>
        <w:spacing w:after="0" w:line="178" w:lineRule="exact"/>
        <w:rPr>
          <w:sz w:val="20"/>
          <w:szCs w:val="20"/>
          <w:color w:val="auto"/>
        </w:rPr>
      </w:pPr>
    </w:p>
    <w:p>
      <w:pPr>
        <w:jc w:val="both"/>
        <w:ind w:left="360" w:right="59" w:hanging="316"/>
        <w:spacing w:after="0" w:line="217" w:lineRule="exact"/>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and Leverage Design, Production and Supply Chain Platform. </w:t>
      </w:r>
      <w:r>
        <w:rPr>
          <w:rFonts w:ascii="Arial" w:cs="Arial" w:eastAsia="Arial" w:hAnsi="Arial"/>
          <w:sz w:val="16"/>
          <w:szCs w:val="16"/>
          <w:color w:val="auto"/>
        </w:rPr>
        <w:t>In 2015, we developed a design,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supply chain platform designed to deliver short lead production capabilities to our retail customers, helping drive traffic and enable retailers to respond quickly to customer demand - a read-and-react model. Our design, production and supply chain platform shortens the supply chain cycle by utilizing state-of-the-art product lifecycle management (“PLM”) systems, proprietary merchandising strategies, 3D design, trend analytics, data science and consumer insight testing to actively monitor fashion trends, while leveraging our experience and know-how to quickly design, test, market, produce, and source high-quality goods. We launched women’s sportswear collections under several of our brands in the department store channel in 2016 and 2017 through a license, and in November 2018 we transitioned the license to a wholesale business model. Given some of the challenges facing the department store industry today, including declining customer traffic, aggressive mark-down cadence, and inability to respond quickly to customer demands, we developed this design, production and supply chain platform to address these challenges and deliver a 360</w:t>
      </w:r>
      <w:r>
        <w:rPr>
          <w:rFonts w:ascii="MS PGothic" w:cs="MS PGothic" w:eastAsia="MS PGothic" w:hAnsi="MS PGothic"/>
          <w:sz w:val="16"/>
          <w:szCs w:val="16"/>
          <w:color w:val="auto"/>
        </w:rPr>
        <w:t>‑</w:t>
      </w:r>
      <w:r>
        <w:rPr>
          <w:rFonts w:ascii="Arial" w:cs="Arial" w:eastAsia="Arial" w:hAnsi="Arial"/>
          <w:sz w:val="16"/>
          <w:szCs w:val="16"/>
          <w:color w:val="auto"/>
        </w:rPr>
        <w:t>degree solution to our retail partners, including design, marketing, production, and sourcing services. We intend to leverage the platform across additional brands and retailers, and we believe that it provides us with a value-added service that differentiates us from our competitors and competing brands.</w:t>
      </w:r>
    </w:p>
    <w:p>
      <w:pPr>
        <w:spacing w:after="0" w:line="202" w:lineRule="exact"/>
        <w:rPr>
          <w:rFonts w:ascii="Arial" w:cs="Arial" w:eastAsia="Arial" w:hAnsi="Arial"/>
          <w:sz w:val="16"/>
          <w:szCs w:val="16"/>
          <w:color w:val="auto"/>
        </w:rPr>
      </w:pPr>
    </w:p>
    <w:p>
      <w:pPr>
        <w:jc w:val="both"/>
        <w:ind w:left="360" w:right="59" w:hanging="316"/>
        <w:spacing w:after="0" w:line="26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Develop our Integrated Technologies Platform. </w:t>
      </w:r>
      <w:r>
        <w:rPr>
          <w:rFonts w:ascii="Arial" w:cs="Arial" w:eastAsia="Arial" w:hAnsi="Arial"/>
          <w:sz w:val="17"/>
          <w:szCs w:val="17"/>
          <w:color w:val="auto"/>
        </w:rPr>
        <w:t>We are developing and investing in integrated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including PLM and ERP systems, 3D design, trend analytics, data science, and consumer insight testing as a refinement of our design, production and supply chain platform in order to design and plan our apparel collections more efficiently and intelligently. Driven by short-lead marketing, such as social media and new direct-to-consumer business models, consumers now expect more from apparel brands and retailers, and we believe that the solution is to deliver to the customer what they want, when they want it, at a price that they can confirm is fair. Advances in 3D design technologies and software allow us to design more efficiently, seamlessly communicate technical aspects of designs with our manufacturing partners, and produce better fitting,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 internet searches, social media, and inventory trends provide a forward-looking view of consumer design preferences and allow us to design into trends early-on, while data analytics will allow us to review performance and respond quickly in our read-and-react design, production and supply chain model. We will also seek to utilize machine learning and artificial intelligence to automate at least a portion of these functions.</w:t>
      </w:r>
    </w:p>
    <w:p>
      <w:pPr>
        <w:spacing w:after="0" w:line="181" w:lineRule="exact"/>
        <w:rPr>
          <w:rFonts w:ascii="Arial" w:cs="Arial" w:eastAsia="Arial" w:hAnsi="Arial"/>
          <w:sz w:val="17"/>
          <w:szCs w:val="17"/>
          <w:color w:val="auto"/>
        </w:rPr>
      </w:pPr>
    </w:p>
    <w:p>
      <w:pPr>
        <w:jc w:val="both"/>
        <w:ind w:left="360" w:right="59"/>
        <w:spacing w:after="0" w:line="279" w:lineRule="auto"/>
        <w:rPr>
          <w:rFonts w:ascii="Arial" w:cs="Arial" w:eastAsia="Arial" w:hAnsi="Arial"/>
          <w:sz w:val="17"/>
          <w:szCs w:val="17"/>
          <w:color w:val="auto"/>
        </w:rPr>
      </w:pPr>
      <w:r>
        <w:rPr>
          <w:rFonts w:ascii="Arial" w:cs="Arial" w:eastAsia="Arial" w:hAnsi="Arial"/>
          <w:sz w:val="17"/>
          <w:szCs w:val="17"/>
          <w:color w:val="auto"/>
        </w:rPr>
        <w:t>We believe that our investment into these technologies position us to provide unique and advanced solutions to retailers in the current and rapidly changing environment. More importantly, we believe that it will help us continue to grow our business across our brands and in private label production, and the integrated technologies platform itself should develop more significant value as we continue to build and develop 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60" w:right="59" w:hanging="316"/>
        <w:spacing w:after="0" w:line="255"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Other Retail Partnerships. </w:t>
      </w:r>
      <w:r>
        <w:rPr>
          <w:rFonts w:ascii="Arial" w:cs="Arial" w:eastAsia="Arial" w:hAnsi="Arial"/>
          <w:sz w:val="18"/>
          <w:szCs w:val="18"/>
          <w:color w:val="auto"/>
        </w:rPr>
        <w:t>We have entered into promotional collaborations and/or marketing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large global companies such as Sesame Street, 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92" w:lineRule="exact"/>
        <w:rPr>
          <w:rFonts w:ascii="Arial" w:cs="Arial" w:eastAsia="Arial" w:hAnsi="Arial"/>
          <w:sz w:val="18"/>
          <w:szCs w:val="18"/>
          <w:color w:val="auto"/>
        </w:rPr>
      </w:pPr>
    </w:p>
    <w:p>
      <w:pPr>
        <w:jc w:val="both"/>
        <w:ind w:left="360" w:right="59" w:hanging="316"/>
        <w:spacing w:after="0" w:line="272"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 Wholesale License Relationships. </w:t>
      </w:r>
      <w:r>
        <w:rPr>
          <w:rFonts w:ascii="Arial" w:cs="Arial" w:eastAsia="Arial" w:hAnsi="Arial"/>
          <w:sz w:val="17"/>
          <w:szCs w:val="17"/>
          <w:color w:val="auto"/>
        </w:rPr>
        <w:t>We have entered into numerous license agreements for various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under our brands. With the launch of our design, production and supply chain platform in 2016, we have expanded the presence of our brands at department stores and subsequently launched additional categories in the department store channel, including footwear, handbags, dresses, costume jewelry, and sunglasses.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p>
      <w:pPr>
        <w:spacing w:after="0" w:line="177" w:lineRule="exact"/>
        <w:rPr>
          <w:rFonts w:ascii="Arial" w:cs="Arial" w:eastAsia="Arial" w:hAnsi="Arial"/>
          <w:sz w:val="17"/>
          <w:szCs w:val="17"/>
          <w:color w:val="auto"/>
        </w:rPr>
      </w:pPr>
    </w:p>
    <w:p>
      <w:pPr>
        <w:jc w:val="both"/>
        <w:ind w:left="360" w:right="59" w:hanging="316"/>
        <w:spacing w:after="0" w:line="279"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Deliver Quality Product Offerings. </w:t>
      </w:r>
      <w:r>
        <w:rPr>
          <w:rFonts w:ascii="Arial" w:cs="Arial" w:eastAsia="Arial" w:hAnsi="Arial"/>
          <w:sz w:val="17"/>
          <w:szCs w:val="17"/>
          <w:color w:val="auto"/>
        </w:rPr>
        <w:t>We employ a professional team to provide best in class design, production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to ensure that our products adhere to stringent quality standards and design specifications that we have developed. We intend to continue to invest in our design and marketing capabilities in order to differentiate our services to our customers and licensees and our brands in the marketplace.</w:t>
      </w:r>
    </w:p>
    <w:p>
      <w:pPr>
        <w:spacing w:after="0" w:line="171" w:lineRule="exact"/>
        <w:rPr>
          <w:rFonts w:ascii="Arial" w:cs="Arial" w:eastAsia="Arial" w:hAnsi="Arial"/>
          <w:sz w:val="17"/>
          <w:szCs w:val="17"/>
          <w:color w:val="auto"/>
        </w:rPr>
      </w:pPr>
    </w:p>
    <w:p>
      <w:pPr>
        <w:jc w:val="both"/>
        <w:ind w:left="360" w:right="79" w:hanging="316"/>
        <w:spacing w:after="0" w:line="286"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Acquire, Develop or Partner with Brands. </w:t>
      </w:r>
      <w:r>
        <w:rPr>
          <w:rFonts w:ascii="Arial" w:cs="Arial" w:eastAsia="Arial" w:hAnsi="Arial"/>
          <w:sz w:val="17"/>
          <w:szCs w:val="17"/>
          <w:color w:val="auto"/>
        </w:rPr>
        <w:t>We plan to continue to pursue the acquisition and/or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brands or the rights to brands which we believe are synergistic and complementary to our overall strategy. Our brand acquisition and development strategy are focused on dynamic brands that we believe:</w:t>
      </w:r>
    </w:p>
    <w:p>
      <w:pPr>
        <w:spacing w:after="0" w:line="165"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are synergistic to our existing portfolio of brands;</w:t>
      </w:r>
    </w:p>
    <w:p>
      <w:pPr>
        <w:spacing w:after="0" w:line="209" w:lineRule="exact"/>
        <w:rPr>
          <w:rFonts w:ascii="Arial" w:cs="Arial" w:eastAsia="Arial" w:hAnsi="Arial"/>
          <w:sz w:val="17"/>
          <w:szCs w:val="17"/>
          <w:color w:val="auto"/>
        </w:rPr>
      </w:pPr>
    </w:p>
    <w:p>
      <w:pPr>
        <w:ind w:left="360" w:right="4099"/>
        <w:spacing w:after="0" w:line="462" w:lineRule="auto"/>
        <w:rPr>
          <w:rFonts w:ascii="Arial" w:cs="Arial" w:eastAsia="Arial" w:hAnsi="Arial"/>
          <w:sz w:val="17"/>
          <w:szCs w:val="17"/>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are strategic to our growth in a channel of distribution; and</w:t>
      </w:r>
      <w:r>
        <w:rPr>
          <w:rFonts w:ascii="Courier New" w:cs="Courier New" w:eastAsia="Courier New" w:hAnsi="Courier New"/>
          <w:sz w:val="18"/>
          <w:szCs w:val="18"/>
          <w:color w:val="auto"/>
        </w:rPr>
        <w:t xml:space="preserve"> o </w:t>
      </w:r>
      <w:r>
        <w:rPr>
          <w:rFonts w:ascii="Arial" w:cs="Arial" w:eastAsia="Arial" w:hAnsi="Arial"/>
          <w:sz w:val="18"/>
          <w:szCs w:val="18"/>
          <w:color w:val="auto"/>
        </w:rPr>
        <w:t>are expected to be accretive to our earnings.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Licensing Design, Production and Marketing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Interactive TV</w:t>
      </w:r>
    </w:p>
    <w:p>
      <w:pPr>
        <w:spacing w:after="0" w:line="225"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QVC is an important strategic partner in our interactive television business and is our largest licensee for each of our Mizrahi, Ripka, and Halston brands. QVC’s business model is to promote and sell products through its interactive television programs and related e-commerce and mobile platforms. We employ and manage on-air spokespersons under each of these brands in order to promote products under our brands on QVC. According to QVC, QVC (including HSN) had global revenues of approximately $13.5 billion in 2019, of which e-commerce sales represented approximately $5.8 billion, and QVC’s programming currently reaches approximately 380 million homes worldwide. QVC is ranked as one of the Top 10 e-commerce retailers in North America according to Internet Retailer. Our agreements with QVC allow our on-air spokespersons to promote our non-QVC product lines and strategic partnerships under the Mizrahi, Ripka, and Halston Brands through QVC’s programs, subject to certain parameters including the payment of a portion of our non-QVC revenues to QVC. We believe that our ability to continue to leverage QVC’s media platform, reach, and attractive customer base to cross-promote products in and drive traffic to our other channels of distribution provides us a unique advantage.</w:t>
      </w:r>
    </w:p>
    <w:p>
      <w:pPr>
        <w:spacing w:after="0" w:line="172"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In addition to full design services and marketing support, we also provide production to QVC. This business model allows us to focus on our core competencies of design, production, marketing, and brand management without much of the risk and investment requirements in inventory associated with traditional consumer product companies. The Isaac Mizrahi Brand is licensed through our wholly owned subsidiary, IM Brands, LLC (“IM Brands”), the Ripka Brand is licensed through our wholly owned subsidiary, JR Licensing, LLC (“JR Licensing”) and the Halston Brand is licensed through our wholly owned subsidiaries, H Licensing, LLC (“H Licensing”) and H Heritage Licensing, LLC ("H Heritage Licensing") and the Longaberger brand is licensed through our joint venture Longaberger Licensing, LLC (“Longaberger Licensing”).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QVC Agreements</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Through our wholly owned subsidiaries, we have entered into direct-to-retail license agreements with QVC, pursuant to which we design, and QVC sources and sells, various products under our IsaacMizrahiLIVE brand, the Judith Ripka brands and the H by Halston brand. These agreements include, respectively, the QVC Agreement for the Mizrahi Brand (the "IM QVC Agreement"), the QVC Agreement for the Ripka Brand (the "Ripka QVC Agreement"), and the QVC Agreement for the H Halston Brand (the “H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77"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Pursuant to these agreements, we have granted to QVC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Current Term Expiry</w:t>
            </w: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Automatic Renewal</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Xcel Commenced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QVC Product Launch</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Brand with QVC</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one-year period</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September 2011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2021</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one-year period</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rPr>
              <w:t>April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December 31,</w:t>
            </w:r>
          </w:p>
        </w:tc>
        <w:tc>
          <w:tcPr>
            <w:tcW w:w="13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three-year</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period</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January 2015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In connection with the foregoing and during the same periods, QVC and its subsidiaries have the exclusive, worldwide right to use the names, likenesses, images, voices, and performances of our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92"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Under the QVC Agreements, QVC is obligated to make payments to us on a quarterly basis, based upon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71"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Notwithstanding our grant of worldwide promotion rights to QVC, we may, with the permission of QVC, sell the respective branded products (i) to better or prestige retailers, but excluding discount divisions of such companies and mass merchants,</w:t>
      </w:r>
    </w:p>
    <w:p>
      <w:pPr>
        <w:ind w:left="40" w:right="59" w:firstLine="4"/>
        <w:spacing w:after="0" w:line="260" w:lineRule="auto"/>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 specifically branded brick-and-mortar retail stores, and (iii) via company websites, in exchange for making reverse royalty payments to QVC based on the net retail sales of such products through such channels.</w:t>
      </w:r>
    </w:p>
    <w:p>
      <w:pPr>
        <w:spacing w:after="0" w:line="18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Also, under the QVC Agreements, we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84"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Under the QVC Agreements, we are restricted from selling products under the specified respective brands or trademarks (including the trademarks, copyrights, designs, logos, and related intellectual property themselves) to certain mass merchants. The QVC Agreements generally prohibit us from selling products under the specified respective brands or any of our other trademarks and brands to a direct competitor of QVC (generally defined as any entity other than QVC whose primary means of deriving revenue is the transmission of interactive television programs) without QVC’s consent. In addition, during the terms of the IM QVC Agreement and the Ripka QVC Agreement, and for one year thereafter, the respective subsidiary may not, without QVC’s consent, promote, advertise, endorse, or sell (i) the specified branded products through any means or (ii) any products through interactive television. During the term of the H QVC Agreement, and for one year thereafter, H Licensing may not, without QVC’s consent, promote, advertise, endorse, or sell any products, including the H by Halston Brands, through interactive television.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addition to the foregoing, certain of the QVC Agreements permit us to promote brick-and-mortar collections on QVC’s television program subject to certain terms and restrictions.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the years ended December 31, 2019 and 2018, net revenue from the QVC Agreements collectively accounted for 53% and 72%, respectively, of the total revenues of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Licensing Agreements</w:t>
      </w:r>
    </w:p>
    <w:p>
      <w:pPr>
        <w:spacing w:after="0" w:line="225"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We have entered into numerous other licensing agreements for sales and distribution through e-commerce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Best Buy and Bed Bath &amp; Beyond.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7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We are in discussions with other potential licensees and strategic partners to license and/or co-brand the Mizrahi brand, Ripka brand, Halston brand, C Wonder brand and Longaberger brand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6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Wholesale and e-Commerce</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In December 2017, we launched our Judith Ripka Fine Jewelry e-commerce business and in January 2018 we launched Judith Ripka Fine Jewelry wholesale operations. In November 2018 we launched our apparel wholesale business. Our strategy is to complement our interactive television and licensing business with a wholesale and direct-to-consumer business model by leveraging our design, merchandising, sourcing, and production capabilities. Our goal is to grow our brands organically in multiple distribution channels and provide a platform that could enable us to acquire brands or develop private label brands for our retail partners.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Promotional Services</w:t>
      </w:r>
    </w:p>
    <w:p>
      <w:pPr>
        <w:spacing w:after="0" w:line="22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In certain cases, the Company provides promotional services and collaborations with other brands or companies, which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services as determined on a case-by-case basis. These include promotions with Sesame Street, Hewlett Packard, Revlon, Johnson &amp; Johnson, and Kleenex.</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also provide certain technology services to our retail partners and certain of our licensees under our proprietary integrated technology platform.</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provide social media marketing and other marketing and public relations support for our brands.</w:t>
      </w:r>
    </w:p>
    <w:p>
      <w:pPr>
        <w:spacing w:after="0" w:line="17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 xml:space="preserve">Given our ubiquitous-channel retail sales strategy focusing on the sale of branded products through various distribution channels (including e-commerce, interactive television, and traditional brick-and-mortar sales channels), our marketing efforts currently focus on PR and fashion editorial,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 social media, blogs, videos, images, and other digital content that are all updated regularly. Our efforts also include promoting namesakes of our brands and our personalities through various media including television (such as </w:t>
      </w:r>
      <w:r>
        <w:rPr>
          <w:rFonts w:ascii="Arial" w:cs="Arial" w:eastAsia="Arial" w:hAnsi="Arial"/>
          <w:sz w:val="17"/>
          <w:szCs w:val="17"/>
          <w:i w:val="1"/>
          <w:iCs w:val="1"/>
          <w:color w:val="auto"/>
        </w:rPr>
        <w:t>Project Runway All-Stars</w:t>
      </w:r>
      <w:r>
        <w:rPr>
          <w:rFonts w:ascii="Arial" w:cs="Arial" w:eastAsia="Arial" w:hAnsi="Arial"/>
          <w:sz w:val="17"/>
          <w:szCs w:val="17"/>
          <w:color w:val="auto"/>
        </w:rPr>
        <w:t>), design for performances, and other events. We also work with our retail partners to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their marketing resources, including e-commerce platforms and related digital marketing campaigns, social media platforms, direct mail pieces, and public relations efforts.</w:t>
      </w:r>
    </w:p>
    <w:p>
      <w:pPr>
        <w:spacing w:after="0" w:line="18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Our agreements with QVC allow our brand spokespersons to promote our non-QVC product lines and strategic partnerships under our brands through QVC’s programs, subject to certain parameters including the payment of a portion of our non-QVC revenues to QVC. We believe that this provides us with the ability to leverage QVC’s media platform (including television, e-commerce, and social media) and QVC’s customer base of approximately 380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6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We also market the Mizrahi brand through www.isaacmizrahi.com, Halston Brand through www.halston.com, the Judith Ripka Fine Jewelry brand through www.judithripka.com, the C Wonder brand through www.cwonder.com and the Longaberger brand through www.longaberger.com. Through our websites, we are able to present the products under our brands to customers with branding that reflects each brand’s heritage and unique point-of-view.</w:t>
      </w:r>
    </w:p>
    <w:p>
      <w:pPr>
        <w:spacing w:after="0" w:line="17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Our Judith Ripka Fine Jewelry brand e-commerce business growth is dependent on driving traffic to our website and converting our visitors into customers. Our strategy to focus on new customer acquisition has started to show results in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Because many of our competitors have significantly greater cash, revenues, and resources than we do, we must work to differentiate ourselves from our direct and indirect competitors to successfully compete for market share with the brands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we own and for future acquisitions. We believe that the following factors help differentiate our Company in an increasingly crowded competitive landscape:</w:t>
      </w:r>
    </w:p>
    <w:p>
      <w:pPr>
        <w:spacing w:after="0" w:line="170" w:lineRule="exact"/>
        <w:rPr>
          <w:sz w:val="20"/>
          <w:szCs w:val="20"/>
          <w:color w:val="auto"/>
        </w:rPr>
      </w:pPr>
    </w:p>
    <w:p>
      <w:pPr>
        <w:ind w:left="700" w:right="79" w:hanging="332"/>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 and marketing; and</w:t>
      </w:r>
    </w:p>
    <w:p>
      <w:pPr>
        <w:spacing w:after="0" w:line="225" w:lineRule="exact"/>
        <w:rPr>
          <w:rFonts w:ascii="Arial" w:cs="Arial" w:eastAsia="Arial" w:hAnsi="Arial"/>
          <w:sz w:val="18"/>
          <w:szCs w:val="18"/>
          <w:color w:val="auto"/>
        </w:rPr>
      </w:pPr>
    </w:p>
    <w:p>
      <w:pPr>
        <w:jc w:val="both"/>
        <w:ind w:left="700" w:right="59" w:hanging="332"/>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strategies of wholesales and direct-to consumer sales and licensing brands with significant media presence and driving sales through our ubiquitous-channel retail sales strategy across interactive television, brick-and-mortar, and e-commerce distribution channels.</w:t>
      </w:r>
    </w:p>
    <w:p>
      <w:pPr>
        <w:spacing w:after="0" w:line="184"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Company, through its subsidiaries, owns and exploits the Mizrahi brands, which include the trademarks and brands Isaac Mizrahi, Isaac Mizrahi New York, IMNYC Isaac Mizrahi, and IsaacMizrahiLIVE; the Ripka brands, which include the trademarks and brands Judith Ripka LTD, Judith Ripka Collection, Judith Ripka Legacy, Judith Ripka, and Judith Ripka Sterling; all Halston brands and trademarks, namely, Halston, Halston Heritage, Roy Frowick, H by Halston, and H Halston; the C Wonder brands, which include the trademarks and brands C Wonder and C Wonder Limited; and the Highline Collective brand. We also manage and have a 50% ownership interest in the brands and trademarks of the Longaberger brand through our joint venture with Hilco Global.</w:t>
      </w:r>
    </w:p>
    <w:p>
      <w:pPr>
        <w:spacing w:after="0" w:line="19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78"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78"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of December 31, 2019, we had 78 full-time employees and 6 part-time employees. None of our employees are represented by a labor union.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84"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3 for additional information regarding Forward-Looking Statements.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7"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As of December 31, 2019, we had cash and cash equivalents of approximately $4.6 million. Although we believe that our existing cash and our anticipated cash flow from operations will be sufficient to sustain our operations at our current expense levels for at least 12 months subsequent to the date of the filing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we may require significant additional cash to satisfy our working capital requirements, expand our operations or acquire additional brands, although historically we have funded acquisitions with debt and equity financing.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203"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4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On February 12, 2019, we amended and restated our senior secured credit facility with Bank Hapoalim B.M., pursuant to which we extended the term of the previous term loan and entered into an additional term loan. We have an outstanding balance of $19.0 million as of December 31, 2019 under the credit facility. We may also assume or incur additional debt, including secured debt, in the future in connection with, or to fund, future acquisitions or for other operating needs.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700" w:hanging="33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hanging="33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secured by substantially all of our assets;</w:t>
      </w:r>
    </w:p>
    <w:p>
      <w:pPr>
        <w:spacing w:after="0" w:line="225" w:lineRule="exact"/>
        <w:rPr>
          <w:rFonts w:ascii="Arial" w:cs="Arial" w:eastAsia="Arial" w:hAnsi="Arial"/>
          <w:sz w:val="18"/>
          <w:szCs w:val="18"/>
          <w:color w:val="auto"/>
        </w:rPr>
      </w:pPr>
    </w:p>
    <w:p>
      <w:pPr>
        <w:jc w:val="both"/>
        <w:ind w:left="700" w:right="299" w:hanging="332"/>
        <w:spacing w:after="0" w:line="342"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23" w:lineRule="exact"/>
        <w:rPr>
          <w:rFonts w:ascii="Arial" w:cs="Arial" w:eastAsia="Arial" w:hAnsi="Arial"/>
          <w:sz w:val="16"/>
          <w:szCs w:val="16"/>
          <w:color w:val="auto"/>
        </w:rPr>
      </w:pPr>
    </w:p>
    <w:p>
      <w:pPr>
        <w:ind w:left="700" w:right="619" w:hanging="332"/>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700" w:right="719" w:hanging="332"/>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 and</w:t>
      </w:r>
    </w:p>
    <w:p>
      <w:pPr>
        <w:spacing w:after="0" w:line="225" w:lineRule="exact"/>
        <w:rPr>
          <w:rFonts w:ascii="Arial" w:cs="Arial" w:eastAsia="Arial" w:hAnsi="Arial"/>
          <w:sz w:val="18"/>
          <w:szCs w:val="18"/>
          <w:color w:val="auto"/>
        </w:rPr>
      </w:pPr>
    </w:p>
    <w:p>
      <w:pPr>
        <w:ind w:left="700" w:right="359" w:hanging="332"/>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sales and licensing channels.</w:t>
      </w:r>
    </w:p>
    <w:p>
      <w:pPr>
        <w:spacing w:after="0" w:line="170"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Our credit facility with Bank Hapoalim B.M. has been amended in the past (including for the year ended December 31, 2019) to eliminate or change the minimum EBITDA requirement for specified periods. The impact the COVID-19 pandemic will have on our operating results could result in our inability to comply with certain debt covenants and require Bank Hapoalim B.M. to waive compliance with or agree to amend any such covenant to avoid a default. There can be no assurance that Bank Hapoalim B.M. will amend the credit facility in the future to adjust or eliminate covenants or waive our non-compliance or breach of a financial or other covenant in the future. Termination of any of the QVC Agreements would also result in a default under our credit facility with Bank Hapoalim B.M. A debt default could significantly diminish the market value and marketability of our common stock and could result in the acceleration of the payment obligations under all or a portion of our indebtedness, or a renegotiation of our credit facility with Bank Hapoalim B.M. with more onerous terms and/or additional equity dilution. Since substantially all of our debt obligations are secured by our assets, upon a default, our lenders may be able to foreclose on our assets.</w:t>
      </w:r>
    </w:p>
    <w:p>
      <w:pPr>
        <w:spacing w:after="0" w:line="184"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A substantial portion of our revenues has been paid by QVC, through the QVC Agreements. During the years ended December 31, 2019 and 2018, QVC accounted for approximately 53% and 72%, respectively, of our total revenue. Because we are dependent on these agreements with QVC for a significant portion of our revenues, if QVC were to have financial difficulties, or if QVC decides not to renew or extend its existing agreements with us, our revenue and cash flows could be reduced substantially. Our cash flow would also be significantly impacted if there were significant delays in our collection of receivables from QVC. Additionally, we have limited control over the programming that QVC devotes to our brands or its promotional sales with our brands (such as “Today’s Special Value” sales). QVC has reduced the programming time it devotes to jewelry and, accordingly, also to our Ripka brand, and if QVC further reduces or modifies its programming or promotional sales related to our brands, our revenues and cash flows could be reduced substantially. In order to increase sales of a brand through QVC, we generally require additional television programming time dedicated to the brand by QVC. QVC is not required to devote any minimum amount of programming time for any of our brands.</w:t>
      </w:r>
    </w:p>
    <w:p>
      <w:pPr>
        <w:spacing w:after="0" w:line="172"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While our business with QVC has grown since the IsaacMizrahiLIVE brand was launched through December 31, 2017, our 2018 QVC revenues were flat to 2017, and QVC revenues declined from 2018 to 2019. There is no guarantee that our QVC revenues will grow in the future or that they will not decline.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0" w:lineRule="auto"/>
        <w:rPr>
          <w:sz w:val="20"/>
          <w:szCs w:val="20"/>
          <w:color w:val="auto"/>
        </w:rPr>
      </w:pPr>
      <w:r>
        <w:rPr>
          <w:rFonts w:ascii="Arial" w:cs="Arial" w:eastAsia="Arial" w:hAnsi="Arial"/>
          <w:sz w:val="15"/>
          <w:szCs w:val="15"/>
          <w:b w:val="1"/>
          <w:bCs w:val="1"/>
          <w:i w:val="1"/>
          <w:iCs w:val="1"/>
          <w:color w:val="auto"/>
        </w:rPr>
        <w:t>Our agreements with QVC restrict us from selling products under our brands with certain retailers, or branded products we sell on QVC to any other retailer except certain interactive television channels in other territories approved by QVC, and provides QVC with a right to terminate the respective agreement if we breach these provisions.</w:t>
      </w:r>
    </w:p>
    <w:p>
      <w:pPr>
        <w:spacing w:after="0" w:line="131"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Although most of our licenses and our QVC Agreements prohibit the sale of products under our brands to retailers who are restricted by QVC, and our license agreements with other interactive television companies prohibit such licensees from selling products to retailers restricted by QVC under the brands we sell on QVC outside of certain approved territories, one or more of our licensees could sell to a restricted retailer or territory, putting us in breach of our agreements with QVC and exposing us to potential termination by QVC. A breach of any of these agreements could also result in QVC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QVC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If we lose the services of Isaac Mizrahi, we may not be able to fully comply with the terms of our agreement with QVC, and it may result in significant reductions in the value of the Mizrahi brands and our prospects, revenues, and cash flows. Isaac Mizrahi is a key individual in our continued promotion of the Mizrahi brands and the principal salesperson of the Mizrahi brands on QVC. Failure of Isaac Mizrahi to provide services to QVC could result in a termination of the IM QVC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dependent upon the promotional services of Cameron Silver for our Halston brands.</w:t>
      </w:r>
    </w:p>
    <w:p>
      <w:pPr>
        <w:spacing w:after="0" w:line="225"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Cameron Silver is the principal salesperson of the H Halston brands on QVC. If we lose the services of Mr. Silver, we may not be able to fully comply with the terms of our license agreements with QVC, and it may result in significant reductions in the value of the Halston brand and our prospects, revenues, and cash flows. The failure of either of Mr. Silver under his respective spokesperson agreement with QVC, combined with our failure to find an alternate host acceptable to QVC, could result in a termination of the respective QVC Agreement which could trigger an event of default under our credit facility with Bank Hapoalim B.M. Although we have entered into an employment agreement with Mr. Silver, there is no guarantee that we will not lose his services. To the extent that any of his service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 and our ability to market the brand, and could impede our ability to fully implement our business plan and future growth strategy, which would harm our business and prospects. Finally, there is no guarantee that Mr. Silver will not take an action that the consumer views as negative, which may harm our brand as well as our business and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65"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jeopardize our ability to meet the financial covenant requirements in connection with our debt facility or facilities. Further, such failure may impact our ability to make required payments with respect to such indebtedness. The failure to satisfy our financial covenant requirements or to make such required payments would give our lenders the right to accelerate all obligations under our debt facility or facilities and foreclose on our trademarks, license agreements, and other related assets securing such notes.</w:t>
      </w:r>
    </w:p>
    <w:p>
      <w:pPr>
        <w:spacing w:after="0" w:line="171"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b w:val="1"/>
          <w:bCs w:val="1"/>
          <w:i w:val="1"/>
          <w:iCs w:val="1"/>
          <w:color w:val="auto"/>
        </w:rPr>
        <w:t>Our business is dependent on continued market acceptance of our brands and any future brands we acquire and the products of our licensees.</w:t>
      </w:r>
    </w:p>
    <w:p>
      <w:pPr>
        <w:spacing w:after="0" w:line="170"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Although many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6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Negative claims or publicity regarding Xcel,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our business under our existing brands, and continue to develop a licensing business under the C Wonder brands. If we fail to manage our expected future growth, our business and operating results could be materially harmed.</w:t>
      </w:r>
    </w:p>
    <w:p>
      <w:pPr>
        <w:spacing w:after="0" w:line="184"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expect to achieve growth in our existing brands and intend to seek new opportunities and international expansion through interactive television and licensing arrangements and through expansion of our department store business, including design, production and supply chain platform to include new retailers and to increase the products lines offered under this platform. The success of our company, however, will still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9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8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pacing w:after="0" w:line="187"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b w:val="1"/>
          <w:bCs w:val="1"/>
          <w:i w:val="1"/>
          <w:iCs w:val="1"/>
          <w:color w:val="auto"/>
        </w:rPr>
        <w:t>The shift to our wholesale operations for our design, production and supply chain platform subjects us to additional risks, including the risk of our ability to execute a new strategy.</w:t>
      </w:r>
    </w:p>
    <w:p>
      <w:pPr>
        <w:spacing w:after="0" w:line="170"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On November 1, 2018, we terminated the licensee pursuant to which our former licensee sold goods under our brands in conjunction with our license agreements with Lord &amp; Taylor and Dillard’s. Our new strategy requires us to establish wholesaling operations whereby we are responsible to place, source, fulfill, and deliver product orders to these retail customers. Our failure to design products, place, source, and fulfill orders and deliver products of the quality required by our customers on a timely and cost-effective basis could result in additional costs under our supply agreements, subject us to possible termination of our supply agreements, and otherwise have a material adverse effect on our operations. Moreover, our failure to execute our strategy could harm our reputation and negatively impact our ability to enter into additional supply and sourcing agreements.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Further, to the extent that our customers fail to make payment on their orders in a timely manner or at all, our cash flows and our ability to satisfy other orders may be adversely impacted.</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our Judith Ripka brand, including our recent transitioning of our non-QVC operations.</w:t>
      </w:r>
    </w:p>
    <w:p>
      <w:pPr>
        <w:spacing w:after="0" w:line="17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recently transitioned the non-QVC operations of our Judith Ripka brand to a wholesale and direct-to-consumer model. As a result, we changed these operations from a licensed model to a wholesale and direct-to-consumer business model. We commenced e-commerce sales and wholesales of our Judith Ripka brand. As a result, we do not have an established history of conducting these operations.</w:t>
      </w:r>
    </w:p>
    <w:p>
      <w:pPr>
        <w:spacing w:after="0" w:line="187"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We produce product for our Judith Ripka brands to hold as inventory for sales through our website and wholesale accounts. If we misjudge the market for our Judith Ripka products, we may be faced with significant excess inventory for some products and missed opportunities for other products. In addition, weak sales and mark downs by our retailers or our need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to liquidate excess inventory could adversely affect our results of operations. If we are not successful in managing our inventory balances, our cash flows and operating results may be adversely affected.</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8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Intense competition in the apparel, fashion, and jewelry industries could reduce our sales and profitability.</w:t>
      </w:r>
    </w:p>
    <w:p>
      <w:pPr>
        <w:spacing w:after="0" w:line="237"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71" w:lineRule="exact"/>
        <w:rPr>
          <w:sz w:val="20"/>
          <w:szCs w:val="20"/>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maintaining favorable brand recognition;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products that appeal to consumers;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products appropriately;</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and maintaining product quality;</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access to sufficient floor space in retail locations;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appropriate services and support to retailers;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growing market share;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maintaining a competitive e-commerce site;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hiring and retaining key employees;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protecting intellectual property.</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Competition in the apparel, fashion and jewelry industries is intense and is dominated by a number of very large brands, many of which have longer operating histories, larger customer bases, more established relationships with a broader set of suppliers,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77"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competitors or through customer expectations, this may cause a further reduction in our sales and gross margins and could have a material adverse effect on our business, financial condition, and operating results.</w:t>
      </w:r>
    </w:p>
    <w:p>
      <w:pPr>
        <w:spacing w:after="0" w:line="170"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24"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92" w:lineRule="exact"/>
        <w:rPr>
          <w:sz w:val="20"/>
          <w:szCs w:val="20"/>
          <w:color w:val="auto"/>
        </w:rPr>
      </w:pPr>
    </w:p>
    <w:p>
      <w:pPr>
        <w:jc w:val="both"/>
        <w:ind w:left="40" w:right="239"/>
        <w:spacing w:after="0" w:line="263" w:lineRule="auto"/>
        <w:rPr>
          <w:sz w:val="20"/>
          <w:szCs w:val="20"/>
          <w:color w:val="auto"/>
        </w:rPr>
      </w:pPr>
      <w:r>
        <w:rPr>
          <w:rFonts w:ascii="Arial" w:cs="Arial" w:eastAsia="Arial" w:hAnsi="Arial"/>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84"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extent of our foreign sourcing may adversely affect our business.</w:t>
      </w:r>
    </w:p>
    <w:p>
      <w:pPr>
        <w:spacing w:after="0" w:line="225"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We and our licensees work with several manufacturers overseas, primarily located in China and Thailand. A manufacturing contractor’s failure to ship products to us in a timely manner or to meet the required quality standards could cause us to miss the delivery date requirements of our customers for those items. The failure to make timely deliveries may cause customers to cancel orders, refuse to accept deliveries or demand reduced prices, any of which could have a material adverse effect on us. As a result of the magnitude of our foreign sourcing, our business is subject to the following risks:</w:t>
      </w:r>
    </w:p>
    <w:p>
      <w:pPr>
        <w:spacing w:after="0" w:line="161" w:lineRule="exact"/>
        <w:rPr>
          <w:sz w:val="20"/>
          <w:szCs w:val="20"/>
          <w:color w:val="auto"/>
        </w:rPr>
      </w:pPr>
    </w:p>
    <w:p>
      <w:pPr>
        <w:jc w:val="both"/>
        <w:ind w:left="700" w:right="79" w:hanging="332"/>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in deliveries or impoundment of goods;</w:t>
      </w:r>
    </w:p>
    <w:p>
      <w:pPr>
        <w:spacing w:after="0" w:line="183"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regulations, quotas and other trade restrictions relating to imports, including quotas imposed by bilateral textile agreements between the U.S. and foreign countries;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increased duties, taxes and other charges on imports;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and disease outbreaks such as COVID-19;</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union strikes at ports through which our products enter the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shortages in countries where contractors and suppliers are located;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transfer of funds to or from foreign countries;</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disease epidemics and health-related concerns, which could result in closed factories, reduced workforces, scarcity of raw materials and scrutiny or embargoing of goods produced in infected areas;</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migration and development of manufacturing contractors, which could affect where our products are or are planned to be produced;</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costs of fuel, travel and transportation;</w:t>
      </w:r>
    </w:p>
    <w:p>
      <w:pPr>
        <w:spacing w:after="0" w:line="225" w:lineRule="exact"/>
        <w:rPr>
          <w:rFonts w:ascii="Arial" w:cs="Arial" w:eastAsia="Arial" w:hAnsi="Arial"/>
          <w:sz w:val="18"/>
          <w:szCs w:val="18"/>
          <w:color w:val="auto"/>
        </w:rPr>
      </w:pPr>
    </w:p>
    <w:p>
      <w:pPr>
        <w:jc w:val="both"/>
        <w:ind w:left="700" w:right="59" w:hanging="332"/>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manufacturing flexibility because of geographic distance between our foreign manufacturers and us, increasing the risk that we may have to mark down unsold inventory as a result of misjudging the market for a foreign-made product; and</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If these risks limit or prevent us from manufacturing products in any significant international market, prevent us from acquiring products from foreign suppliers, or significantly increase the cost of our products, our operations could be seriously disrupted until alternative suppliers are found or alternative markets are developed, which could negatively impact our business.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A pandemic or outbreak of disease or similar public health threat, such as the COVID-19 pandemic, or fear of such an event, could have a material adverse impact on the Company's business, financial condition and operating results. Specifically, as of the date of this Annual Report on Form 10-K, the COVID-19 pandemic has caused a disruption to our business, beginning in March 2020. Potential financial impacts associated with the COVID-19 pandemic include, but are not limited to, lower net sales in markets affected by the outbreak, the delay of inventory production and fulfillment, potentially impacting net sales globally, and potential incremental costs associated with mitigating the effects of the outbreak, including increased freight and logistics costs and other expenses. The COVID-19 pandemic is ongoing, and its dynamic nature, including uncertainties relating to the ultimate geographic spread of the virus, the severity of the disease, the duration of the pandemic, and actions that may be taken by governmental authorities to contain the pandemic or to treat its impact, makes it difficult to forecast any effects on our 2020 results. However, as of the date of this filing we expect our results for 2020 to be significantly affected.</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Fluctuations in the price, availability and quality of raw materials could cause delays and increase costs and cause our operating results and financial condition to suffer.</w:t>
      </w:r>
    </w:p>
    <w:p>
      <w:pPr>
        <w:spacing w:after="0" w:line="170"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Fluctuations in the price, availability and quality of the fabrics or other raw materials, particularly cotton, silk, leather and synthetics used in our manufactured apparel, and gold, silver and other precious and semi-precious metals and gem stones used in our jewelry, could have a material adverse effect on cost of sales or our ability to meet customer demands. The prices of fabrics, precious and semi-precious metals and gemstones depend largely on the market prices of the raw materials used to produce them. The price and availability of the raw materials and, in turn, the fabrics, precious and semi-precious metals and gem stones used in our apparel and jewelry may fluctuate significantly, depending on many factors, including crop yields, weather patterns, labor costs and changes in oil prices. We may not be able to create suitable design solutions that utilize raw materials with attractive prices or, alternatively, to pass higher raw materials prices and related transportation costs on to our customers. We are not always successful in our efforts to protect our business from the volatility of the market price of raw materials, and our business can be materially affected by dramatic movements in prices of raw materials. The ultimate effect of this change on our earnings cannot be quantified, as the effect of movements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raw materials prices on industry selling prices are uncertain, but any significant increase in these prices could have a material adverse effect on our business, financial condition and operating results.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reliance on independent manufacturers could cause delays or quality issues which could damage customer relationships.</w:t>
      </w:r>
    </w:p>
    <w:p>
      <w:pPr>
        <w:spacing w:after="0" w:line="170"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We use approximately eight independent manufacturers to assemble or produce all of our products. We are dependent on the ability of these independent manufacturers to adequately finance the production of goods ordered and maintain sufficient manufacturing capacity. The use of independent manufacturers to produce finished goods and the resulting lack of direct control could subject us to difficulty in obtaining timely delivery of products of acceptable quality. We generally do not have long-term written agreements with any independent manufacturers. As a result, any single manufacturing contractor could unilaterally terminate its relationship with us at any time. Supply disruptions from these manufacturers (or any of our other manufacturers) could have a material adverse effect on our ability to meet customer demands, if we are unable to source suitable replacement materials at acceptable prices or at all. Moreover, alternative manufacturers, if available, may not be able to provide us with products or services of a comparable quality, at an acceptable price or on a timely basis. We may also, from time to time, make a decision to enter into a relationship with a new manufacturer. Identifying a suitable supplier is an involved process that requires us to become satisfied with their quality control, responsiveness and service, financial stability and labor and other ethical practices. There can be no assurance that there will not be a disruption in the supply of our products from independent manufacturers or that any new manufacturer will be successful in producing our products in a manner we expected. The failure of any independent manufacturer to perform or the loss of any independent manufacturer could have a material adverse effect on our business, results of operations and financial condition.</w:t>
      </w:r>
    </w:p>
    <w:p>
      <w:pPr>
        <w:spacing w:after="0" w:line="18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our independent manufacturers fail to use ethical business practices and comply with applicable laws and regulations, our brand image could be harmed due to negative publicity.</w:t>
      </w:r>
    </w:p>
    <w:p>
      <w:pPr>
        <w:spacing w:after="0" w:line="170"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We have established and currently maintain operating guidelines which promote ethical business practices such as fair wage practices, compliance with child labor laws and other local laws. While we monitor compliance with those guidelines, we do not control our independent manufacturers or their business practices. Accordingly, we cannot guarantee their compliance with our guidelines. A lack of demonstrated compliance could lead us to seek alternative suppliers, which could increase our costs and result in delayed delivery of our products, product shortages or other disruptions of our operations.</w:t>
      </w:r>
    </w:p>
    <w:p>
      <w:pPr>
        <w:spacing w:after="0" w:line="192"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Violation of labor or other laws by our independent manufacturers or the divergence of an independent manufacturer’s labor or other practices from those generally accepted as ethical in the U.S. or other markets in which we do business could also attract negative publicity for us and our brand. From time to time, our audit results have revealed a lack of compliance in certain respects, including with respect to local labor, safety and environmental laws. Other fashion companies have faced criticism after highly-publicized incidents or compliance issues have occurred or been exposed at factories producing their products. To the extent our manufacturers do not bring their operations into compliance with such laws or resolve material issues identified in any of our audit results, we may face similar criticism and negative publicity. This could diminish the value of our brand image and reduce demand for our merchandise. In addition, other fashion companies have encountered organized boycotts of their products in such situations. If we, or other companies in our industry, encounter similar problems in the future, it could harm our brand image, stock price and results of operations.</w:t>
      </w:r>
    </w:p>
    <w:p>
      <w:pPr>
        <w:spacing w:after="0" w:line="168"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Monitoring compliance by independent manufacturers is complicated by the fact that expectations of ethical business practices continually evolve, may be substantially more demanding than applicable legal requirements and are driven in part by legal developments and by diverse groups active in publicizing and organizing public responses to perceived ethical shortcomings. Accordingly, we cannot predict how such expectations might develop in the future and cannot be certain that our guidelines would satisfy all parties who are active in monitoring and publicizing perceived shortcomings in labor and other business practices worldwide.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00"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92"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76" w:lineRule="exact"/>
        <w:rPr>
          <w:sz w:val="20"/>
          <w:szCs w:val="20"/>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25" w:lineRule="exact"/>
        <w:rPr>
          <w:rFonts w:ascii="Arial" w:cs="Arial" w:eastAsia="Arial" w:hAnsi="Arial"/>
          <w:sz w:val="18"/>
          <w:szCs w:val="18"/>
          <w:color w:val="auto"/>
        </w:rPr>
      </w:pPr>
    </w:p>
    <w:p>
      <w:pPr>
        <w:ind w:left="700" w:right="31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or consummate additional quality business opportunities, including potential licenses and new product lines and markets;</w:t>
      </w:r>
    </w:p>
    <w:p>
      <w:pPr>
        <w:spacing w:after="0" w:line="170" w:lineRule="exact"/>
        <w:rPr>
          <w:rFonts w:ascii="Arial" w:cs="Arial" w:eastAsia="Arial" w:hAnsi="Arial"/>
          <w:sz w:val="18"/>
          <w:szCs w:val="18"/>
          <w:color w:val="auto"/>
        </w:rPr>
      </w:pPr>
    </w:p>
    <w:p>
      <w:pPr>
        <w:ind w:left="700" w:right="25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700" w:right="15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225" w:lineRule="exact"/>
        <w:rPr>
          <w:rFonts w:ascii="Arial" w:cs="Arial" w:eastAsia="Arial" w:hAnsi="Arial"/>
          <w:sz w:val="18"/>
          <w:szCs w:val="18"/>
          <w:color w:val="auto"/>
        </w:rPr>
      </w:pPr>
    </w:p>
    <w:p>
      <w:pPr>
        <w:ind w:left="700" w:right="119" w:hanging="332"/>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83" w:lineRule="exact"/>
        <w:rPr>
          <w:rFonts w:ascii="Arial" w:cs="Arial" w:eastAsia="Arial" w:hAnsi="Arial"/>
          <w:sz w:val="18"/>
          <w:szCs w:val="18"/>
          <w:color w:val="auto"/>
        </w:rPr>
      </w:pPr>
    </w:p>
    <w:p>
      <w:pPr>
        <w:ind w:left="700" w:right="279" w:hanging="332"/>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83" w:lineRule="exact"/>
        <w:rPr>
          <w:rFonts w:ascii="Arial" w:cs="Arial" w:eastAsia="Arial" w:hAnsi="Arial"/>
          <w:sz w:val="18"/>
          <w:szCs w:val="18"/>
          <w:color w:val="auto"/>
        </w:rPr>
      </w:pPr>
    </w:p>
    <w:p>
      <w:pPr>
        <w:ind w:left="700" w:right="33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70"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a result, there is no guarantee that our stockholders will achieve greater returns as a result of any future acquisitions we complete.</w:t>
      </w:r>
    </w:p>
    <w:p>
      <w:pPr>
        <w:spacing w:after="0" w:line="170"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170"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acquired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68"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8"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84"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W. D’Loren is the Chairman of the board of directors of the Company. The failure of Mr. D’Loren to continue in his duties as Chairman of our board of directors would result in a default under the credit facility with Bank Hapoalim B.M.</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trademarks and other intangible assets are subject to impairment charges under accounting guidelines.</w:t>
      </w:r>
    </w:p>
    <w:p>
      <w:pPr>
        <w:spacing w:after="0" w:line="23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Intangible assets including our trademarks represent a substantial portion of our assets. Under accounting principles generally accepted in the United States of America (“GAAP”),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Finite lived intangible assets are amortized over their estimated useful lives.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For the year ended December 31, 2019, we recorded a $6.2 million impairment charge related to the Ripka Brand trademarks, driven by the timing of the continued transition from a licensing model to a wholesale and direct to consumer model. Any further write-down of intangible assets resulting from future periodic evaluations would, as applicable, either decrease our net income or increase our net loss and those decreases or increases could be material.</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w:t>
      </w:r>
    </w:p>
    <w:p>
      <w:pPr>
        <w:spacing w:after="0" w:line="17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years ended December 31, 2016 through December 31, 2019.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We rely on various information technology systems to manage our operations, which subject us to inherent costs and risks associated with maintaining, upgrading, replacing, and changing these systems, including impairment of our information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6"/>
          <w:szCs w:val="16"/>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and the impact of natural disasters and pandemics and disease outbreaks such as the COVID-19 pandemic.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8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net sales, increase our expenses and harm our reputation.</w:t>
      </w:r>
    </w:p>
    <w:p>
      <w:pPr>
        <w:spacing w:after="0" w:line="184"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Experienced computer programmers and hackers, and even internal users, may be able to penetrate our network security and misappropriate our confidential information or that of third parties, including our customers, enter into or facilitate fraudulent transactions, create system disruptions or cause shutdowns.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 In addition, we rely on third parties for the operation of our websites, and for the various social media tools and websites we use as part of our marketing strategy.</w:t>
      </w:r>
    </w:p>
    <w:p>
      <w:pPr>
        <w:spacing w:after="0" w:line="16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including the European Union’s general data protection regulations to be effective in May 2018,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laws could make conducting our business more expensive or otherwise change the way we do business.</w:t>
      </w:r>
    </w:p>
    <w:p>
      <w:pPr>
        <w:spacing w:after="0" w:line="24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95"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7"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our assessment of the effectiveness of our internal control over financial reporting. We have dedicated a significant amount of time and resources to ensure compliance with this legislation for the year ended December 31, 2019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203"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each of Judith Ripka and the H Company IP, LLC and certain other parties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66"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61% of our voting securities as of March 30, 2020.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84"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declined over the past three years and may be volatile, which could reduce the market price of our common stock.</w:t>
      </w:r>
    </w:p>
    <w:p>
      <w:pPr>
        <w:spacing w:after="0" w:line="170"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few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7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7"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8"/>
          <w:szCs w:val="18"/>
          <w:color w:val="auto"/>
        </w:rPr>
        <w:t>Rule 3a51</w:t>
      </w:r>
      <w:r>
        <w:rPr>
          <w:rFonts w:ascii="MS PGothic" w:cs="MS PGothic" w:eastAsia="MS PGothic" w:hAnsi="MS PGothic"/>
          <w:sz w:val="18"/>
          <w:szCs w:val="18"/>
          <w:color w:val="auto"/>
        </w:rPr>
        <w:t>‑</w:t>
      </w:r>
      <w:r>
        <w:rPr>
          <w:rFonts w:ascii="Arial" w:cs="Arial" w:eastAsia="Arial" w:hAnsi="Arial"/>
          <w:sz w:val="18"/>
          <w:szCs w:val="18"/>
          <w:color w:val="auto"/>
        </w:rPr>
        <w:t>1 of the Exchange Act establishes the definition of a “penny stock,” for purposes relevant to us, as any equity security that has a minimum bid price of less than $5.00 per share or with an exercise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20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Although our common stock closed at $0.70 per share on March 26, 2020, no assurance can be given that the per share price of our common stock will maintain such levels or that our stock will not be subject to these “penny stock” rules in the future.</w:t>
      </w:r>
    </w:p>
    <w:p>
      <w:pPr>
        <w:spacing w:after="0" w:line="184"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Investors should be aware that, according to Commission Release No. 34</w:t>
      </w:r>
      <w:r>
        <w:rPr>
          <w:rFonts w:ascii="MS PGothic" w:cs="MS PGothic" w:eastAsia="MS PGothic" w:hAnsi="MS PGothic"/>
          <w:sz w:val="17"/>
          <w:szCs w:val="17"/>
          <w:color w:val="auto"/>
        </w:rPr>
        <w:t>‑</w:t>
      </w:r>
      <w:r>
        <w:rPr>
          <w:rFonts w:ascii="Arial" w:cs="Arial" w:eastAsia="Arial" w:hAnsi="Arial"/>
          <w:sz w:val="17"/>
          <w:szCs w:val="17"/>
          <w:color w:val="auto"/>
        </w:rPr>
        <w:t>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203"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and to satisfy obligations to the H Company IP, LLC (the “Halston Heritage Earn-Out”) if certain conditions, including royalty revenue targets, are met.</w:t>
      </w:r>
    </w:p>
    <w:p>
      <w:pPr>
        <w:spacing w:after="0" w:line="184"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As of December 31, 2019, we had outstanding warrants and options to purchase 7,802,440 shares of our common stock.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w:t>
      </w:r>
    </w:p>
    <w:p>
      <w:pPr>
        <w:spacing w:after="0" w:line="171"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6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As of December 31, 2019, we had an aggregate of 1,900,793 shares of common stock available for grants under our Amended and Restated 2011 Equity Incentive Plan (the "Plan") to our directors, executive officers, employees, and consultants. Issuances of common stock pursuant to the exercise of stock options or other stock grants or awards which may be granted under our Plan will dilute your interest in us.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170"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7"/>
          <w:szCs w:val="17"/>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w:t>
      </w:r>
      <w:r>
        <w:rPr>
          <w:rFonts w:ascii="MS PGothic" w:cs="MS PGothic" w:eastAsia="MS PGothic" w:hAnsi="MS PGothic"/>
          <w:sz w:val="17"/>
          <w:szCs w:val="17"/>
          <w:color w:val="auto"/>
        </w:rPr>
        <w:t>‑</w:t>
      </w:r>
      <w:r>
        <w:rPr>
          <w:rFonts w:ascii="Arial" w:cs="Arial" w:eastAsia="Arial" w:hAnsi="Arial"/>
          <w:sz w:val="17"/>
          <w:szCs w:val="17"/>
          <w:color w:val="auto"/>
        </w:rPr>
        <w:t>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20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We currently lease and maintain our corporate offices and operations facility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6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also lease approximately 18,500 square feet of office space at 475 Tenth Avenue, 4th Floor, New York, New York. This location represents our former corporate offices and operations facility, which we relocated to our current location described above in June 2016. This lease shall expire on February 28, 2022. We are currently subleasing this office space to a third-party subtenant through February 27, 2022.</w:t>
      </w:r>
    </w:p>
    <w:p>
      <w:pPr>
        <w:spacing w:after="0" w:line="18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8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4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common stock is listed on the NASDAQ Global Market, under the trading symbol “XELB.”</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table below sets forth the range of quarterly high and low sales prices for our common stock in 2019 and 2018.</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Low</w:t>
            </w: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of December 31, 2019, the number of our stockholders of record was 561 (excluding beneficial owners and any shares held in street name or by nominees).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71" w:lineRule="exact"/>
        <w:rPr>
          <w:sz w:val="20"/>
          <w:szCs w:val="20"/>
          <w:color w:val="auto"/>
        </w:rPr>
      </w:pPr>
    </w:p>
    <w:p>
      <w:pPr>
        <w:ind w:left="700" w:right="5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70" w:lineRule="exact"/>
        <w:rPr>
          <w:rFonts w:ascii="Arial" w:cs="Arial" w:eastAsia="Arial" w:hAnsi="Arial"/>
          <w:sz w:val="18"/>
          <w:szCs w:val="18"/>
          <w:color w:val="auto"/>
        </w:rPr>
      </w:pPr>
    </w:p>
    <w:p>
      <w:pPr>
        <w:jc w:val="both"/>
        <w:ind w:left="700" w:right="79" w:hanging="332"/>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total of 13,000,000 shares of common stock are eligible for issuance under the Plan, and the maximum number of shares of common stock with respect to which incentive stock options may be granted under the Plan is 5,000,000.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79" w:hanging="332"/>
        <w:spacing w:after="0" w:line="263"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(the “Board”) or a committee consisting of two or more members of the Board of Directors appointed by the Board (for purposes of this description, any such committee, a “Committee”).</w:t>
      </w:r>
    </w:p>
    <w:p>
      <w:pPr>
        <w:spacing w:after="0" w:line="183" w:lineRule="exact"/>
        <w:rPr>
          <w:rFonts w:ascii="Arial" w:cs="Arial" w:eastAsia="Arial" w:hAnsi="Arial"/>
          <w:sz w:val="18"/>
          <w:szCs w:val="18"/>
          <w:color w:val="auto"/>
        </w:rPr>
      </w:pPr>
    </w:p>
    <w:p>
      <w:pPr>
        <w:jc w:val="both"/>
        <w:ind w:left="700" w:right="59" w:hanging="332"/>
        <w:spacing w:after="0" w:line="296"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61" w:lineRule="exact"/>
        <w:rPr>
          <w:rFonts w:ascii="Arial" w:cs="Arial" w:eastAsia="Arial" w:hAnsi="Arial"/>
          <w:sz w:val="16"/>
          <w:szCs w:val="16"/>
          <w:color w:val="auto"/>
        </w:rPr>
      </w:pPr>
    </w:p>
    <w:p>
      <w:pPr>
        <w:jc w:val="both"/>
        <w:ind w:left="700" w:right="59" w:hanging="332"/>
        <w:spacing w:after="0" w:line="25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6" w:lineRule="exact"/>
        <w:rPr>
          <w:rFonts w:ascii="Arial" w:cs="Arial" w:eastAsia="Arial" w:hAnsi="Arial"/>
          <w:sz w:val="18"/>
          <w:szCs w:val="18"/>
          <w:color w:val="auto"/>
        </w:rPr>
      </w:pPr>
    </w:p>
    <w:p>
      <w:pPr>
        <w:jc w:val="both"/>
        <w:ind w:left="700" w:right="59" w:hanging="332"/>
        <w:spacing w:after="0" w:line="28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65" w:lineRule="exact"/>
        <w:rPr>
          <w:rFonts w:ascii="Arial" w:cs="Arial" w:eastAsia="Arial" w:hAnsi="Arial"/>
          <w:sz w:val="17"/>
          <w:szCs w:val="17"/>
          <w:color w:val="auto"/>
        </w:rPr>
      </w:pPr>
    </w:p>
    <w:p>
      <w:pPr>
        <w:ind w:left="700" w:right="59" w:hanging="33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jc w:val="both"/>
        <w:ind w:left="700" w:right="59" w:hanging="332"/>
        <w:spacing w:after="0" w:line="25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rFonts w:ascii="Arial" w:cs="Arial" w:eastAsia="Arial" w:hAnsi="Arial"/>
          <w:sz w:val="18"/>
          <w:szCs w:val="18"/>
          <w:color w:val="auto"/>
        </w:rPr>
      </w:pPr>
    </w:p>
    <w:p>
      <w:pPr>
        <w:jc w:val="both"/>
        <w:ind w:left="700" w:right="79" w:hanging="332"/>
        <w:spacing w:after="0" w:line="25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87" w:lineRule="exact"/>
        <w:rPr>
          <w:rFonts w:ascii="Arial" w:cs="Arial" w:eastAsia="Arial" w:hAnsi="Arial"/>
          <w:sz w:val="18"/>
          <w:szCs w:val="18"/>
          <w:color w:val="auto"/>
        </w:rPr>
      </w:pPr>
    </w:p>
    <w:p>
      <w:pPr>
        <w:jc w:val="both"/>
        <w:ind w:left="700" w:right="59" w:hanging="332"/>
        <w:spacing w:after="0" w:line="269"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rFonts w:ascii="Arial" w:cs="Arial" w:eastAsia="Arial" w:hAnsi="Arial"/>
          <w:sz w:val="17"/>
          <w:szCs w:val="17"/>
          <w:color w:val="auto"/>
        </w:rPr>
      </w:pPr>
    </w:p>
    <w:p>
      <w:pPr>
        <w:jc w:val="both"/>
        <w:ind w:left="700" w:right="59" w:hanging="332"/>
        <w:spacing w:after="0" w:line="28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65" w:lineRule="exact"/>
        <w:rPr>
          <w:rFonts w:ascii="Arial" w:cs="Arial" w:eastAsia="Arial" w:hAnsi="Arial"/>
          <w:sz w:val="17"/>
          <w:szCs w:val="17"/>
          <w:color w:val="auto"/>
        </w:rPr>
      </w:pPr>
    </w:p>
    <w:p>
      <w:pPr>
        <w:ind w:left="700" w:hanging="33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options or other Awards may be granted on or after the tenth anniversary of the effective date of the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may approve other vesting schedules. Options may be exercised in whole or in part. The exercise price of stock options granted is generally the fair market value of the Company’s common stock as determined by the Board on the date of grant, considering factors such as the sale of stock, results of operations, and consideration of the fair value of comparable private companies in the industry.</w:t>
      </w:r>
    </w:p>
    <w:p>
      <w:pPr>
        <w:spacing w:after="0" w:line="17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assumes a 0% dividend yield.</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sets forth information as of December 31, 2019 regarding compensation plans under which our equity securities are authorized for issuance.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Number of Securities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(1)</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7,802,440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1,900,793</w:t>
            </w: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Pursuant to our 2011 Equity Incentive Plan.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sales of unregistered or registered securities during the years ended December 2019 and 2018.</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provides information with respect to common stock repurchased by us during the years ended December 31, 2019 and 2018.</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a Publicly</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Plan or Program</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September 1, 2019 to September 30, 2019 (i)</w:t>
            </w: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October 1, 2019 to October 31, 2019 (i)</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29,189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2019 to November 30, 2019 (i)</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December 1, 2019 to December 31, 2019 (i)</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9,846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year ended December 31, 2019</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2018 to March 31, 2018 (i)</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43,638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April 1, 2018 to April 30, 2018 (i)</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181,486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2018 to May 31, 2018 (i)</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November 1, 2018 to November 30, 2018 (i)</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145,920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year ended December 31, 2018</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8"/>
        </w:trPr>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360" w:right="79" w:hanging="316"/>
        <w:spacing w:after="0" w:line="293"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shares were exchanged from employees and directors in connection with the income tax withholding obligations on behalf of such employees and directors from the vesting of restricted stock.</w:t>
      </w:r>
    </w:p>
    <w:p>
      <w:pPr>
        <w:spacing w:after="0" w:line="163"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7"/>
          <w:szCs w:val="17"/>
          <w:color w:val="auto"/>
        </w:rPr>
        <w:t>The following discussion and analysis should be read together with our consolidated financial statements and the notes thereto, included in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This discussion summarizes the significant factors affecting our consolidated operating results, financial condition and liquidity and cash flows for the years ended December 31, 2019 and 2018.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We are a media and consumer products company engaged in the design, production, marketing, wholesale distribution, and direct-to-consumer sales of branded apparel, footwear, accessories, jewelry, home goods and other consumer products, and the acquisition of dynamic consumer lifestyle brands. We have developed a design, production, and supply chain capability driven by its proprietary integrated technology platform. Currently, our brand portfolio consists of the Isaac Mizrahi Brand, the Judith Ripka Brand, the Halston Brand, the C Wonder Brand, and other proprietary brands. We also manage the Longaberger brand through our 50% ownership interest in Longaberger Licensing, LLC. Our objective is to build a diversified portfolio of lifestyle consumer brands through organic growth and the strategic acquisition of new brands. To grow our brands, we are focused on the following primary strategies:</w:t>
      </w:r>
    </w:p>
    <w:p>
      <w:pPr>
        <w:spacing w:after="0" w:line="178" w:lineRule="exact"/>
        <w:rPr>
          <w:sz w:val="20"/>
          <w:szCs w:val="20"/>
          <w:color w:val="auto"/>
        </w:rPr>
      </w:pPr>
    </w:p>
    <w:p>
      <w:pPr>
        <w:ind w:left="700" w:right="359" w:hanging="332"/>
        <w:spacing w:after="0" w:line="342"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distribution and/or licensing our brands for distribution through interactive television (i.e. QVC, The Shopping Channel) whereby we design, manage production, merchandise the shows, and manage the on-air talent;</w:t>
      </w:r>
    </w:p>
    <w:p>
      <w:pPr>
        <w:spacing w:after="0" w:line="123" w:lineRule="exact"/>
        <w:rPr>
          <w:rFonts w:ascii="Arial" w:cs="Arial" w:eastAsia="Arial" w:hAnsi="Arial"/>
          <w:sz w:val="16"/>
          <w:szCs w:val="16"/>
          <w:color w:val="auto"/>
        </w:rPr>
      </w:pPr>
    </w:p>
    <w:p>
      <w:pPr>
        <w:jc w:val="both"/>
        <w:ind w:left="700" w:right="359" w:hanging="332"/>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 directly to the end consumer; and</w:t>
      </w:r>
    </w:p>
    <w:p>
      <w:pPr>
        <w:spacing w:after="0" w:line="225" w:lineRule="exact"/>
        <w:rPr>
          <w:rFonts w:ascii="Arial" w:cs="Arial" w:eastAsia="Arial" w:hAnsi="Arial"/>
          <w:sz w:val="18"/>
          <w:szCs w:val="18"/>
          <w:color w:val="auto"/>
        </w:rPr>
      </w:pPr>
    </w:p>
    <w:p>
      <w:pPr>
        <w:ind w:left="700" w:right="99" w:hanging="332"/>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quickly integrate additional consumer brands into our platform and leverage our design, production and marketing capabilities, and distribution relationships.</w:t>
      </w:r>
    </w:p>
    <w:p>
      <w:pPr>
        <w:spacing w:after="0" w:line="170"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We believe that we offer a unique value proposition to our retail and direct-to-consumer customers, and our licensees for the following reasons:</w:t>
      </w:r>
    </w:p>
    <w:p>
      <w:pPr>
        <w:spacing w:after="0" w:line="170"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management team, including our officers’ and directors’ experience in, and relationships within the industry;</w:t>
      </w:r>
    </w:p>
    <w:p>
      <w:pPr>
        <w:spacing w:after="0" w:line="248" w:lineRule="exact"/>
        <w:rPr>
          <w:rFonts w:ascii="Arial" w:cs="Arial" w:eastAsia="Arial" w:hAnsi="Arial"/>
          <w:sz w:val="16"/>
          <w:szCs w:val="16"/>
          <w:color w:val="auto"/>
        </w:rPr>
      </w:pPr>
    </w:p>
    <w:p>
      <w:pPr>
        <w:ind w:left="700" w:right="59" w:hanging="332"/>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enables us to design and distribute trend-right product; and</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 January 2018, we launched our Judith Ripka Fine Jewelry e-commerce and wholesale operations and in November 2018, we launched our apparel wholesale business. In support of these new operations, we hired a new Chief Merchandising Officer and built out the infrastructure to support these operations.</w:t>
      </w:r>
    </w:p>
    <w:p>
      <w:pPr>
        <w:spacing w:after="0" w:line="184"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Our vision is intended to reimagine shopping, entertainment, and social as one.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380 million homes worldwide and hundreds of millions of social media followers.</w:t>
      </w:r>
    </w:p>
    <w:p>
      <w:pPr>
        <w:spacing w:after="0" w:line="171"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believe our design, production and supply chain platform provides significant competitive advantages compared with traditional wholesale apparel companies that design, manufacture, and distribute products. We focus on our core competencies of design, integrated technologies, design, production and supply chain platform, marketing, and brand development. We believe that we offer a 360 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and marketing capabilities, and distribution network.</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Licensing</w:t>
      </w:r>
    </w:p>
    <w:p>
      <w:pPr>
        <w:spacing w:after="0" w:line="225"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In connection with our licensing model, we follow Financial Accounting Standards Board, or FASB, Accounting Standards Codification, or ASC, Topic 606</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55</w:t>
      </w:r>
      <w:r>
        <w:rPr>
          <w:rFonts w:ascii="MS PGothic" w:cs="MS PGothic" w:eastAsia="MS PGothic" w:hAnsi="MS PGothic"/>
          <w:sz w:val="18"/>
          <w:szCs w:val="18"/>
          <w:color w:val="auto"/>
        </w:rPr>
        <w:t>‑</w:t>
      </w:r>
      <w:r>
        <w:rPr>
          <w:rFonts w:ascii="Arial" w:cs="Arial" w:eastAsia="Arial" w:hAnsi="Arial"/>
          <w:sz w:val="18"/>
          <w:szCs w:val="18"/>
          <w:color w:val="auto"/>
        </w:rPr>
        <w:t>65, by which we recognize revenue at the later of when (1) the subsequent sale or usage occurs or (2) the performance obligation to which some or all of the sales- or usage-based royalty has been allocated is satisfied (in whole or in part). More specifically, we separately identify:</w:t>
      </w:r>
    </w:p>
    <w:p>
      <w:pPr>
        <w:spacing w:after="0" w:line="204" w:lineRule="exact"/>
        <w:rPr>
          <w:sz w:val="20"/>
          <w:szCs w:val="20"/>
          <w:color w:val="auto"/>
        </w:rPr>
      </w:pPr>
    </w:p>
    <w:p>
      <w:pPr>
        <w:jc w:val="both"/>
        <w:ind w:left="440" w:right="59" w:hanging="7"/>
        <w:spacing w:after="0" w:line="257" w:lineRule="auto"/>
        <w:tabs>
          <w:tab w:leader="none" w:pos="7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87" w:lineRule="exact"/>
        <w:rPr>
          <w:rFonts w:ascii="Arial" w:cs="Arial" w:eastAsia="Arial" w:hAnsi="Arial"/>
          <w:sz w:val="18"/>
          <w:szCs w:val="18"/>
          <w:color w:val="auto"/>
        </w:rPr>
      </w:pPr>
    </w:p>
    <w:p>
      <w:pPr>
        <w:jc w:val="both"/>
        <w:ind w:left="440" w:right="59" w:hanging="7"/>
        <w:spacing w:after="0" w:line="255" w:lineRule="auto"/>
        <w:tabs>
          <w:tab w:leader="none" w:pos="9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Design Fees</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Company earns design fees for serving as a buying agent for apparel under private labels for large retailers. As a buying agent, the Company utilizes its expertise and relationships with manufacturers to facilitate the production of private label apparel to customer specifications. The Company’s design fee revenue also includes fees charged for its design and product development services provided to certain suppliers. The Company satisfies its performance obligation to its customers by performing the services in buyer agency agreements and thereby earning its design fee at the point in time when the customer’s freight forwarder takes control of the goods. The Company satisfies its performance obligation with the suppliers and earns its design fee from the factory at the point in time when the customer’s freight forwarder takes control of the goods.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Wholesale Sales</w:t>
      </w:r>
    </w:p>
    <w:p>
      <w:pPr>
        <w:spacing w:after="0" w:line="22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The Company generates revenue through sale of branded jewelry and apparel to both domestic and international customers who, in turn, sell the products to their consumers.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Direct to Consumer Sales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Company’s revenue associated with its e-commerce jewelry operations is recognized at a point in time when product is shipped to the customer.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Trademarks and Other Intangible Assets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We follow ASC Topic 350, “Intangibles - Goodwill and Other.” Under this standard, goodwill and indefinite-lived intangible assets are not amortized, but are required to be assessed for impairment at least annually. Our finite-lived intangible assets are amortized over their estimated useful lives.</w:t>
      </w:r>
    </w:p>
    <w:p>
      <w:pPr>
        <w:spacing w:after="0" w:line="184"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We perform our annual quantitative analysis of indefinite-lived intangible assets as of December 31 each year. As a result of performing our annual impairment testing for the year ended December 31, 2019, we recorded a $6.2 million impairment charge related to the Ripka Brand trademarks, driven by the timing of the continued transition from a licensing model to a wholesale and direct to consumer model. No other impairment charges were recorded for the years ended December 31, 2019 and 2018.</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Indefinite-Lived Intangibles</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6"/>
          <w:szCs w:val="16"/>
          <w:color w:val="auto"/>
        </w:rPr>
        <w:t>The Company tests its indefinite-lived intangible assets for recovery in accordance with ASC</w:t>
      </w:r>
      <w:r>
        <w:rPr>
          <w:rFonts w:ascii="MS PGothic" w:cs="MS PGothic" w:eastAsia="MS PGothic" w:hAnsi="MS PGothic"/>
          <w:sz w:val="16"/>
          <w:szCs w:val="16"/>
          <w:color w:val="auto"/>
        </w:rPr>
        <w:t>‑</w:t>
      </w:r>
      <w:r>
        <w:rPr>
          <w:rFonts w:ascii="Arial" w:cs="Arial" w:eastAsia="Arial" w:hAnsi="Arial"/>
          <w:sz w:val="16"/>
          <w:szCs w:val="16"/>
          <w:color w:val="auto"/>
        </w:rPr>
        <w:t>820</w:t>
      </w:r>
      <w:r>
        <w:rPr>
          <w:rFonts w:ascii="MS PGothic" w:cs="MS PGothic" w:eastAsia="MS PGothic" w:hAnsi="MS PGothic"/>
          <w:sz w:val="16"/>
          <w:szCs w:val="16"/>
          <w:color w:val="auto"/>
        </w:rPr>
        <w:t>‑</w:t>
      </w:r>
      <w:r>
        <w:rPr>
          <w:rFonts w:ascii="Arial" w:cs="Arial" w:eastAsia="Arial" w:hAnsi="Arial"/>
          <w:sz w:val="16"/>
          <w:szCs w:val="16"/>
          <w:color w:val="auto"/>
        </w:rPr>
        <w:t>10</w:t>
      </w:r>
      <w:r>
        <w:rPr>
          <w:rFonts w:ascii="MS PGothic" w:cs="MS PGothic" w:eastAsia="MS PGothic" w:hAnsi="MS PGothic"/>
          <w:sz w:val="16"/>
          <w:szCs w:val="16"/>
          <w:color w:val="auto"/>
        </w:rPr>
        <w:t>‑</w:t>
      </w:r>
      <w:r>
        <w:rPr>
          <w:rFonts w:ascii="Arial" w:cs="Arial" w:eastAsia="Arial" w:hAnsi="Arial"/>
          <w:sz w:val="16"/>
          <w:szCs w:val="16"/>
          <w:color w:val="auto"/>
        </w:rPr>
        <w:t>55</w:t>
      </w:r>
      <w:r>
        <w:rPr>
          <w:rFonts w:ascii="MS PGothic" w:cs="MS PGothic" w:eastAsia="MS PGothic" w:hAnsi="MS PGothic"/>
          <w:sz w:val="16"/>
          <w:szCs w:val="16"/>
          <w:color w:val="auto"/>
        </w:rPr>
        <w:t>‑</w:t>
      </w:r>
      <w:r>
        <w:rPr>
          <w:rFonts w:ascii="Arial" w:cs="Arial" w:eastAsia="Arial" w:hAnsi="Arial"/>
          <w:sz w:val="16"/>
          <w:szCs w:val="16"/>
          <w:color w:val="auto"/>
        </w:rPr>
        <w:t>3F, which states that the income approach (“Income Approach”) converts future amounts (for example cash flows) in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recoverability of the assets.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Finite-Lived Intangibles</w:t>
      </w:r>
    </w:p>
    <w:p>
      <w:pPr>
        <w:spacing w:after="0" w:line="225"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With reference to our finite-lived intangible assets impairment process,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the carrying amount of the asset is recoverable, an impairment charge is measured as the amount by which the carrying amount of the asset group exceeds its fair value based on discounted cash flows analysis or appraisals.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We account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Restricted stock awards are valued using the fair value of our common stock at the date the common stock is granted. 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ASC 805-50-30 also requires that when the fair value of the assets acquired is equal to the consideration paid, any contingent obligations shall be recognized based upon the Company’s best estimate of the amount that will be paid to settle the liability.</w:t>
      </w:r>
    </w:p>
    <w:p>
      <w:pPr>
        <w:spacing w:after="0" w:line="16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We recognized contingent obligations in connection with the acquisition of Judith Ripka Trademarks in 2014, the acquisition of the C Wonder Trademarks in 2015, and the acquisition of the Halston Heritage Trademarks in 2019.</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We determine if an arrangement is a lease at inception. At commencement of a lease, we recognize an operating lease right-of-use (“ROU”) asset, representing our right to use the underlying leased asset for the lease term, and a lease liability, representing our obligation to make future lease payments, based on the present value of the remaining lease payments over the lease term. As most of our leases do not provide an implicit rate, we use our incremental borrowing rate based on the information available at commencement date in determining the present value of lease payments. We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we will exercise that option. Lease expense for operating lease payments is generally recognized on a straight-line basis over the lease term.</w:t>
      </w:r>
    </w:p>
    <w:p>
      <w:pPr>
        <w:spacing w:after="0" w:line="181"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For real estate leases of office space, we account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leases with a term of 12 months or less, we do not recognize lease liabilities and ROU assets, but recognize the lease payments in net income on a straight-line basis over the respective lease terms.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recognize income from subleases (in which we are the sublessor) on a straight-line basis over the term of the sublease, as a reduction to lease expense.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 Tax years that remain open for assessment for federal and state tax purposes include the years ended December 31, 2016 through December 31, 2019.</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7"/>
          <w:szCs w:val="17"/>
          <w:color w:val="auto"/>
        </w:rPr>
        <w:t>In August 2018, the FASB issued ASU No. 2018</w:t>
      </w:r>
      <w:r>
        <w:rPr>
          <w:rFonts w:ascii="MS PGothic" w:cs="MS PGothic" w:eastAsia="MS PGothic" w:hAnsi="MS PGothic"/>
          <w:sz w:val="17"/>
          <w:szCs w:val="17"/>
          <w:color w:val="auto"/>
        </w:rPr>
        <w:t>‑</w:t>
      </w:r>
      <w:r>
        <w:rPr>
          <w:rFonts w:ascii="Arial" w:cs="Arial" w:eastAsia="Arial" w:hAnsi="Arial"/>
          <w:sz w:val="17"/>
          <w:szCs w:val="17"/>
          <w:color w:val="auto"/>
        </w:rPr>
        <w:t>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We are currently evaluating the new guidance to determine the impact the adoption of this guidance will have on our results of operations, cash flows, and financial condition.</w:t>
      </w:r>
    </w:p>
    <w:p>
      <w:pPr>
        <w:spacing w:after="0" w:line="202"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This guidance is effective for public companies for fiscal years, and interim periods within those fiscal years, beginning after December 15, 2020, with early adoption permitted. We are currently evaluating the new guidance to determine the impact the adoption of this guidance will have on our results of operations, cash flows, and financial condition.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We adopted ASU No. 2016-02, “Leases,” effective January 1, 2019, by applying the new guidance under the additional and alternative transition method allowed by ASU No. 2018-11, “Leases (Topic 842): Targeted Improvements.” The core principle of this standard is that an entity should recognize on its balance sheet assets and liabilities arising from a lease. In accordance with that principle, the new lease accounting guidance requires that a lessee recognize a liability to make future lease payments (the lease liability) and a right-of-use (“ROU”) asset representing its right to use the underlying leased asset for the lease term. As of January 1, 2019, the adoption resulted in the recognition of operating lease right-of-use ("ROU") assets of approximately $10.4 million, lease liabilities of approximately $13.2 million, and a decrease of approximately $2.8 million in accrued rent. The adoption of the new lease accounting guidance did not have an impact on our consolidated statement of operations, and had no impact on cash provided by or used in operating, financing, or investing activities in our consolidated statement of cash flows.</w:t>
      </w:r>
    </w:p>
    <w:p>
      <w:pPr>
        <w:spacing w:after="0" w:line="168"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We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our processes and methodologies related to leases to enable the preparation of financial information upon adoption and to allow for the correct identification, classification, and measurement of leases in accordance with the new guidance going forward.</w:t>
      </w:r>
    </w:p>
    <w:p>
      <w:pPr>
        <w:spacing w:after="0" w:line="16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We determine if an arrangement is a lease at inception. Operating lease ROU assets and lease liabilities are recognized at commencement date based on the present value of the remaining lease payments over the lease term. As most of our leases do not provide an implicit rate, we use our incremental borrowing rate based on the information available at commencement date in determining the present value of lease payments. We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we will exercise that option. Lease expense for operating lease payments is generally recognized on a straight-line basis over the lease term.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real estate leases of office space, we account for the lease and non-lease components as a single lease component.</w:t>
      </w:r>
    </w:p>
    <w:p>
      <w:pPr>
        <w:spacing w:after="0" w:line="24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leases with a term of 12 months or less, we do not recognize lease liabilities and ROU assets, but recognize the lease payments in net income on a straight-line basis over the respective lease terms.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recognize income from subleases (in which we are the sublessor) on a straight-line basis over the term of the sublease, as a reduction to lease expense.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40" w:right="59"/>
        <w:spacing w:after="0" w:line="224" w:lineRule="exact"/>
        <w:rPr>
          <w:sz w:val="20"/>
          <w:szCs w:val="20"/>
          <w:color w:val="auto"/>
        </w:rPr>
      </w:pPr>
      <w:r>
        <w:rPr>
          <w:rFonts w:ascii="Arial" w:cs="Arial" w:eastAsia="Arial" w:hAnsi="Arial"/>
          <w:sz w:val="17"/>
          <w:szCs w:val="17"/>
          <w:color w:val="auto"/>
        </w:rPr>
        <w:t>The consolidated financial statements and related notes included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K are as of, or for the year ended December 31, 2019 (the “Current Year”), and the year ended December 31, 2018 (the “Prior Year”).</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Year net revenue increased approximately $6.2 million to $41.7 million from $35.5 million for the Prior Year.</w:t>
      </w:r>
    </w:p>
    <w:p>
      <w:pPr>
        <w:spacing w:after="0" w:line="23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Our jewelry wholesale and e-commerce sales and apparel wholesale sales contributed $15.3 million to net revenue in the Current Year, compared with $4.3 million in the Prior Year. This $11.0 million increase was primarily attributable to the launch of our apparel wholesale business in November 2018, as well as growth in our Judith Ripka Fine Jewelry e-commerce business.</w:t>
      </w:r>
    </w:p>
    <w:p>
      <w:pPr>
        <w:spacing w:after="0" w:line="18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Net licensing revenue decreased by approximately $4.8 million in the Current Year to $26.4 million, compared with $31.2 million in the Prior Year. This decline was primarily driven by (i) revenues from one of our existing licensing arrangements changing from guaranteed minimum amounts to sales-based royalties effective April 1, 2019, and (ii) a decrease in design and service fees in our department store business attributable to the transition from a licensing model to a wholesale model. These declines were partially offset by growth in other existing and new licensing arrangements, as well as revenues recognized in the Current Year related to the recently acquired Halston Heritage brand.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Current Year cost of goods sold was $10.3 million, compared with $2.7 million for the Prior Year. This increase was due to higher volume of wholesale and e-commerce sales in the Current Year.</w:t>
      </w:r>
    </w:p>
    <w:p>
      <w:pPr>
        <w:spacing w:after="0" w:line="170"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Current Year gross profit (which includes cost of goods sold) decreased approximately $1.3 million to $31.5 million from $32.8 million for the Prior Year, while gross profit margin decreased from 92% to 75%. This decrease was primarily attributable to the decrease in net licensing revenue, partially offset by an increase in net margin from product sales.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Operating costs and expenses increased approximately $8.1 million to $36.9 million for the Current Year from approximately $28.8 million in the Prior Year. This increase was primarily attributable to a $6.2 million non-cash impairment charge recorded in the Current Year related to the Ripka Brand trademarks, driven by the timing of the continued transition from a licensing model to a wholesale and direct to consumer model. Also contributing to the increase in total operating costs and expenses was a $2.1 million increase in amortization expense for our intangible assets, due to the change in the previously-owned Halston trademarks from indefinite-lived assets to finite-lived assets as of January 1, 2019, and the February 2019 acquisition of the Halston and Halston Heritage trademarks, also determined to be finite-lived assets. In addition, we incurred $1.3 million of costs in the Current Year in connection with potential acquisitions.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These various expense increases were partially offset by a reduction in salary and benefit costs and lower stock-based compensation of $0.7 million and $0.8 million,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During the Current Year, we recognized a $2.85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Interest and finance expense for the Current Year was $1.47 million, compared with $1.01 million for the Prior Year. This increase was mainly attributable to the February 11, 2019 term loan amendment, which resulted in (i) a $0.19 million loss on extinguishment of debt (consisting of unamortized deferred finance costs), (ii) a higher outstanding principal balance as compared with the prior year period, and (iii) a higher interest rate than under the previous term loan.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The effective income tax rate for the Current Year was approximately 15.8% resulting in a $0.6 million income tax benefit. During the Current Year, the effective tax rate was impacted by the vesting of restricted shares of common stock. The excess tax deficiencies were treated as a discrete item in the determination of the tax provision as required by ASU 2016</w:t>
      </w:r>
      <w:r>
        <w:rPr>
          <w:rFonts w:ascii="MS PGothic" w:cs="MS PGothic" w:eastAsia="MS PGothic" w:hAnsi="MS PGothic"/>
          <w:sz w:val="17"/>
          <w:szCs w:val="17"/>
          <w:color w:val="auto"/>
        </w:rPr>
        <w:t>‑</w:t>
      </w:r>
      <w:r>
        <w:rPr>
          <w:rFonts w:ascii="Arial" w:cs="Arial" w:eastAsia="Arial" w:hAnsi="Arial"/>
          <w:sz w:val="17"/>
          <w:szCs w:val="17"/>
          <w:color w:val="auto"/>
        </w:rPr>
        <w:t>09, “Improvements to Employee Share-Based Payment Accounting,” decreasing the effective rate by approximately 7.0%. The effective tax rate was also impacted by recurring permanent differences, which, based on the amount of income before income taxes compared to the permanent differences, increased the effective rate in 2019 by approximately 1.8%. The largest such recurring permanent differences were state and local tax provisions, which increased the effective rate in 2019 by approximately 7.4%, and was largely offset by the effect of disallowed excess compensation, which decreased the effective rate in 2019 by approximately 5.1%.</w:t>
      </w:r>
    </w:p>
    <w:p>
      <w:pPr>
        <w:spacing w:after="0" w:line="203"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effective income tax rate for the Prior Year was approximately 62.7% resulting in a $1.8 million income tax expense. During the Prior Year, the effective tax rate was impacted by recurring permanent differences, which, based on the amount of income before income taxes compared to the permanent differences, increased the effective rate by 23.4%. The largest such recurring permanent difference was disallowed excess compensation, which increased the effective rate in 2018 by 8.4%. The effective tax rate was also impacted by the vesting of restricted shares of common stock. The excess tax deficiencies were treated as a discrete item for tax as required by ASU 2016-09, “Improvements to Employee Share-Based Payment Accounting”, and this item increased the effective rate by approximately 18.3%.</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had a net loss of approximately $3.4 million for the Current Year, compared with net income of approximately $1.1 million for the Prior Year, as a result of the factors discussed above.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We had non-GAAP net income of $4.8 million or $0.25 per share (“non-GAAP diluted EPS”) based on 18,858,379 weighted average shares outstanding for the Current Year, compared with non-GAAP net income of $6.5 million, or $0.36 per share based on 18,281,638 weighted average shares outstanding for the Prior Year. Non-GAAP net income is a non-GAAP unaudited term, which we define as net income, exclusive of intangible asset impairments, amortization of trademarks, stock-based compensation, non-cash interest and finance expense from discounted debt related to acquired assets, loss on extinguishment of debt, gain on reduction of contingent obligations, costs in connection with potential acquisitions, non-recurring facility exit charges, and deferred income taxes. Non-GAAP net income and non-GAAP diluted EPS measures do not include the tax effect of the aforementioned adjusting items, due to the nature of these items and the Company’s tax strategy.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We had Adjusted EBITDA of $7.1 million for the Current Year, compared with Adjusted EBITDA of approximately $8.4 million for the Prior Year. Adjusted EBITDA is a non-GAAP unaudited measure, which we define as net income before interest and finance expenses (including loss on extinguishment of debt, if any), income taxes, other state and local franchise taxes, depreciation and amortization, intangible asset impairments, stock-based compensation, gain on reduction of contingent obligations, costs in connection with potential acquisitions, and non-recurring facility exit charges.</w:t>
      </w:r>
    </w:p>
    <w:p>
      <w:pPr>
        <w:spacing w:after="0" w:line="161"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7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9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non-GAAP net income: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income attributable to Xcel Brands, Inc. stockholders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Intangible asset impairment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trademarks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Non-cash interest and finance expense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Costs in connection with potential acquisition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Gain on reduction of contingent obligation</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Deferred income tax (benefit) provision</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9"/>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851"/>
        </w:trPr>
        <w:tc>
          <w:tcPr>
            <w:tcW w:w="6600" w:type="dxa"/>
            <w:vAlign w:val="bottom"/>
          </w:tcPr>
          <w:p>
            <w:pPr>
              <w:ind w:left="43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is a reconciliation of diluted (loss) earnings per share to non-GAAP diluted EPS: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9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(loss) earnings per share, attributable to Xcel Brands, Inc. stockholders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trademarks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Costs in connection with potential acquisition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on reduction of contingent obligation</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10"/>
        </w:trPr>
        <w:tc>
          <w:tcPr>
            <w:tcW w:w="5980" w:type="dxa"/>
            <w:vAlign w:val="bottom"/>
          </w:tcPr>
          <w:p>
            <w:pPr>
              <w:spacing w:after="0" w:line="203" w:lineRule="exact"/>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18,858,379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18,281,638</w:t>
            </w:r>
          </w:p>
        </w:tc>
      </w:tr>
    </w:tbl>
    <w:p>
      <w:pPr>
        <w:spacing w:after="0" w:line="202"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8"/>
          <w:szCs w:val="18"/>
          <w:color w:val="auto"/>
        </w:rPr>
        <w:t>The following table is a reconciliation of basic weighted average shares outstanding to non-GAAP diluted weighted average shares outstanding: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18,857,657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18,280,788</w:t>
            </w: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exercising warrants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1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weighted average shares outstanding</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18,858,379</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18,281,638</w:t>
            </w: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Non-recurring facility exit charges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December 31, 2019 and December 31, 2018, our cash and cash equivalents were $4.6 million and $8.8 million, respectively.</w:t>
      </w:r>
    </w:p>
    <w:p>
      <w:pPr>
        <w:spacing w:after="0" w:line="184"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Restricted cash at December 31, 2019 consisted of $1.1 million of cash deposited with Bank Hapoalim B.M. (“BHI”) as collateral for an irrevocable standby letter of credit associated with the lease of our current corporate office and operating facility. Restricted cash at December 31, 2018 consisted of (i) $1.1 million of cash deposited with BHI as collateral for 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irrevocable standby letter of credit associated with the lease of our current corporate office and operating facility, and</w:t>
      </w:r>
    </w:p>
    <w:p>
      <w:pPr>
        <w:spacing w:after="0" w:line="35" w:lineRule="exact"/>
        <w:rPr>
          <w:sz w:val="20"/>
          <w:szCs w:val="20"/>
          <w:color w:val="auto"/>
        </w:rPr>
      </w:pPr>
    </w:p>
    <w:p>
      <w:pPr>
        <w:ind w:left="40" w:right="59" w:firstLine="4"/>
        <w:spacing w:after="0" w:line="260" w:lineRule="auto"/>
        <w:tabs>
          <w:tab w:leader="none" w:pos="3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$0.4 million of cash held as a security deposit for the sublease of our former corporate offices by us to a third-party subtenant.</w:t>
      </w:r>
    </w:p>
    <w:p>
      <w:pPr>
        <w:spacing w:after="0" w:line="185"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Our contingent obligation of $0.9 million related to the acquisition of the Halston Heritage trademarks (see Note 3 in the Notes to Consolidated Financial Statements) is generally required to be paid in shares of our common stock, subject to certain limitations. Payment of this obligation in stock would not affect our liquidity.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Our working capital (current assets less current liabilities, excluding the current portion of lease obligations and any contingent liabilities payable in common stock) was $9.5 million and $10.7 million as of December 31, 2019 and 2018, respectively. Commentary on components of our cash flows for the Current Year compared with the Prior Year is set forth below. Working capital as of December 31, 2019 included $10.6 million of accounts receivable; substantially all of this balance was collected subsequent to year-end.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Net cash provided by operating activities was approximately $3.5 million and $6.6 million in the Current Year and Prior Year, respectively.</w:t>
      </w:r>
    </w:p>
    <w:p>
      <w:pPr>
        <w:spacing w:after="0" w:line="17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 Current Year’s cash provided by operating activities was primarily attributable to the combination of the net loss of $(3.4) million plus non-cash expenses of approximately $7.8 million, partially offset by a net change in operating assets and liabilities of approximately $(0.9) million. Non-cash net expenses mainly consisted of a $6.2 million intangible asset impairment charge, $3.9 million of depreciation and amortization, $1.0 million of stock-based compensation, $(0.7) million of deferred income tax benefit, $(2.9) million of gain on reduction of contingent obligations, and $0.2 million of loss on extinguishment of debt. The net change in operating assets and liabilities includes a decrease in accounts receivable of $0.4 million, a decrease in inventory of $1.1 million, and a decrease in accounts payable, accrued expenses and other current liabilities of $(1.7) million, all of which are primarily due to timing of collections and payments, and cash paid in excess of rent expense of $(0.4) million.</w:t>
      </w:r>
    </w:p>
    <w:p>
      <w:pPr>
        <w:spacing w:after="0" w:line="18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 Prior Year’s cash provided by operating activities was primarily attributable to the combination of a net income of $1.1 million plus non-cash expenses of approximately $5.7 million and net change in operating assets and liabilities of approximately $(0.2) million. Non-cash net expenses primarily consisted of $1.8 million of stock-based compensation, $1.8 million of depreciation and amortization, and $1.8 million of deferred income tax expense. The net change in operating assets and liabilities includes a net increase in accounts receivable of $(2.7) million, an increase in inventory of $(2.0) million, an increase in prepaid expenses of $(0.4) million, partially offset by an increase in accounts payable, accrued expenses and other current liabilities of $4.6 million, and increases of $0.2 million in other liabilities. The changes in accounts receivable, inventory, and accounts payable were mainly due to operations related to wholesale and e-commerce that were launched in 2018.</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Net cash used in investing activities for the Current Year was approximately $10.3 million, compared with $1.5 million in the Prior Year. Cash used in investing activities for the Current Year was primarily related to $8.8 million in cash consideration paid to acquire the Halston Heritage Brands, as well as capital expenditures of $1.1 million predominantly related to implementation of our ERP system. Cash used in investing activities in the Prior Year was primarily attributable to capital expenditures of $1.0 million related to the launch of our wholesale business and $0.4 million related to the implementation of our ERP system.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Net cash provided by (used in) financing activities for the Current Year was approximately $2.3 million, and was primarily attributable to proceeds received from long-term debt of $7.5 million, partially offset by payments made on our senior term debt obligation of $(4.0) million, the final payment on the IM Seller Note obligation of $(0.7) million, and payment of $(0.3) million of deferred finance costs.</w:t>
      </w:r>
    </w:p>
    <w:p>
      <w:pPr>
        <w:spacing w:after="0" w:line="18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Net cash used in financing activities for the Prior Year was approximately $6.5 million, and was primarily attributable to payments made on our senior term debt obligation of $4.0 million, payments on the IM Seller Note obligation of $1.5 million, and shares repurchased related to vested restricted stock in exchange for withholding taxes of $1.0 million.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February 26, 2016, the Company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as agent, and the financial institutions party thereto as lenders. The Loan Agreement amended and restated the previous IM Term Loan, JR Term Loan, and H Term Loan. Pursuant to the Loan Agreement, Xcel assumed the obligations of each of IM Brands, LLC, JR Licensing, LLC, and H Licensing, LLC under the respective term loans with BHI in the aggregate principal amount of $27.9 million (the loan under the Loan Agreement is referred to as the “Xcel Term Loan”).</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Xcel Term Loan was due to mature on January 1, 2021. Principal on the Xcel Term Loan was payable in quarterly installments on each of January 1, April 1, July 1 and October 1.</w:t>
      </w:r>
    </w:p>
    <w:p>
      <w:pPr>
        <w:spacing w:after="0" w:line="17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 Xcel Term Loan was amended in February 2017 and again in June 2017. Under these amendments, principal payments for the year ended December 31, 2017 were increased by a total of $0.8 million, principal payments for the year ended December 31, 2019 were increased by a total of $1.0 million, and principal payments for the year ending December 31, 2021 were decreased by $1.8 million. In addition, the minimum EBITDA (as defined in the Loan Agreement) requirement for the year ended December 31, 2017 was changed from $9.0 million to $7.0 million, and the minimum EBITDA requirements for the years ended December 31, 2018 and 2019 were changed from $9.0 million to $8.0 million, respectively. There were no changes to the total principal balance, interest rate, maturity date, or other terms of the Loan Agreement. Management assessed and determined that these amendments represented debt modifications and, accordingly, no gain or loss was recorded.</w:t>
      </w:r>
    </w:p>
    <w:p>
      <w:pPr>
        <w:spacing w:after="0" w:line="18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February 11, 2019 (also referred to herein as the “Closing Date”), the Company entered into an amended loan agreement with BHI (the “Second Amended and Restated Loan and Security Agreement”), which amended and restated the Prior Xcel Term Loan. Immediately prior to February 11, 2019, the aggregate principal amount of the Prior Xcel Term loan was $14.5 million. Pursuant to the Loan Agreement, the Lenders have extended to Xcel an additional term loan in the amount of $7.5 million, such that, as of February 11, 2019, the aggregate outstanding balance of all the term loans extended by BHI to Xcel was $22.0 million, which amount has been divided under the Loan Agreement into two term loans: (1) a term loan in the amount of $7.3 million (“Term Loan A”) and (2) a term loan in the amount of $14.7 million (“Term Loan B” and, together with Term Loan A, the “Term Loans”).</w:t>
      </w:r>
    </w:p>
    <w:p>
      <w:pPr>
        <w:spacing w:after="0" w:line="178"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terms and conditions of the Second Amended and Restated Xcel Term Loan resulted in significantly different debt service payment requirements, compared with the Prior Xcel Term Loan, which included an increase of $7.5 million in the principal balance, and related changes to the timing and amount of principal payments, as well as changes in the interest rate. Management assessed and determined that this amendment resulted in an extinguishment of debt and recognized a loss of $0.2 million (consisting of unamortized deferred finance costs) during the year ended December 31, 2019.</w:t>
      </w:r>
    </w:p>
    <w:p>
      <w:pPr>
        <w:spacing w:after="0" w:line="16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The Second Amended and Restated Loan and Security Agreement also contemplates that BHI, or their affiliates (collectively, the “Lenders”) can provide to Xcel a revolving loan facility and a letter of credit facility, the terms of each</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of which shall be agreed to by Xcel and the Lenders. Amounts advanced under the revolving loan facility (the “Revolving Loans”) will be used for the purpose of consummating acquisitions by Xcel or its subsidiaries that are or become parties to the Second Amended and Restated Loan and Security Agreement.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Second Amended and Restated Loan and Security Agreement shall terminate no later than one year following the date of issuance thereof.</w:t>
      </w:r>
    </w:p>
    <w:p>
      <w:pPr>
        <w:spacing w:after="0" w:line="187"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April 13, 2020, the Company further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permits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on the Xcel Term Loan, as amended, is payable in fixed installments as follows:</w:t>
      </w:r>
    </w:p>
    <w:p>
      <w:pPr>
        <w:spacing w:after="0" w:line="2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top w:val="single" w:sz="8" w:color="auto"/>
              <w:bottom w:val="single" w:sz="8" w:color="auto"/>
            </w:tcBorders>
          </w:tcPr>
          <w:p>
            <w:pPr>
              <w:ind w:left="20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June 30, 2020, September 30, 2020, and December 31, 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2021, June 30, 2021, September 30, 2021, and December 31,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April 30,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2022, June 30, 2022, September 30, 2022, and December 31, 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2023, June 30, 2023, September 30, 2023, and December 31, 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$2.00 million as of March 31, 2022, any such shortfall must be repaid at that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Thus, the aggregate remaining annual principal payments under the Xcel Term Loan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 in thousands)</w:t>
            </w: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Principal</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tcPr>
          <w:p>
            <w:pPr>
              <w:ind w:left="1120"/>
              <w:spacing w:after="0"/>
              <w:rPr>
                <w:sz w:val="20"/>
                <w:szCs w:val="20"/>
                <w:color w:val="auto"/>
              </w:rPr>
            </w:pPr>
            <w:r>
              <w:rPr>
                <w:rFonts w:ascii="Arial" w:cs="Arial" w:eastAsia="Arial" w:hAnsi="Arial"/>
                <w:sz w:val="14"/>
                <w:szCs w:val="14"/>
                <w:b w:val="1"/>
                <w:bCs w:val="1"/>
                <w:color w:val="auto"/>
              </w:rPr>
              <w:t>Year Ending December 31,</w:t>
            </w: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Payment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2021</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3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2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1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60" w:type="dxa"/>
            <w:vAlign w:val="bottom"/>
          </w:tcPr>
          <w:p>
            <w:pPr>
              <w:jc w:val="right"/>
              <w:ind w:right="217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17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Notwithstanding the above, Xcel may make a voluntary prepayment of up to $0.75 million without any early termination fees, after any PPP loan proceeds have been received by the Company. Any such prepayment would be applied against the April 30, 2021 fixed installment payment and would be excluded from the computation of excess cash flows.</w:t>
      </w:r>
    </w:p>
    <w:p>
      <w:pPr>
        <w:spacing w:after="0" w:line="1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Xcel Term Loan, equity interests of the Guarantors.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Xcel also granted the Lenders a right of first offer to finance any acquisition for which the consideration will be paid other than by cash of Xcel or by the issuance of equity interest of Xcel.</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under the Second Amended and Restated Loan and Security Agreement):</w:t>
      </w:r>
    </w:p>
    <w:p>
      <w:pPr>
        <w:spacing w:after="0" w:line="184" w:lineRule="exact"/>
        <w:rPr>
          <w:sz w:val="20"/>
          <w:szCs w:val="20"/>
          <w:color w:val="auto"/>
        </w:rPr>
      </w:pPr>
    </w:p>
    <w:p>
      <w:pPr>
        <w:ind w:left="700" w:hanging="33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700" w:right="79" w:hanging="332"/>
        <w:spacing w:after="0" w:line="286"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liquid assets of at least $3.25 million through the earlier of December 31, 2020 or such time as any PPP loan proceeds are received by the Company, at least $4.0 million through December 31, 2020 provided that PPP loan proceeds have been received by the Company, and at least $5.0 million thereafter;</w:t>
      </w:r>
    </w:p>
    <w:p>
      <w:pPr>
        <w:spacing w:after="0" w:line="165" w:lineRule="exact"/>
        <w:rPr>
          <w:rFonts w:ascii="Arial" w:cs="Arial" w:eastAsia="Arial" w:hAnsi="Arial"/>
          <w:sz w:val="17"/>
          <w:szCs w:val="17"/>
          <w:color w:val="auto"/>
        </w:rPr>
      </w:pPr>
    </w:p>
    <w:p>
      <w:pPr>
        <w:jc w:val="both"/>
        <w:ind w:left="700" w:right="79" w:hanging="332"/>
        <w:spacing w:after="0" w:line="263"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shall not be less than $6.8 million for the fiscal year ended December 31, 2019, $5.0 million for the twelve fiscal month period ending March 31, 2020, and $4.8 million for the twelve fiscal month period ending June 30, 2020;</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fixed charge coverage ratio for the twelve fiscal month period ending at the end of each fiscal quarter shall not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less than the ratio set forth below:</w:t>
      </w:r>
    </w:p>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160" w:type="dxa"/>
            <w:vAlign w:val="bottom"/>
            <w:gridSpan w:val="2"/>
          </w:tcPr>
          <w:p>
            <w:pPr>
              <w:ind w:left="2400"/>
              <w:spacing w:after="0"/>
              <w:rPr>
                <w:sz w:val="20"/>
                <w:szCs w:val="20"/>
                <w:color w:val="auto"/>
              </w:rPr>
            </w:pPr>
            <w:r>
              <w:rPr>
                <w:rFonts w:ascii="Arial" w:cs="Arial" w:eastAsia="Arial" w:hAnsi="Arial"/>
                <w:sz w:val="14"/>
                <w:szCs w:val="14"/>
                <w:b w:val="1"/>
                <w:bCs w:val="1"/>
                <w:color w:val="auto"/>
              </w:rPr>
              <w:t>Fiscal Quarter End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Fixed Charge Coverage Ratio</w:t>
            </w: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to 1.00</w:t>
            </w:r>
          </w:p>
        </w:tc>
      </w:tr>
      <w:tr>
        <w:trPr>
          <w:trHeight w:val="202"/>
        </w:trPr>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December 31, 2020, March 31, 2021, June 30, 2021, September 30, 2021,</w:t>
            </w:r>
          </w:p>
        </w:tc>
        <w:tc>
          <w:tcPr>
            <w:tcW w:w="1860" w:type="dxa"/>
            <w:vAlign w:val="bottom"/>
          </w:tcPr>
          <w:p>
            <w:pPr>
              <w:spacing w:after="0"/>
              <w:rPr>
                <w:sz w:val="17"/>
                <w:szCs w:val="17"/>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December 31, 2021 and 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202" w:lineRule="exact"/>
        <w:rPr>
          <w:sz w:val="20"/>
          <w:szCs w:val="20"/>
          <w:color w:val="auto"/>
        </w:rPr>
      </w:pPr>
    </w:p>
    <w:p>
      <w:pPr>
        <w:jc w:val="both"/>
        <w:ind w:left="700" w:right="79" w:hanging="332"/>
        <w:spacing w:after="0" w:line="259"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$1.7 million for the fiscal year ended December 31, 2018; $0.7 million for the fiscal year ended December 31, 2019; $1.6 million for the fiscal year ending December 31, 2020, and $0.7 million for any fiscal year beginning after December 31, 2020;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leverage ratio for the twelve fiscal month period ending at the end of each fiscal period set forth below shall</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exceed the ratio set forth below:</w:t>
      </w:r>
    </w:p>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360" w:type="dxa"/>
            <w:vAlign w:val="bottom"/>
            <w:gridSpan w:val="2"/>
          </w:tcPr>
          <w:p>
            <w:pPr>
              <w:ind w:left="2680"/>
              <w:spacing w:after="0"/>
              <w:rPr>
                <w:sz w:val="20"/>
                <w:szCs w:val="20"/>
                <w:color w:val="auto"/>
              </w:rPr>
            </w:pPr>
            <w:r>
              <w:rPr>
                <w:rFonts w:ascii="Arial" w:cs="Arial" w:eastAsia="Arial" w:hAnsi="Arial"/>
                <w:sz w:val="14"/>
                <w:szCs w:val="14"/>
                <w:b w:val="1"/>
                <w:bCs w:val="1"/>
                <w:color w:val="auto"/>
              </w:rPr>
              <w:t>Fiscal Period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 to 1.00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 June 30, 2021 and September 30, 2021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 to 1.00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December 31, 2021 and each Fiscal Quarter end thereafter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was in compliance with all applicable covenants under the Second Amended and Restated Loan and Security Agreement as of and for the fiscal year ended December 31, 2019.</w:t>
      </w:r>
    </w:p>
    <w:p>
      <w:pPr>
        <w:spacing w:after="0" w:line="170"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the Current Year and Prior Year, the Company incurred interest expense of approximately $1.2 million and $0.9 million, respectively, related to term loan debt.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Obligations – HH Seller (Halston Heritage Earn-Out)</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In connection with the February 11, 2019 purchase of the Halston Heritage Trademarks from HIP, the Company agreed to pay HIP additional consideration (the “Halston Heritage Earn-Out”) of up to $6.0 million, based on royalties earned through December 31, 2022. The Halston Heritage Earn-Out of $0.9 million is recorded as a long-term liability as of December 31, 2019 in the accompanying condensed consolidated balance sheets, based on the difference between the fair value of the acquired assets of the Halston Heritage Trademarks and the total consideration paid. In accordance with ASC Topic 480, the Halston Heritage Earn-Out obligation is treated as a liability in the accompanying consolidated balance sheets because of the variable number of shares payable under the agreement.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Other long-term liabilities consist of the Company’s obligations to subtenants for security deposits under sublease arrangements, which were $0.2 million and $0.4 million as of December 31, 2019 and 2018, respectively.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We believe that cash from future operations as well as currently available cash will be sufficient to satisfy our anticipated working capital requirements for the foreseeable future, including our debt service requirements and making necessary investments in our infrastructure and technology.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is a summary of contractual cash obligations that existed as of December 31, 2019 for the future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2022 and After</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debt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Term debt interest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Employment contracts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50,287</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We continue to expand our Judith Ripka Fine Jewelry wholesale and e-commerce business, and in November 2018, we transitioned our department store business from a licensing model to a wholesale model. Our strategy is to manage our working capital needs by utilizing back-to-back sales and purchase orders and minimizing inventory risk. This change should increase our total and net revenues as compared to the licensing model. We expect to develop a core licensing business for the Longaberger brand, in addition to a direct-to-consumer business.</w:t>
      </w:r>
    </w:p>
    <w:p>
      <w:pPr>
        <w:spacing w:after="0" w:line="1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November 2019, we acquired an ownership interest in the Longaberger brand through a joint venture, and launched the brand on QVC that same month. We are also actively pursuing the potential acquisition of other brands and business operations which we believe are synergistic to our existing portfolio of brands and our operating platform, and are complementary to our overall strategy.</w:t>
      </w:r>
    </w:p>
    <w:p>
      <w:pPr>
        <w:spacing w:after="0" w:line="192"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However, the impacts of the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outbreak is also impacting distribution and logistics providers' ability to operate in the normal course of business. Further, the pandemic has resulted in a sudden decrease in sales for many of our products, resulting in order cancelations. Financial impacts associated with the COVID-19 pandemic include, but are not limited to, lower net sales,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will have on our operating results could result in our inability to comply with certain debt covenants and require Bank Hapoalim B.M.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2020 results. However, as of the date of this filing we expect our results for 2020 to be significantly affected.</w:t>
      </w:r>
    </w:p>
    <w:p>
      <w:pPr>
        <w:spacing w:after="0" w:line="180"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Our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Our wholesale operations suppliers (most of which are abroad) could face economic pressures as a result of rising wages and inflation or be affected by trade wars or increases in tariffs materially impacting their business.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If there were an adverse change in the rate of inflation by less than 10%, the expected effect on net income and cash flows would be immaterial.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of Xcel Brands, Inc. and Subsidiaries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audited the accompanying consolidated balance sheets of Xcel Brands, Inc. and Subsidiaries (the “Company”) as of December 31, 2019 and 2018, and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the transition method provided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Update (ASU) No. 2018-11 such that prior period amounts are not adjusted and continue to be reported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CohnReznick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auditors since 2012.</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14,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r>
      <w:tr>
        <w:trPr>
          <w:trHeight w:val="142"/>
        </w:trPr>
        <w:tc>
          <w:tcPr>
            <w:tcW w:w="6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8,837</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10,622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11,010</w:t>
            </w: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Inventory</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1,404</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2,040</w:t>
            </w: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3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17,566</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23,875</w:t>
            </w:r>
          </w:p>
        </w:tc>
      </w:tr>
      <w:tr>
        <w:trPr>
          <w:trHeight w:val="142"/>
        </w:trPr>
        <w:tc>
          <w:tcPr>
            <w:tcW w:w="6280" w:type="dxa"/>
            <w:vAlign w:val="bottom"/>
          </w:tcPr>
          <w:p>
            <w:pPr>
              <w:ind w:left="120"/>
              <w:spacing w:after="0" w:line="142" w:lineRule="exact"/>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3,666</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3,202</w:t>
            </w: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right-of-use assets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Trademarks and other intangibles, net</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111,095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108,989</w:t>
            </w: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w:t>
            </w: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505</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511</w:t>
            </w: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non-current assets</w:t>
            </w:r>
          </w:p>
        </w:tc>
        <w:tc>
          <w:tcPr>
            <w:tcW w:w="3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125,625</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114,184</w:t>
            </w:r>
          </w:p>
        </w:tc>
      </w:tr>
      <w:tr>
        <w:trPr>
          <w:trHeight w:val="142"/>
        </w:trPr>
        <w:tc>
          <w:tcPr>
            <w:tcW w:w="6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6"/>
        </w:trPr>
        <w:tc>
          <w:tcPr>
            <w:tcW w:w="6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1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138,059</w:t>
            </w:r>
          </w:p>
        </w:tc>
      </w:tr>
      <w:tr>
        <w:trPr>
          <w:trHeight w:val="148"/>
        </w:trPr>
        <w:tc>
          <w:tcPr>
            <w:tcW w:w="6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5,140</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Accrued payroll</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2,011</w:t>
            </w: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accrued rent liability</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1,752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long-term debt, contingent obligations</w:t>
            </w:r>
          </w:p>
        </w:tc>
        <w:tc>
          <w:tcPr>
            <w:tcW w:w="38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2,950</w:t>
            </w:r>
          </w:p>
        </w:tc>
      </w:tr>
      <w:tr>
        <w:trPr>
          <w:trHeight w:val="142"/>
        </w:trPr>
        <w:tc>
          <w:tcPr>
            <w:tcW w:w="62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9,837</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16,116</w:t>
            </w:r>
          </w:p>
        </w:tc>
      </w:tr>
      <w:tr>
        <w:trPr>
          <w:trHeight w:val="142"/>
        </w:trPr>
        <w:tc>
          <w:tcPr>
            <w:tcW w:w="628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Long-term portion of accrued rent liability</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9,773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Long-term debt, less current portion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w:t>
            </w:r>
          </w:p>
        </w:tc>
      </w:tr>
      <w:tr>
        <w:trPr>
          <w:trHeight w:val="149"/>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Contingent obligation</w:t>
            </w:r>
          </w:p>
        </w:tc>
        <w:tc>
          <w:tcPr>
            <w:tcW w:w="3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tax liabilities, net</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8,139</w:t>
            </w: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w:t>
            </w: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long-term liabilities</w:t>
            </w:r>
          </w:p>
        </w:tc>
        <w:tc>
          <w:tcPr>
            <w:tcW w:w="3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34,902</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22,061</w:t>
            </w:r>
          </w:p>
        </w:tc>
      </w:tr>
      <w:tr>
        <w:trPr>
          <w:trHeight w:val="142"/>
        </w:trPr>
        <w:tc>
          <w:tcPr>
            <w:tcW w:w="6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44,739</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38,177</w:t>
            </w:r>
          </w:p>
        </w:tc>
      </w:tr>
      <w:tr>
        <w:trPr>
          <w:trHeight w:val="142"/>
        </w:trPr>
        <w:tc>
          <w:tcPr>
            <w:tcW w:w="6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6280" w:type="dxa"/>
            <w:vAlign w:val="bottom"/>
          </w:tcPr>
          <w:p>
            <w:pPr>
              <w:ind w:left="120"/>
              <w:spacing w:after="0" w:line="130" w:lineRule="exact"/>
              <w:rPr>
                <w:sz w:val="20"/>
                <w:szCs w:val="20"/>
                <w:color w:val="auto"/>
              </w:rPr>
            </w:pPr>
            <w:r>
              <w:rPr>
                <w:rFonts w:ascii="Arial" w:cs="Arial" w:eastAsia="Arial" w:hAnsi="Arial"/>
                <w:sz w:val="14"/>
                <w:szCs w:val="14"/>
                <w:color w:val="auto"/>
              </w:rPr>
              <w:t>Common stock, $.001 par value, 50,000,000 shares authorized at December 31, 2019 and 2018,</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w w:val="95"/>
              </w:rPr>
              <w:t>respectively, and 18,866,417 and 18,138,616 shares issued and outstanding at December 31, 2019 and</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6280" w:type="dxa"/>
            <w:vAlign w:val="bottom"/>
          </w:tcPr>
          <w:p>
            <w:pPr>
              <w:ind w:left="120"/>
              <w:spacing w:after="0"/>
              <w:rPr>
                <w:sz w:val="20"/>
                <w:szCs w:val="20"/>
                <w:color w:val="auto"/>
              </w:rPr>
            </w:pPr>
            <w:r>
              <w:rPr>
                <w:rFonts w:ascii="Arial" w:cs="Arial" w:eastAsia="Arial" w:hAnsi="Arial"/>
                <w:sz w:val="14"/>
                <w:szCs w:val="14"/>
                <w:color w:val="auto"/>
              </w:rPr>
              <w:t>2018, respectively</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Paid-in capital</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101,736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100,097</w:t>
            </w: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(3,659)</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r>
      <w:tr>
        <w:trPr>
          <w:trHeight w:val="142"/>
        </w:trPr>
        <w:tc>
          <w:tcPr>
            <w:tcW w:w="62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3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98,096</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99,882</w:t>
            </w: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356</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98,452</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99,882</w:t>
            </w:r>
          </w:p>
        </w:tc>
      </w:tr>
      <w:tr>
        <w:trPr>
          <w:trHeight w:val="142"/>
        </w:trPr>
        <w:tc>
          <w:tcPr>
            <w:tcW w:w="6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38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1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138,059</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For the Year Ended</w:t>
      </w:r>
    </w:p>
    <w:p>
      <w:pPr>
        <w:ind w:left="76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Net licensing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revenue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goods sold (sales)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benefits and employment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Other design and marketing costs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Costs in connection with potential acquisition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Facilities exit charge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Intangible asset impairment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costs and expenses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on reduction of contingent obligation</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other income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finance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Interest expense - term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interest and finance charges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extinguishment of debt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interest and finance expense</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(loss) income attributable to noncontrolling interest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Xcel Brands, Inc. stockholders</w:t>
            </w: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earnings per share attributable to Xcel Brands, Inc. common stockholders: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Basic net (loss) income per share: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(loss) income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18,857,657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18,280,788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100"/>
              <w:spacing w:after="0" w:line="203" w:lineRule="exact"/>
              <w:rPr>
                <w:sz w:val="20"/>
                <w:szCs w:val="20"/>
                <w:color w:val="auto"/>
              </w:rPr>
            </w:pPr>
            <w:r>
              <w:rPr>
                <w:rFonts w:ascii="Arial" w:cs="Arial" w:eastAsia="Arial" w:hAnsi="Arial"/>
                <w:sz w:val="18"/>
                <w:szCs w:val="18"/>
                <w:color w:val="auto"/>
              </w:rPr>
              <w:t>Diluted weighted average common shares outstanding</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18,857,657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18,281,638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20"/>
          </w:cols>
          <w:pgMar w:left="1440" w:top="125" w:right="1239"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36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Xcel Brands, Inc. stockholders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34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3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Interest</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18,318,961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$ 97,694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issued to employees, directors and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others in connection with restricted stock</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grants, net of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in connection with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including vested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stock in exchange for withholding</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(371,151)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for the year ended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18,138,616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with the acquisition of Halston Heritage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777,778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issued to directors in connection with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net of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issued on exercise of stock options,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in connection with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including vested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stock in exchange for withholding</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(115,162)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Consolidation of Longaberger Licensing,</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LLC variable interest entity</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for the year ended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18,866,417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101,736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$ 98,452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Net (loss) income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(3,445)</w:t>
            </w:r>
          </w:p>
        </w:tc>
        <w:tc>
          <w:tcPr>
            <w:tcW w:w="180" w:type="dxa"/>
            <w:vAlign w:val="bottom"/>
          </w:tcPr>
          <w:p>
            <w:pPr>
              <w:spacing w:after="0"/>
              <w:rPr>
                <w:sz w:val="12"/>
                <w:szCs w:val="12"/>
                <w:color w:val="auto"/>
              </w:rPr>
            </w:pP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3,902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Intangible asset impairment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finance costs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note discount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doubtful accounts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Gain on reduction of contingent obligation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(2,850)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consideration for acquisition of Halston Heritage assets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Investment in Longaberger Licensing, LLC</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(4,742)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(6,492)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cash equivalents, and restricted cash</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8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4,641</w:t>
            </w:r>
          </w:p>
        </w:tc>
        <w:tc>
          <w:tcPr>
            <w:tcW w:w="180" w:type="dxa"/>
            <w:vAlign w:val="bottom"/>
          </w:tcPr>
          <w:p>
            <w:pPr>
              <w:spacing w:after="0"/>
              <w:rPr>
                <w:sz w:val="12"/>
                <w:szCs w:val="12"/>
                <w:color w:val="auto"/>
              </w:rPr>
            </w:pP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6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5,750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10,319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lease right-of-use asset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Borders>
              <w:top w:val="single" w:sz="8" w:color="CCEEFF"/>
              <w:bottom w:val="single" w:sz="8" w:color="CCEEFF"/>
            </w:tcBorders>
          </w:tcPr>
          <w:p>
            <w:pPr>
              <w:ind w:left="200"/>
              <w:spacing w:after="0" w:line="135" w:lineRule="exact"/>
              <w:rPr>
                <w:sz w:val="20"/>
                <w:szCs w:val="20"/>
                <w:color w:val="auto"/>
              </w:rPr>
            </w:pPr>
            <w:r>
              <w:rPr>
                <w:rFonts w:ascii="Arial" w:cs="Arial" w:eastAsia="Arial" w:hAnsi="Arial"/>
                <w:sz w:val="14"/>
                <w:szCs w:val="14"/>
                <w:color w:val="auto"/>
              </w:rPr>
              <w:t>Operating lease obligation</w:t>
            </w:r>
          </w:p>
        </w:tc>
        <w:tc>
          <w:tcPr>
            <w:tcW w:w="6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13,210</w:t>
            </w:r>
          </w:p>
        </w:tc>
        <w:tc>
          <w:tcPr>
            <w:tcW w:w="1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rent offset to operating lease right-of-use assets</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2,801</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4"/>
                <w:szCs w:val="14"/>
                <w:color w:val="auto"/>
              </w:rPr>
              <w:t>Settlement of seller note through offset to receivable</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600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Settlement of contingent obligation through offset to note receivable</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4"/>
                <w:szCs w:val="14"/>
                <w:color w:val="auto"/>
              </w:rPr>
              <w:t>Issuance of common stock in connection with Halston Heritage assets acquisition</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1,058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Contingent obligation related to acquisition of Halston Heritage assets at fair value</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4"/>
                <w:szCs w:val="14"/>
                <w:color w:val="auto"/>
              </w:rPr>
              <w:t>Liability for equity-based bonuses</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860" w:type="dxa"/>
            <w:vAlign w:val="bottom"/>
            <w:tcBorders>
              <w:top w:val="single" w:sz="8" w:color="CCEEFF"/>
            </w:tcBorders>
          </w:tcPr>
          <w:p>
            <w:pPr>
              <w:ind w:left="100"/>
              <w:spacing w:after="0" w:line="135" w:lineRule="exact"/>
              <w:rPr>
                <w:sz w:val="20"/>
                <w:szCs w:val="20"/>
                <w:color w:val="auto"/>
              </w:rPr>
            </w:pPr>
            <w:r>
              <w:rPr>
                <w:rFonts w:ascii="Arial" w:cs="Arial" w:eastAsia="Arial" w:hAnsi="Arial"/>
                <w:sz w:val="14"/>
                <w:szCs w:val="14"/>
                <w:color w:val="auto"/>
              </w:rPr>
              <w:t>Cash paid during the period for interest</w:t>
            </w: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1,176</w:t>
            </w: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Xcel Brands, Inc. (“Xcel” and, together with its subsidiaries, the “Company”) is a media and consumer products company engaged in the design, production, marketing, wholesale distribution, and direct-to-consumer sales of branded apparel, footwear, accessories, jewelry, home goods and other consumer products, and the acquisition of dynamic consumer lifestyle brands. The Company has developed a design, production, and supply chain capability driven by its proprietary integrated technology platform. Currently, the Company’s brand portfolio consists of the Isaac Mizrahi brand (the "Isaac Mizrahi Brand"), the Judith Ripka brand (the "Ripka Brand"), the Halston brands (the "Halston Brands"), the C Wonder brand (the "C Wonder Brand"), and other proprietary brands. The Company also manages the Longaberger brand (the “Longaberger Brand”) through its 50% ownership interest in Longaberger Licensing, LLC.</w:t>
      </w:r>
    </w:p>
    <w:p>
      <w:pPr>
        <w:spacing w:after="0" w:line="16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The Company licenses its brands to third parties, provides certain design, production, marketing, and distribution services, and generates licensing and design fee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5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 January 2018, the Company launched its jewelry wholesale and e-commerce operations and in November 2018, launched its apparel wholesale operations. The revenues related to these operations are presented separately from the Company’s licensing activities as "Net sales" and "Cost of goods sold (sales)" in the Consolidated Statements of Operations.</w:t>
      </w:r>
    </w:p>
    <w:p>
      <w:pPr>
        <w:spacing w:after="0" w:line="183"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consolidated financial statements include the accounts of Xcel, its wholly owned subsidiaries, and entities in which Xcel has a controlling financial interest as of and for the years ended December 31, 2019 (the "Current Year") and 2018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7"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deems the following items to require significant estimates from management:</w:t>
      </w:r>
    </w:p>
    <w:p>
      <w:pPr>
        <w:spacing w:after="0" w:line="225" w:lineRule="exact"/>
        <w:rPr>
          <w:sz w:val="20"/>
          <w:szCs w:val="20"/>
          <w:color w:val="auto"/>
        </w:rPr>
      </w:pPr>
    </w:p>
    <w:p>
      <w:pPr>
        <w:ind w:left="720" w:hanging="32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Useful lives of trademarks;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720" w:hanging="325"/>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Assumptions used in the valuation of intangible assets, including cash flow estimates for impairment analysis;</w:t>
      </w:r>
    </w:p>
    <w:p>
      <w:pPr>
        <w:spacing w:after="0" w:line="236" w:lineRule="exact"/>
        <w:rPr>
          <w:rFonts w:ascii="Arial" w:cs="Arial" w:eastAsia="Arial" w:hAnsi="Arial"/>
          <w:sz w:val="17"/>
          <w:szCs w:val="17"/>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Black-Scholes option pricing model assumptions for stock option values;</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Performance-based stock option expense recognition;</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Incremental borrowing rate;</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reserves; and</w:t>
      </w:r>
    </w:p>
    <w:p>
      <w:pPr>
        <w:spacing w:after="0" w:line="225"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Valuation allowances and effective tax rate for tax purposes.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including (i) the separate presentation on the balance sheet of current and long-term lease-related liabilities (previously included within accounts payable, accrued expenses other current liabilities, and other long-term liabilities, respectively) and (ii) the inclusion of deferred revenue within accounts payable, accrued expenses and other current liabilities on the balance sheet. These reclassifications had no impact on net income, stockholders’ equity, or cash flows as previously reported.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Accounts receivable are reported net of the allowance for doubtful accounts. Allowance for doubtful accounts is based on the Company’s ongoing discussions with its licensees, wholesale and digital customers, and its evaluation of each customer’s payment history, account aging, and financial position. As of December 31, 2019 and 2018, the Company had $10.6 million and $11.0 million, respectively, of accounts receivable, net of allowances for doubtful accounts of approximately $0.2 million at December 31, 2019 and 2018. There is no earned revenue that has been accrued but not billed as of December 31, 2019 and 2018.</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Inventory is recorded at the lower of cost or net realizable value, with cost determined on a weighted average basis. The Company holds finished goods inventory for its e-commerce jewelry operations. Apparel and jewelry finished goods inventory is purchased to satisfy orders received from its wholesale operations. The Company periodically reviews the composition of its inventories in order to identify obsolete, slow-moving or otherwise non-saleable items. If non-saleable items are observed and there are no alternate uses for the inventories, the Company will record a write-down to net realizable value in the period that the decline in value is first recognized. Reserves for inventory shrinkage, representing the risk of physical loss of inventory, are estimated based on historical experience and are adjusted based upon physical inventory counts.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improvements are amortized over the shorter of their estimated useful lives or the terms of the leases. Betterments and improvements are capitalized, while repairs and maintenance are expensed as incurred.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Trademarks and Other Intangible Assets</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The Company follows Financial Accounting Standards Board (“FASB”) Accounting Standards Codification (“ASC”) Topic 350, “Intangibles - Goodwill and Other.” Under this standard, goodwill and indefinite-lived intangible assets are not amortized, but are required to be assessed for impairment at least annually (the Company utilizes December 31 as its testing date) and when events occur or circumstances change that would more likely than not reduce the fair value of the asset below its carrying amount.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6"/>
          <w:szCs w:val="16"/>
          <w:color w:val="auto"/>
        </w:rPr>
        <w:t>The Company tests its indefinite-lived intangible assets for recovery in accordance with ASC</w:t>
      </w:r>
      <w:r>
        <w:rPr>
          <w:rFonts w:ascii="MS PGothic" w:cs="MS PGothic" w:eastAsia="MS PGothic" w:hAnsi="MS PGothic"/>
          <w:sz w:val="16"/>
          <w:szCs w:val="16"/>
          <w:color w:val="auto"/>
        </w:rPr>
        <w:t>‑</w:t>
      </w:r>
      <w:r>
        <w:rPr>
          <w:rFonts w:ascii="Arial" w:cs="Arial" w:eastAsia="Arial" w:hAnsi="Arial"/>
          <w:sz w:val="16"/>
          <w:szCs w:val="16"/>
          <w:color w:val="auto"/>
        </w:rPr>
        <w:t>820</w:t>
      </w:r>
      <w:r>
        <w:rPr>
          <w:rFonts w:ascii="MS PGothic" w:cs="MS PGothic" w:eastAsia="MS PGothic" w:hAnsi="MS PGothic"/>
          <w:sz w:val="16"/>
          <w:szCs w:val="16"/>
          <w:color w:val="auto"/>
        </w:rPr>
        <w:t>‑</w:t>
      </w:r>
      <w:r>
        <w:rPr>
          <w:rFonts w:ascii="Arial" w:cs="Arial" w:eastAsia="Arial" w:hAnsi="Arial"/>
          <w:sz w:val="16"/>
          <w:szCs w:val="16"/>
          <w:color w:val="auto"/>
        </w:rPr>
        <w:t>10</w:t>
      </w:r>
      <w:r>
        <w:rPr>
          <w:rFonts w:ascii="MS PGothic" w:cs="MS PGothic" w:eastAsia="MS PGothic" w:hAnsi="MS PGothic"/>
          <w:sz w:val="16"/>
          <w:szCs w:val="16"/>
          <w:color w:val="auto"/>
        </w:rPr>
        <w:t>‑</w:t>
      </w:r>
      <w:r>
        <w:rPr>
          <w:rFonts w:ascii="Arial" w:cs="Arial" w:eastAsia="Arial" w:hAnsi="Arial"/>
          <w:sz w:val="16"/>
          <w:szCs w:val="16"/>
          <w:color w:val="auto"/>
        </w:rPr>
        <w:t>55</w:t>
      </w:r>
      <w:r>
        <w:rPr>
          <w:rFonts w:ascii="MS PGothic" w:cs="MS PGothic" w:eastAsia="MS PGothic" w:hAnsi="MS PGothic"/>
          <w:sz w:val="16"/>
          <w:szCs w:val="16"/>
          <w:color w:val="auto"/>
        </w:rPr>
        <w:t>‑</w:t>
      </w:r>
      <w:r>
        <w:rPr>
          <w:rFonts w:ascii="Arial" w:cs="Arial" w:eastAsia="Arial" w:hAnsi="Arial"/>
          <w:sz w:val="16"/>
          <w:szCs w:val="16"/>
          <w:color w:val="auto"/>
        </w:rPr>
        <w:t>3F, which states that the income approach (“Income Approach”) converts future amounts (for example cash flows) 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recoverable amount of the assets.</w:t>
      </w:r>
    </w:p>
    <w:p>
      <w:pPr>
        <w:spacing w:after="0" w:line="20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As a result of performing its annual impairment testing as described above for the year ended December 31, 2019, the Company recorded a $6.2 million impairment related to the Ripka Brand trademarks, driven by the timing of the continued transition from a licensing model to a wholesale and direct to consumer model. No other impairment charges were recorded for the years ended December 31, 2019 and 2018.</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Finite-Lived Intangible Assets</w:t>
      </w:r>
    </w:p>
    <w:p>
      <w:pPr>
        <w:spacing w:after="0" w:line="22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The Company’s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 No impairment charges were recorded related to finite-lived intangible assets for the years ended December 31, 2019 and 2018.</w:t>
      </w:r>
    </w:p>
    <w:p>
      <w:pPr>
        <w:spacing w:after="0" w:line="157"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With reference to finite-lived intangible assets impairment testing,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 finite-lived intangible assets impairment analysis are classified as Level 3 inputs within the fair value hierarchy as defined in ASC Topic 820, “Fair Value Measurement.”</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Company’s finite-lived intangible assets are amortized over their estimated useful lives of four (4) to eighteen (18) years.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cash was $1.1 million and $1.5 million as of December 31, 2019 and 2018,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Restricted cash at both December 31, 2019 and 2018 included $1.1 million of cash deposited with Bank Hapoalim B.M. (“BHI”) as collateral for an irrevocable standby letter of credit associated with the lease of the Company’s current corporate office and operating facility at 1333 Broadway, New York City. Restricted cash at December 31, 2018 also included $0.4 million of cash held as a security deposit for the sublease of the Company’s former corporate offices by the Company to a third-party subtenant.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225"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The Company holds a limited partner ownership interest in an unconsolidated affiliate, which was entered into in 2016. This investment is accounted for in accordance with Accounting Standards Update (“ASU”) No. 2016</w:t>
      </w:r>
      <w:r>
        <w:rPr>
          <w:rFonts w:ascii="MS PGothic" w:cs="MS PGothic" w:eastAsia="MS PGothic" w:hAnsi="MS PGothic"/>
          <w:sz w:val="17"/>
          <w:szCs w:val="17"/>
          <w:color w:val="auto"/>
        </w:rPr>
        <w:t>‑</w:t>
      </w:r>
      <w:r>
        <w:rPr>
          <w:rFonts w:ascii="Arial" w:cs="Arial" w:eastAsia="Arial" w:hAnsi="Arial"/>
          <w:sz w:val="17"/>
          <w:szCs w:val="17"/>
          <w:color w:val="auto"/>
        </w:rPr>
        <w:t>01, "Financial Instruments – Overall (Subtopic 825</w:t>
      </w:r>
      <w:r>
        <w:rPr>
          <w:rFonts w:ascii="MS PGothic" w:cs="MS PGothic" w:eastAsia="MS PGothic" w:hAnsi="MS PGothic"/>
          <w:sz w:val="17"/>
          <w:szCs w:val="17"/>
          <w:color w:val="auto"/>
        </w:rPr>
        <w:t>‑</w:t>
      </w:r>
      <w:r>
        <w:rPr>
          <w:rFonts w:ascii="Arial" w:cs="Arial" w:eastAsia="Arial" w:hAnsi="Arial"/>
          <w:sz w:val="17"/>
          <w:szCs w:val="17"/>
          <w:color w:val="auto"/>
        </w:rPr>
        <w:t>10): "Recognition and Measurement of Financial Assets and Financial Liabilities," and is included within other assets on the Company’s consolidated balance sheets at December 31, 2019 and 2018. As of December 31, 2019 and 2018, the carrying value of this investment was $0.1 million. This investment does not have a readily determinable fair value and in accordance with ASC 820</w:t>
      </w:r>
      <w:r>
        <w:rPr>
          <w:rFonts w:ascii="MS PGothic" w:cs="MS PGothic" w:eastAsia="MS PGothic" w:hAnsi="MS PGothic"/>
          <w:sz w:val="17"/>
          <w:szCs w:val="17"/>
          <w:color w:val="auto"/>
        </w:rPr>
        <w:t>‑</w:t>
      </w: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35</w:t>
      </w:r>
      <w:r>
        <w:rPr>
          <w:rFonts w:ascii="MS PGothic" w:cs="MS PGothic" w:eastAsia="MS PGothic" w:hAnsi="MS PGothic"/>
          <w:sz w:val="17"/>
          <w:szCs w:val="17"/>
          <w:color w:val="auto"/>
        </w:rPr>
        <w:t>‑</w:t>
      </w:r>
      <w:r>
        <w:rPr>
          <w:rFonts w:ascii="Arial" w:cs="Arial" w:eastAsia="Arial" w:hAnsi="Arial"/>
          <w:sz w:val="17"/>
          <w:szCs w:val="17"/>
          <w:color w:val="auto"/>
        </w:rPr>
        <w:t>59, the investment is valued at cost, less impairment, plus or minus observable price changes of an identical or similar investment of the same issuer.</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 Receivable</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Company previously entered into a promissory note receivable from a certain key employee in the amount of $0.9 million. This note receivable bore interest at 5.1%, was due and payable in full on April 1, 2019, and was fully collateralized by various assets of the employee in which the Company had been granted a security interest. The note receivable was recorded at amortized cost, and was included within other assets on the Company’s consolidated balance sheet at December 31, 2018 with net carrying value of $0.9 million. The note receivable was satisfied on March 31, 2019, and as of December 31, 2019, there were no amounts remaining outstanding under the note.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Finance Costs</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Company incurred costs (primarily professional fees and lender underwriting fees) in connection with borrowings under the senior secured term loans. These costs have been deferred on the consolidated balance sheets as a reduction to the carrying value of the associated borrowings. Such costs are amortized as interest expense using the effective interest method.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16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Company recorded contingent obligations in connection with the acquisition of the Judith Ripka Trademarks in 2014, the C Wonder Trademarks in 2015, and the Halston Heritage Trademarks in 2019. See Note 6 for additional information related to contingent obligations.</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Under the applicable accounting guidance, the Company is required to carry such contingent liability balances on its consolidated balance sheet until the measurement period of the earn-out expires and all related contingencies have been resolved.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applies the guidance in ASC Topic 606, “Revenue from Contracts with Customers” to recognize revenue.</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Licensing</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7"/>
          <w:szCs w:val="17"/>
          <w:color w:val="auto"/>
        </w:rPr>
        <w:t>The Company recognizes revenue continuously over time as it satisfies its continuous obligation of granting access to its licensed intellectual properties, which are deemed symbolic intellectual properties under the applicable revenue accounting guidance.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the Company’s consolidated balance sheets at December 31, 2019 and 2018. In accordance with ASC 606</w:t>
      </w:r>
      <w:r>
        <w:rPr>
          <w:rFonts w:ascii="MS PGothic" w:cs="MS PGothic" w:eastAsia="MS PGothic" w:hAnsi="MS PGothic"/>
          <w:sz w:val="17"/>
          <w:szCs w:val="17"/>
          <w:color w:val="auto"/>
        </w:rPr>
        <w:t>‑</w:t>
      </w: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55</w:t>
      </w:r>
      <w:r>
        <w:rPr>
          <w:rFonts w:ascii="MS PGothic" w:cs="MS PGothic" w:eastAsia="MS PGothic" w:hAnsi="MS PGothic"/>
          <w:sz w:val="17"/>
          <w:szCs w:val="17"/>
          <w:color w:val="auto"/>
        </w:rPr>
        <w:t>‑</w:t>
      </w:r>
      <w:r>
        <w:rPr>
          <w:rFonts w:ascii="Arial" w:cs="Arial" w:eastAsia="Arial" w:hAnsi="Arial"/>
          <w:sz w:val="17"/>
          <w:szCs w:val="17"/>
          <w:color w:val="auto"/>
        </w:rPr>
        <w:t>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210" w:lineRule="exact"/>
        <w:rPr>
          <w:sz w:val="20"/>
          <w:szCs w:val="20"/>
          <w:color w:val="auto"/>
        </w:rPr>
      </w:pPr>
    </w:p>
    <w:p>
      <w:pPr>
        <w:jc w:val="both"/>
        <w:ind w:left="700" w:right="79" w:hanging="332"/>
        <w:spacing w:after="0" w:line="25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87" w:lineRule="exact"/>
        <w:rPr>
          <w:rFonts w:ascii="Arial" w:cs="Arial" w:eastAsia="Arial" w:hAnsi="Arial"/>
          <w:sz w:val="18"/>
          <w:szCs w:val="18"/>
          <w:color w:val="auto"/>
        </w:rPr>
      </w:pPr>
    </w:p>
    <w:p>
      <w:pPr>
        <w:jc w:val="both"/>
        <w:ind w:left="700" w:right="59" w:hanging="332"/>
        <w:spacing w:after="0" w:line="25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92"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7"/>
          <w:szCs w:val="17"/>
          <w:color w:val="auto"/>
        </w:rPr>
        <w:t>The Company does not typically perform by transferring goods or services to customers before the customer pays consideration or before payment is due, thus the amounts of contract assets as defined by ASC 606</w:t>
      </w:r>
      <w:r>
        <w:rPr>
          <w:rFonts w:ascii="MS PGothic" w:cs="MS PGothic" w:eastAsia="MS PGothic" w:hAnsi="MS PGothic"/>
          <w:sz w:val="17"/>
          <w:szCs w:val="17"/>
          <w:color w:val="auto"/>
        </w:rPr>
        <w:t>‑</w:t>
      </w: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45</w:t>
      </w:r>
      <w:r>
        <w:rPr>
          <w:rFonts w:ascii="MS PGothic" w:cs="MS PGothic" w:eastAsia="MS PGothic" w:hAnsi="MS PGothic"/>
          <w:sz w:val="17"/>
          <w:szCs w:val="17"/>
          <w:color w:val="auto"/>
        </w:rPr>
        <w:t>‑</w:t>
      </w:r>
      <w:r>
        <w:rPr>
          <w:rFonts w:ascii="Arial" w:cs="Arial" w:eastAsia="Arial" w:hAnsi="Arial"/>
          <w:sz w:val="17"/>
          <w:szCs w:val="17"/>
          <w:color w:val="auto"/>
        </w:rPr>
        <w:t>3 were not material as of December 31, 2019 and 2018. The Company’s unconditional right to receive consideration based on the terms and conditions of licensing contracts is presented as accounts receivable on the accompanying consolidated balance. The Company typically does not receive consideration in advance of performance and, consequently, amounts of contract liabilities as defined by ASC 606</w:t>
      </w:r>
      <w:r>
        <w:rPr>
          <w:rFonts w:ascii="MS PGothic" w:cs="MS PGothic" w:eastAsia="MS PGothic" w:hAnsi="MS PGothic"/>
          <w:sz w:val="17"/>
          <w:szCs w:val="17"/>
          <w:color w:val="auto"/>
        </w:rPr>
        <w:t>‑</w:t>
      </w: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45</w:t>
      </w:r>
      <w:r>
        <w:rPr>
          <w:rFonts w:ascii="MS PGothic" w:cs="MS PGothic" w:eastAsia="MS PGothic" w:hAnsi="MS PGothic"/>
          <w:sz w:val="17"/>
          <w:szCs w:val="17"/>
          <w:color w:val="auto"/>
        </w:rPr>
        <w:t>‑</w:t>
      </w:r>
      <w:r>
        <w:rPr>
          <w:rFonts w:ascii="Arial" w:cs="Arial" w:eastAsia="Arial" w:hAnsi="Arial"/>
          <w:sz w:val="17"/>
          <w:szCs w:val="17"/>
          <w:color w:val="auto"/>
        </w:rPr>
        <w:t>2 were not material as of December 31, 2019 and 2018.</w:t>
      </w:r>
    </w:p>
    <w:p>
      <w:pPr>
        <w:spacing w:after="0" w:line="202"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2019 are expected to be recognized ratably in accordance with View C over the remaining term of each contract based on the passage of time and through December 2023.</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Design Fees</w:t>
      </w:r>
    </w:p>
    <w:p>
      <w:pPr>
        <w:spacing w:after="0" w:line="225"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Company earns design fees for serving as a buying agent for apparel under private labels for retailers. As a buying agent, the Company utilizes its expertise and relationships with manufacturers to facilitate the production of private label apparel to customer specifications. The Company’s design fee revenue also includes fees charged for its design and product development services provided to certain suppliers. The Company satisfies its performance obligation to its customers by performing the services in buyer agency agreements and thereby earning its design fee at the point in time when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customer’s freight forwarder takes control of the goods. The Company satisfies its performance obligation with the suppliers and earns its design fee from the factory at the point in time when the customer’s freight forwarder takes control of the goods.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Wholesale Sales</w:t>
      </w:r>
    </w:p>
    <w:p>
      <w:pPr>
        <w:spacing w:after="0" w:line="22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The Company generates revenue through the design, sourcing, and sale of branded jewelry and apparel to both domestic and international customers who, in turn, sell the products to the consumer.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Direct to Consumer Sales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Company’s revenue associated with its e-commerce jewelry is recognized at a point in time when product is shipped to the customer.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$0.9 million in advertising and marketing costs for the year ended December 31, 2019 and $0.3 million for the year ended December 31, 2018.</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As of and for the year ended December 31, 2018, total rental payments under operating leases that include scheduled payment increases and rent holidays were amortized on a straight-line basis over the term of the lease. Landlord allowances were amortized on a straight-line basis from the date of possession through the end of the lease term as a reduction of rent expense.</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As of January 1, 2019, the Company adopted the new lease accounting guidance prescribed by ASU No. 2016-02. Refer to “Recently Adopted Accounting Pronouncements” below for a description of the Company’s accounting policies relative to leases as of and for the year ended December 31, 2019 under this new guidance.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84"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terms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Company accounts for non-employee awards in accordance with ASU 2018-07, “Compensation – Stock Compensation (Topic 718) – Improvements to Nonemployee Share-Based Payment Accounting.” Such awards are measured at the grant date fair value of the equity instruments to be issued, and the Company recognizes compensation cost for grants to non-employees on a straight-line basis over the period of the grant.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accounts for forfeitures as a reduction of compensation cost in the period when such forfeitures occur.</w:t>
      </w:r>
    </w:p>
    <w:p>
      <w:pPr>
        <w:spacing w:after="0" w:line="23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7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2019 and 2018. Interest and penalties related to uncertain tax positions, if any, are recorded in income tax expense. Tax years that remain open for assessment for federal and state tax purposes include the years ended December 31, 2016 through December 31, 2019.</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income tax effects of changes in tax laws are recognized in the period when enacted.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ASC Topic 820, “Fair Value Measurements and Disclosures,”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For certain of the Company’s financial instruments, including cash and cash equivalents, restricted cash, accounts receivable, and accounts payable, the carrying amounts approximate fair value due to the short-term maturities of these instruments. The carrying value of the promissory note receivable approximates fair value because the fixed interest rate approximates current market rates and in the instances it does not, the impact is not material. The carrying value of the Xcel Term Loan (as defined in Note 6)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cost method investment does not have a readily determinable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23" w:lineRule="exact"/>
        <w:rPr>
          <w:sz w:val="20"/>
          <w:szCs w:val="20"/>
          <w:color w:val="auto"/>
        </w:rPr>
      </w:pPr>
      <w:r>
        <w:rPr>
          <w:rFonts w:ascii="Arial" w:cs="Arial" w:eastAsia="Arial" w:hAnsi="Arial"/>
          <w:sz w:val="18"/>
          <w:szCs w:val="18"/>
          <w:color w:val="auto"/>
        </w:rPr>
        <w:t>fair value and in accordance with ASC 820</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35</w:t>
      </w:r>
      <w:r>
        <w:rPr>
          <w:rFonts w:ascii="MS PGothic" w:cs="MS PGothic" w:eastAsia="MS PGothic" w:hAnsi="MS PGothic"/>
          <w:sz w:val="18"/>
          <w:szCs w:val="18"/>
          <w:color w:val="auto"/>
        </w:rPr>
        <w:t>‑</w:t>
      </w:r>
      <w:r>
        <w:rPr>
          <w:rFonts w:ascii="Arial" w:cs="Arial" w:eastAsia="Arial" w:hAnsi="Arial"/>
          <w:sz w:val="18"/>
          <w:szCs w:val="18"/>
          <w:color w:val="auto"/>
        </w:rPr>
        <w:t>59, the investment is valued at cost, less impairment, plus or minus observable price changes of an identical or similar investment of the same issuer.</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restricted cash, accounts receivable, and notes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 Concentration of credit risk with respect to the promissory note receivable previously held by the Company was mitigated as it was fully collateralized by various assets in which the Company had been granted a security interest.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Basic earnings per share is computed by dividing net income available to common stockholders by the weighted average number of common shares outstanding during the period, excluding the effects of any potentially dilutive securities. Diluted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6"/>
          <w:szCs w:val="16"/>
          <w:color w:val="auto"/>
        </w:rPr>
        <w:t>In August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The Company is currently evaluating the new guidance to determine the impact the adoption of this guidance will have on the Company’s results of operations, cash flows, and financial condition.</w:t>
      </w:r>
    </w:p>
    <w:p>
      <w:pPr>
        <w:spacing w:after="0" w:line="20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This guidance is effective for public companies for fiscal years, and interim periods within those fiscal years, beginning after December 15, 2020, with early adoption permitted. The Company is currently evaluating the new guidance to determine the impact the adoption of this guidance will have on the Company’s results of operations, cash flows, and financial condition.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The Company adopted ASU No. 2016-02, “Leases,” effective January 1, 2019, by applying the new guidance under the additional and alternative transition method allowed by ASU No. 2018-11, “Leases (Topic 842): Targeted Improvements.” The core principle of this standard is that an entity should recognize on its balance sheet assets and liabilities arising from a lease. In accordance with that principle, the new lease accounting guidance requires that a lessee recognize a liability to make future lease payments (the lease liability) and a right-of-use (“ROU”) asset representing its right to use the underlying leased asset for the lease term. As of January 1, 2019, the adoption resulted in the recognition of operating lease right-of-use ("ROU") assets of approximately $10.4 million, lease liabilities of approximately $13.2 million, and a decrease of approximately $2.8 million in accrued rent. The adoption of the new lease accounting guidance did not have an impact 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Company’s consolidated statement of operations, and had no impact on cash provided by or used in operating, financing, or investing activities in the Company's consolidated statement of cash flows.</w:t>
      </w:r>
    </w:p>
    <w:p>
      <w:pPr>
        <w:spacing w:after="0" w:line="170"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Company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its processes and methodologies related to leases to enable the preparation of financial information upon adoption and to allow for the correct identification, classification, and measurement of leases in accordance with the new guidance going forward.</w:t>
      </w:r>
    </w:p>
    <w:p>
      <w:pPr>
        <w:spacing w:after="0" w:line="161"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The Company determines if an arrangement is a lease at inception. Operating lease ROU assets and lease liabilities are recognized at commencement date based on the present value of the remaining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the Company will exercise that option. Lease expense for operating lease payments is generally recognized on a straight-line basis over the lease term.</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real estate leases of office space, the Company accounts for the lease and non-lease components as a single lease component.</w:t>
      </w:r>
    </w:p>
    <w:p>
      <w:pPr>
        <w:spacing w:after="0" w:line="17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leases with a term of 12 months or less, the Company does not recognize lease liabilities and ROU assets, but recognizes the lease payments in net income on a straight-line basis over the respective lease terms.</w:t>
      </w:r>
    </w:p>
    <w:p>
      <w:pPr>
        <w:spacing w:after="0" w:line="170"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The Company recognizes income from subleases (in which the Company is the sublessor) on a straight-line basis over the term of the sublease, as a reduction to lease expense. See Note 9 for additional information related to the Company’s leases.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of Halston Heritage Trademarks</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On February 11, 2019 (the “Closing Date”), the Company and its wholly owned subsidiary, H Heritage Licensing, LLC, entered into an asset purchase agreement (the "Heritage Asset Purchase Agreement") with the H Company IP, LLC (the "Seller" or "HIP") and its parent, House of Halston LLC ("HOH"), pursuant to which the Company acquired certain assets of HIP, including the "Halston", "Halston Heritage", and "Roy Frowick" trademarks (collectively, the "Halston Heritage Trademarks") and other intellectual property rights relating thereto. Benjamin Malka, who was a director of the Company, is a 25% equity holder of HOH and former Chief Executive Officer of HOH.</w:t>
      </w:r>
    </w:p>
    <w:p>
      <w:pPr>
        <w:spacing w:after="0" w:line="178"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Halston Heritage Trademark acquisition was accounted for as an asset purchase. The aggregate purchase price has been allocated to the following assets based on the fair value of the assets on the date of acquisition: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Allocated to:</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r>
      <w:tr>
        <w:trPr>
          <w:trHeight w:val="216"/>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Halston archives</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7"/>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acquisition price</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r>
    </w:tbl>
    <w:p>
      <w:pPr>
        <w:spacing w:after="0" w:line="20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The Halston Heritage Trademarks have been determined by management to have a finite useful life, and accordingly, amortization is recorded in the Company’s consolidated statements of operations. The Halston Heritage Trademarks and archives are amortized on a straight-line basis over their expected useful lives of eighteen and seven years, respectively.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represents the aggregate purchase price of $10.8 million: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 amounts)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0"/>
        </w:trPr>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r>
      <w:tr>
        <w:trPr>
          <w:trHeight w:val="216"/>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of Common Stock issued (777,778 shares)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direct initial consideration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Direct transaction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obligation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Consolidation of Longaberger Licensing, LLC Variable Interest Entity and Acquisition of Longaberger Trademarks</w:t>
      </w:r>
    </w:p>
    <w:p>
      <w:pPr>
        <w:spacing w:after="0" w:line="248"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On November 12, 2019, the Company entered into a limited liability company agreement (the “LLC Agreement”) with a subsidiary of Hilco Global for Longaberger Licensing, LLC (“LL”). Hilco Global became the sole Class A Member of LL, and Xcel became the sole Class B Member of LL. Each member committed to an initial capital contribution of $425,000 in return for a 50% equity ownership interest in LL, with each member actually contributing $375,000 upon execution of the LLC Agreement.</w:t>
      </w:r>
    </w:p>
    <w:p>
      <w:pPr>
        <w:spacing w:after="0" w:line="18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Simultaneously on November 12, 2019, Longaberger Licensing, LLC completed the acquisition of the Longaberger trademarks and other intellectual property rights relating thereto from the trustee for the Longaberger Company. The total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purchase price for such assets was $750,000. No other assets or liabilities were acquired as part of this transaction, and the acquisition was accounted for as an asset purchase.</w:t>
      </w:r>
    </w:p>
    <w:p>
      <w:pPr>
        <w:spacing w:after="0" w:line="170"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Based on an analysis of the contractual terms and rights contained in the related agreements, the Company determined that under the applicable accounting standards, LL is a variable interest entity and the Company has effective control over the entity. Therefore, as the primary beneficiary, the Company has consolidated LL as of November 12, 2019. Upon consolidation, the Company recognized $750,000 of intangible assets and a noncontrolling interest of $375,000.</w:t>
      </w:r>
    </w:p>
    <w:p>
      <w:pPr>
        <w:spacing w:after="0" w:line="15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The Longaberger trademarks have been determined by management to have a finite useful life, and accordingly, amortization is recorded in the Company’s consolidated statements of operations. The Longaberger trademarks are amortized on a straight-line basis over their expected useful life of fifteen (15) years.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Trademarks and Other Intangibles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8"/>
            <w:vMerge w:val="restart"/>
          </w:tcPr>
          <w:p>
            <w:pPr>
              <w:ind w:left="780"/>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15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18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84"/>
              </w:rPr>
              <w:t>7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10 years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111,095</w:t>
            </w: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8"/>
            <w:vMerge w:val="restart"/>
          </w:tcPr>
          <w:p>
            <w:pPr>
              <w:ind w:left="780"/>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0"/>
                <w:szCs w:val="10"/>
                <w:color w:val="auto"/>
              </w:rPr>
            </w:pP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15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intellectual property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7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Copyrights and other intellectual property</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8"/>
                <w:szCs w:val="18"/>
                <w:color w:val="auto"/>
                <w:w w:val="89"/>
              </w:rPr>
              <w:t>10 years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112,921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As of December 31, 2019, the Company recorded a non-cash impairment charge of $6.2 million related to the Ripka Brand trademarks, driven by the timing of the continued transition from a licensing model to a wholesale and direct to consumer model. No other intangible asset impairment charges were recorded for the years ended December 31, 2019 and 2018.</w:t>
      </w:r>
    </w:p>
    <w:p>
      <w:pPr>
        <w:spacing w:after="0" w:line="1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Amortization expense for intangible assets for the years ended December 31, 2019 and 2018 was approximately $3.2 million and $1.1 million, respectively.</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trademarks of the Isaac Mizrahi Brand and the Ripka Brand have been determined to have indefinite useful lives and accordingly, no amortization has been recorded for those intangible assets.</w:t>
      </w:r>
    </w:p>
    <w:p>
      <w:pPr>
        <w:spacing w:after="0" w:line="170"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Effective January 1, 2019, and in consideration of the acquisition of the Halston and Halston Heritage trademarks in February 2019, the Company determined that the Halston brand, inclusive of all of its trademarks, including H Halston, and H by Halston, has a finite life of eighteen (18) years, and began amortizing those assets on a straight-line basis accordingly. Prior to January 1, 2019, the H Halston and H by Halston assets were considered indefinite-lived assets.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Estimated future amortization expense related to finite-lived intangible assets over the remaining useful lives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Amortization</w:t>
            </w:r>
          </w:p>
        </w:tc>
      </w:t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Expense</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31,539</w:t>
            </w:r>
          </w:p>
        </w:tc>
      </w:tr>
      <w:tr>
        <w:trPr>
          <w:trHeight w:val="217"/>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48,195</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Significant Contracts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Through its wholly owned subsidiaries, the Company has direct-to-retail license agreements with QVC, pursuant to which the Company designs, and QVC sources and sells, various products under the IsaacMizrahiLIVE brand, the Judith Ripka brand, and the H by Halston brand. These agreements include, respectively, the IM QVC Agreement, the Ripka QVC Agreement, and the H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92"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Pursuant to the agreements, the Company has granted to QVC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QVC Agreements include automatic renewal periods as detailed below unless terminated by either party.</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Current Term</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Automatic</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Xcel Commenced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QVC Product</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Expiry</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Renewal</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Brand with QVC</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Launch</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2020</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one-year period</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September 2011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2020</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one-year period</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rPr>
              <w:t>April 2014</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2022</w:t>
            </w:r>
          </w:p>
        </w:tc>
        <w:tc>
          <w:tcPr>
            <w:tcW w:w="1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three-year period</w:t>
            </w:r>
          </w:p>
        </w:tc>
        <w:tc>
          <w:tcPr>
            <w:tcW w:w="1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January 2015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March 31, 2020, the Ripka QVC Agreement was automatically renewed, as per the terms of the agreement, through March 31, 2021.</w:t>
      </w:r>
    </w:p>
    <w:p>
      <w:pPr>
        <w:spacing w:after="0" w:line="170"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connection with the foregoing and during the same periods, QVC and its subsidiaries have the exclusive, worldwide right to use the names, likenesses, images, voices, and performances of the Company’s spokespersons to promote the respective products. Under the IM QVC Agreement, IM Brands has also granted to QVC and its affiliates, during the same period, exclusive, worldwide rights to promote third-party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78"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Under the QVC Agreements, QVC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Also, under the QVC Agreements, the Company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84"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Net revenue from QVC totaled $22.21 million and $25.63 million for the Current Year and Prior Year, respectively, representing approximately 53% and 72% of the Company’s total revenues, respectively. As of December 31, 2019 and 2018, the Company had receivables from QVC of $4.33 million and $5.68 million, representing approximately 41% and 52% of the Company’s accounts receivable, respectively. The December 31, 2019 and 2018 QVC receivables did not include any earned revenue accrued but not yet billed as of the respective balance sheet dates.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 and Other Long-term Liabilities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net carrying amount of debt is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Ripka Seller Note</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Contingent obligation – CW Seller</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Current portion of long-term debt (i), (ii)</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59" w:hanging="316"/>
        <w:spacing w:after="0" w:line="27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consolidated balance sheet at December 31, 2019 consists of $2.25 million related to the Xcel Term Loan.</w:t>
      </w:r>
    </w:p>
    <w:p>
      <w:pPr>
        <w:spacing w:after="0" w:line="170" w:lineRule="exact"/>
        <w:rPr>
          <w:rFonts w:ascii="Arial" w:cs="Arial" w:eastAsia="Arial" w:hAnsi="Arial"/>
          <w:sz w:val="18"/>
          <w:szCs w:val="18"/>
          <w:color w:val="auto"/>
        </w:rPr>
      </w:pPr>
    </w:p>
    <w:p>
      <w:pPr>
        <w:jc w:val="both"/>
        <w:ind w:left="360" w:right="59" w:hanging="316"/>
        <w:spacing w:after="0" w:line="263"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consolidated balance sheet at December 31, 2018 includes (a) $4.0 million related to the Xcel Term Loan, (b) $0.74 million related to the IM Seller Note, (c) $2.95 million related to contingent obligations, and (d) 0.58 million related to the Ripka Seller Note.</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Xcel Term Loan</w:t>
      </w:r>
    </w:p>
    <w:p>
      <w:pPr>
        <w:spacing w:after="0" w:line="22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On February 26, 2016, the Company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as agent, and the financial institutions party thereto as lenders. The Loan Agreement amended and restated the previous IM Term Loan, JR Term Loan, and H Term Loan. Pursuant to the Loan Agreement, Xcel assumed the obligations of each of IM Brands, LLC, JR Licensing, LLC, and H Licensing, LLC under the respective term loans with BHI in the aggregate principal amount of $27.9 million (the loan under the Loan Agreement is referred to as the “Xcel Term Loan”). The Xcel Term Loan was due to mature on January 1, 2021. Principal on the Xcel Term Loan was payable in quarterly installments on each of January 1, April 1, July 1 and October 1.</w:t>
      </w:r>
    </w:p>
    <w:p>
      <w:pPr>
        <w:spacing w:after="0" w:line="194"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The Xcel Term Loan was amended in February 2017 and again in June 2017. Under these amendments, principal payments for the year ended December 31, 2017 were increased by a total of $0.8 million, principal payments for the year ended December 31, 2019 were increased by a total of $1.0 million, and principal payments for the year ending December 31,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2021 were decreased by $1.8 million. In addition, the minimum EBITDA (as defined in the Loan Agreement) requirement for the year ended December 31, 2017 was changed from $9.0 million to $7.0 million, and the minimum EBITDA requirements for the years ended December 31, 2018 and 2019 were changed from $9.0 million to $8.0 million, respectively. There were no changes to the total principal balance, interest rate, maturity date, or other terms of the Loan Agreement. Management assessed and determined that these amendments represented debt modifications and, accordingly, no gain or loss was recorded.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Second Amended and Restated Xcel Term Loan</w:t>
      </w:r>
    </w:p>
    <w:p>
      <w:pPr>
        <w:spacing w:after="0" w:line="225"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6"/>
          <w:szCs w:val="16"/>
          <w:color w:val="auto"/>
        </w:rPr>
        <w:t>On February 11, 2019, concurrent with the Closing Date of the acquisition of the Halston Heritage Brands (see Note 3), the Company entered into an amended loan agreement with BHI (the “Second Amended and Restated Loan and Security Agreement”), which amended and restated the Prior Xcel Term Loan. Immediately prior to February 11, 2019, the aggregate principal amount of the Prior Xcel Term loan was $14.5 million. Pursuant to the Loan Agreement, the Lenders have extended to Xcel an additional term loan in the amount of $7.5 million, such that, as of February 11, 2019, the aggregate outstanding balance of all the term loans extended by BHI to Xcel was $22.0 million, which amount has been divided under the Loan Agreement into two term loans: (1) a term loan in the amount of $7.3 million (“Term Loan A”) and</w:t>
      </w:r>
    </w:p>
    <w:p>
      <w:pPr>
        <w:spacing w:after="0" w:line="2" w:lineRule="exact"/>
        <w:rPr>
          <w:sz w:val="20"/>
          <w:szCs w:val="20"/>
          <w:color w:val="auto"/>
        </w:rPr>
      </w:pPr>
    </w:p>
    <w:p>
      <w:pPr>
        <w:ind w:left="40" w:right="59" w:firstLine="4"/>
        <w:spacing w:after="0" w:line="290" w:lineRule="auto"/>
        <w:tabs>
          <w:tab w:leader="none" w:pos="3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term loan in the amount of $14.7 million (“Term Loan B” and, together with Term Loan A, the “Term Loans”). The proceeds of the additional term loan were used to finance the Halston Heritage Brands acquisition described in Note 3.</w:t>
      </w:r>
    </w:p>
    <w:p>
      <w:pPr>
        <w:spacing w:after="0" w:line="161"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terms and conditions of the Second Amended and Restated Xcel Term Loan resulted in significantly different debt service payment requirements, compared with the Prior Xcel Term Loan, including an increase of $7.5 million in the principal balance, and related changes to the timing and amount of principal payments, as well as changes in the interest rate. Management assessed and determined that this amendment resulted in an extinguishment of debt and recognized a loss of $0.2 million (consisting of unamortized deferred finance costs) during the year ended December 31, 2019.</w:t>
      </w:r>
    </w:p>
    <w:p>
      <w:pPr>
        <w:spacing w:after="0" w:line="161"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Second Amended and Restated Loan and Security Agreement also contemplates that BHI, or their affiliates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Second Amended and Restated Loan and Security Agreement.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7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Second Amended and Restated Loan and Security Agreement shall terminate no later than one year following the date of issuance thereof.</w:t>
      </w:r>
    </w:p>
    <w:p>
      <w:pPr>
        <w:spacing w:after="0" w:line="187"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April 13, 2020, the Company further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permits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on the Xcel Term Loan, as amended, is payable in fixed installments as follows:</w:t>
      </w:r>
    </w:p>
    <w:p>
      <w:pPr>
        <w:spacing w:after="0" w:line="23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top w:val="single" w:sz="8" w:color="auto"/>
              <w:bottom w:val="single" w:sz="8" w:color="auto"/>
            </w:tcBorders>
          </w:tcPr>
          <w:p>
            <w:pPr>
              <w:ind w:left="20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June 30, 2020, September 30, 2020, and December 31, 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2021, June 30, 2021, September 30, 2021, and December 31,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April 30,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2022, June 30, 2022, September 30, 2022, and December 31, 2022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2023, June 30, 2023, September 30, 2023, and December 31, 2023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$2.00 million as of March 31, 2022, any such shortfall must be repaid at that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Thus, the aggregate remaining annual principal payments under the Xcel Term Loan are as follows:</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5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Payment</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Notwithstanding the above, Xcel may make a voluntary prepayment of up to $0.75 million without any early termination fees, after any PPP loan proceeds have been received by the Company. Any such prepayment would be applied against the April 30, 2021 fixed installment payment and would be excluded from the computation of excess cash flows.</w:t>
      </w:r>
    </w:p>
    <w:p>
      <w:pPr>
        <w:spacing w:after="0" w:line="1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Xcel Term Loan,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under the Second Amended and Restated Loan and Security Agreement):</w:t>
      </w:r>
    </w:p>
    <w:p>
      <w:pPr>
        <w:spacing w:after="0" w:line="184" w:lineRule="exact"/>
        <w:rPr>
          <w:sz w:val="20"/>
          <w:szCs w:val="20"/>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700" w:right="79" w:hanging="332"/>
        <w:spacing w:after="0" w:line="286"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liquid assets of at least $3.25 million through the earlier of December 31, 2020 or such time as any PPP loan proceeds are received by the Company, at least $4.0 million through December 31, 2020 provided that PPP loan proceeds have been received by the Company, and at least $5.0 million thereafter;</w:t>
      </w:r>
    </w:p>
    <w:p>
      <w:pPr>
        <w:spacing w:after="0" w:line="165" w:lineRule="exact"/>
        <w:rPr>
          <w:rFonts w:ascii="Arial" w:cs="Arial" w:eastAsia="Arial" w:hAnsi="Arial"/>
          <w:sz w:val="17"/>
          <w:szCs w:val="17"/>
          <w:color w:val="auto"/>
        </w:rPr>
      </w:pPr>
    </w:p>
    <w:p>
      <w:pPr>
        <w:jc w:val="both"/>
        <w:ind w:left="700" w:right="79" w:hanging="332"/>
        <w:spacing w:after="0" w:line="26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shall not be less than $6.8 million for the fiscal year ended December 31, 2019, $5.0 million for the twelve fiscal month period ending March 31, 2020, and $4.8 million for the twelve fiscal month period ending June 30, 2020;</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fixed charge coverage ratio for the twelve fiscal month period ending at the end of each fiscal quarter shall not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less than the ratio set forth below:</w:t>
      </w:r>
    </w:p>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160" w:type="dxa"/>
            <w:vAlign w:val="bottom"/>
            <w:gridSpan w:val="2"/>
          </w:tcPr>
          <w:p>
            <w:pPr>
              <w:ind w:left="2400"/>
              <w:spacing w:after="0"/>
              <w:rPr>
                <w:sz w:val="20"/>
                <w:szCs w:val="20"/>
                <w:color w:val="auto"/>
              </w:rPr>
            </w:pPr>
            <w:r>
              <w:rPr>
                <w:rFonts w:ascii="Arial" w:cs="Arial" w:eastAsia="Arial" w:hAnsi="Arial"/>
                <w:sz w:val="14"/>
                <w:szCs w:val="14"/>
                <w:b w:val="1"/>
                <w:bCs w:val="1"/>
                <w:color w:val="auto"/>
              </w:rPr>
              <w:t>Fiscal Quarter End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Fixed Charge Coverage Ratio</w:t>
            </w: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to 1.00</w:t>
            </w:r>
          </w:p>
        </w:tc>
      </w:tr>
      <w:tr>
        <w:trPr>
          <w:trHeight w:val="202"/>
        </w:trPr>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rPr>
              <w:t>December 31, 2020, March 31, 2021, June 30, 2021, September 30, 2021,</w:t>
            </w:r>
          </w:p>
        </w:tc>
        <w:tc>
          <w:tcPr>
            <w:tcW w:w="1860" w:type="dxa"/>
            <w:vAlign w:val="bottom"/>
          </w:tcPr>
          <w:p>
            <w:pPr>
              <w:spacing w:after="0"/>
              <w:rPr>
                <w:sz w:val="17"/>
                <w:szCs w:val="17"/>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December 31, 2021 and 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202" w:lineRule="exact"/>
        <w:rPr>
          <w:sz w:val="20"/>
          <w:szCs w:val="20"/>
          <w:color w:val="auto"/>
        </w:rPr>
      </w:pPr>
    </w:p>
    <w:p>
      <w:pPr>
        <w:jc w:val="both"/>
        <w:ind w:left="700" w:right="79" w:hanging="332"/>
        <w:spacing w:after="0" w:line="259"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$1.7 million for the fiscal year ended December 31, 2018; $0.7 million for the fiscal year ended December 31, 2019; $1.6 million for the fiscal year ending December 31, 2020, and $0.7 million for any fiscal year beginning after December 31, 2020; and</w:t>
      </w:r>
    </w:p>
    <w:p>
      <w:pPr>
        <w:spacing w:after="0" w:line="186"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leverage ratio for the twelve fiscal month period ending at the end of each fiscal period set forth below shall</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exceed the ratio set forth below:</w:t>
      </w:r>
    </w:p>
    <w:p>
      <w:pPr>
        <w:spacing w:after="0" w:line="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360" w:type="dxa"/>
            <w:vAlign w:val="bottom"/>
            <w:gridSpan w:val="2"/>
          </w:tcPr>
          <w:p>
            <w:pPr>
              <w:ind w:left="2680"/>
              <w:spacing w:after="0"/>
              <w:rPr>
                <w:sz w:val="20"/>
                <w:szCs w:val="20"/>
                <w:color w:val="auto"/>
              </w:rPr>
            </w:pPr>
            <w:r>
              <w:rPr>
                <w:rFonts w:ascii="Arial" w:cs="Arial" w:eastAsia="Arial" w:hAnsi="Arial"/>
                <w:sz w:val="14"/>
                <w:szCs w:val="14"/>
                <w:b w:val="1"/>
                <w:bCs w:val="1"/>
                <w:color w:val="auto"/>
              </w:rPr>
              <w:t>Fiscal Period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 to 1.00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 June 30, 2021 and September 30, 2021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 to 1.00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December 31, 2021 and each Fiscal Quarter end thereafter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0" w:lineRule="exact"/>
        <w:rPr>
          <w:sz w:val="20"/>
          <w:szCs w:val="20"/>
          <w:color w:val="auto"/>
        </w:rPr>
      </w:pPr>
    </w:p>
    <w:p>
      <w:pPr>
        <w:spacing w:after="0" w:line="21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Company was in compliance with all applicable covenants under the Amended and Restated Loan and Security Agreement as of and for the fiscal year ended December 31,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In connection with the February 11, 2019 refinancing transaction, the Company incurred fees to or on behalf of BHI of approximately $0.3 million during the year ended December 31, 2019. These fees have been deferred on the consolidated balance sheets as a reduction to the carrying value of the Xcel Term Loan, and are being amortized to interest expense over the term of the Term Loan using the effective interest method. The current effective interest rate on the Second Amended and Restated Loan and Security Agreement is equal to approximately 6.65%.</w:t>
      </w:r>
    </w:p>
    <w:p>
      <w:pPr>
        <w:spacing w:after="0" w:line="17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the Current Year and Prior Year, the Company incurred interest expense of approximately $1.2 million and $0.9 million, respectively, related to term loan debt.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September 29, 2011, as part of the consideration for the purchase of the Isaac Mizrahi Business, the Company issued to IM Ready-Made, LLC a promissory note in the principal amount of $7.4 million (as amended, the “IM Seller Note”). The stated interest rate of the IM Seller Note was 0.25% per annum. Management determined that this rate was below the Company’s expected borrowing rate, which was then estimated at 9.25% per annum. Therefore, the Company discounted the IM Seller Note by $1.7 million using a 9.0% imputed annual interest rate, resulting in an initial value of $5.6 million. In addition, on September 29, 2011, the Company prepaid $0.1 million of interest on the IM Seller Note. The imputed interest amount was amortized over the term of the IM Seller Note and recorded as other interest and finance expense on the Company’s consolidated statements of operations.</w:t>
      </w:r>
    </w:p>
    <w:p>
      <w:pPr>
        <w:spacing w:after="0" w:line="178"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 The amendment included a partial repayment of $1.5 million of principal.</w:t>
      </w:r>
    </w:p>
    <w:p>
      <w:pPr>
        <w:spacing w:after="0" w:line="188"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On September 19, 2016, the IM Seller Note was further amended and restated to (1) revise the maturity date to March 31, 2019, (2) require six semi-annual principal and interest installment payments of $0.8 million,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March 31, 2019, the Company paid the final installment of $750,000 under the IM Seller Note, and no amounts remain outstanding under the IM Seller Note as of December 31, 2019.</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the years ended December 31, 2019 and 2018, the Company incurred interest expense of approximately $4,000 and $33,000, respectively under the IM Seller Note, which consisted solely of amortization of the discount on the IM Seller Note.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As of December 31, 2018, the Company had a note payable of approximately $0.58 million relating to the acquisition of the Judith Ripka assets (the "Ripka Seller Note"). Separately, the Company held a promissory note receivable due from the sellers of the Judith Ripka assets (the "Ripka Sellers") with a maturity date of March 31, 2019. On March 31, 2019, the Company agreed to net its note receivable due from the Ripka Sellers of approximately $0.9 million against the Ripka Seller Note of $0.6 million and the remaining Ripka Earn-Out of $0.1 million (see below). As of December 31, 2019, there were no amounts remaining outstanding under the Ripka Seller Note.</w:t>
      </w:r>
    </w:p>
    <w:p>
      <w:pPr>
        <w:spacing w:after="0" w:line="178"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For the years ended December 31, 2019 and 2018, the Company incurred interest expense of approximately $16,000 and $41,000, respectively, which consisted solely of amortization of the discount on the Ripka Seller Notes.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6"/>
          <w:szCs w:val="16"/>
          <w:color w:val="auto"/>
        </w:rPr>
        <w:t>In connection with the asset purchase of the Ripka Brand in 2014, the Company agreed to pay the sellers of the Ripka brand additional consideration of up to $5.0 million in aggregate (the “Ripka Earn-Out”), payable in cash or shares of the Company’s common stock based on the fair value of the Company’s common stock at the time of payment, and with a floor of $7.00 per share, based on the Ripka Brand achieving in excess of $1.0 million of net royalty income (excluding revenues generated by interactive television sales) during each of the 12</w:t>
      </w:r>
      <w:r>
        <w:rPr>
          <w:rFonts w:ascii="MS PGothic" w:cs="MS PGothic" w:eastAsia="MS PGothic" w:hAnsi="MS PGothic"/>
          <w:sz w:val="16"/>
          <w:szCs w:val="16"/>
          <w:color w:val="auto"/>
        </w:rPr>
        <w:t>‑</w:t>
      </w:r>
      <w:r>
        <w:rPr>
          <w:rFonts w:ascii="Arial" w:cs="Arial" w:eastAsia="Arial" w:hAnsi="Arial"/>
          <w:sz w:val="16"/>
          <w:szCs w:val="16"/>
          <w:color w:val="auto"/>
        </w:rPr>
        <w:t>month periods ending on October 1, 2016, 2017 and 2018, less the sum of all earn-out payments for any prior earn-out period. The Ripka Earn-Out was recorded at a value of $3.8 million based on the difference between the fair value of the acquired assets of the Ripka Brand at the acquisition date and the total consideration paid. In accordance with ASC Topic 480, the Ripka Earn-Out obligation was classified as a liability in the accompanying consolidated balance sheets because of the variable number of shares payable under the agreement.</w:t>
      </w:r>
    </w:p>
    <w:p>
      <w:pPr>
        <w:spacing w:after="0" w:line="207"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8"/>
          <w:szCs w:val="18"/>
          <w:color w:val="auto"/>
        </w:rPr>
        <w:t>On December 21, 2016, the Company entered into an agreement with the sellers of the Ripka Brand which amended the terms of the Ripka Earn-Out, such that the maximum amount of earn-out consideration was reduced to $0.4 million, of which $0.2 million was payable in cash upon execution of the amendment, and $0.1 million was payable in cash on each of May 15, 2018 and 2019. The payment of the remaining future payments of $0.2 million under the Ripka Earn-Out was contingent upon the Ripka Brand achieving at least $6.0 million of net royalty income from QVC during each of the 12</w:t>
      </w:r>
      <w:r>
        <w:rPr>
          <w:rFonts w:ascii="MS PGothic" w:cs="MS PGothic" w:eastAsia="MS PGothic" w:hAnsi="MS PGothic"/>
          <w:sz w:val="18"/>
          <w:szCs w:val="18"/>
          <w:color w:val="auto"/>
        </w:rPr>
        <w:t>‑</w:t>
      </w:r>
      <w:r>
        <w:rPr>
          <w:rFonts w:ascii="Arial" w:cs="Arial" w:eastAsia="Arial" w:hAnsi="Arial"/>
          <w:sz w:val="18"/>
          <w:szCs w:val="18"/>
          <w:color w:val="auto"/>
        </w:rPr>
        <w:t>month periods ending on March 31, 2018 and 2019.</w:t>
      </w:r>
    </w:p>
    <w:p>
      <w:pPr>
        <w:spacing w:after="0" w:line="203"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May 15, 2018 the Company settled the $0.1 million earn-out due by reducing the principal amount owed by Judith Ripka to the Company under a promissory note receivable. As of December 31, 2018, the remaining balance of the Ripka Earn-Out was $0.1 million.</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March 31, 2019, the Company satisfied the remaining Ripka Earn-Out balance of $0.1 million by off-setting the amount against the aforementioned promissory note receivable. As of December 31, 2019, there were no amounts remaining outstanding under the Ripka Earn-Out.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 – CW Seller (C Wonder Earn-Out)</w:t>
      </w:r>
    </w:p>
    <w:p>
      <w:pPr>
        <w:spacing w:after="0" w:line="225"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In connection with the asset purchase of the C Wonder Brand, the Company agreed to pay the seller additional consideration,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was to be calculated as the positive amount, if any, of (i) two times (A) the maximum net royalties as calculated for any single twelve month period commencing on July 1 and ending on June 30 between the closing date and June 30, 2019 (each, a “Royalty Target Year”) less (B) $4.0 million, plus (ii) two times the maximum royalty determined based on a percentage of retail and wholesale sales of C Wonder branded products by the Company as calculated for any single Royalty Target Year. The C Wonder Earn-Out of $2.85 million, which was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calculated at the asset acquisition date, was recorded in the current portion of long-term debt in the accompanying consolidated balance sheet as of December 31, 2018.</w:t>
      </w:r>
    </w:p>
    <w:p>
      <w:pPr>
        <w:spacing w:after="0" w:line="170"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Under the applicable accounting guidance, the Company was required to carry such contingent liability balance on its consolidated balance sheet until the measurement period of the earn-out expired and all related contingencies had been resolved. The final Royalty Target Year ended on June 30, 2019, and the seller ultimately did not earn any additional consideration based on the formula set forth above. As such, during the year ended December 31, 2019, the Company recorded a $2.85 million gain on the reduction of contingent obligations in the accompanying consolidated statements of operations. As of December 31, 2019, there were no amounts remaining under the C Wonder Earn-Out.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Other long-term liabilities consist of the Company’s obligations to subtenants for security deposits under sublease arrangements, which were $0.2 million and $0.4 million as of December 31, 2019 and 2018, respectively.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has authority to issue up to 51,000,000 shares, consisting of 50,000,000 shares of common stock and 1,000,000 shares of preferred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stock option activity for the Current Year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3,257,875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4,263,000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2019, and expected to vest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7,222,625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2,671,125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Year stock option grants were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January 1, 2019, the Company granted options to purchase 250,000 shares of common stock to a certain key employee. The exercise price is $3.00 per share, and the vesting of such options is dependent upon the Company achieving certain 12-month sales targets through December 31, 2021.</w:t>
      </w:r>
    </w:p>
    <w:p>
      <w:pPr>
        <w:spacing w:after="0" w:line="18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On February 27, 2019, the Company granted options to purchase 2,578,947 shares of common stock to Robert W. D’Loren, the Company’s Chief Executive Officer. The exercise price is $1.70 per share, and the vesting of such options is dependent upon the Company’s common stock achieving certain stock trading prices for a minimum of ten (10) trading days (the "Target Prices"). The vesting of 736,842 shares occur if the Target Prices are equal to or greater than $3.00 per share; 626,316 shares vest if the Target Price is equal to or greater than $5.00 per share; 515,789 shares vest if the Target Price is equal to or greater than $7.00 per share; 405,263 shares vest if the Target Price is equal to or greater than $9.00 per share; and 294,737 shares vest if the Target Price is equal to or greater than $11.00 per share. The options are exercisable until February 27, 2029. As of December 31, 2019, none of the aforementioned Target Price thresholds have been met, and therefore, none of these options have vested.</w:t>
      </w:r>
    </w:p>
    <w:p>
      <w:pPr>
        <w:spacing w:after="0" w:line="181"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On February 27, 2019, the Company granted options to purchase 552,632 shares of common stock to James F. Haran, the Company’s Chief Financial Officer. The exercise price is $1.70 per share, and the vesting of such options is dependent upon the Company’s common stock achieving certain stock trading prices for a minimum of ten (10) trading days (the "Target Prices"). The vesting of 157,895 shares occur if the Target Prices are equal to or greater than $3.00 per share; 134,211 shares vest if the Target Price is equal to or greater than $5.00 per share; 110,526 shares vest if the Target Price is equal to or greater than $7.00 per share; 86,842 shares vest if the Target Price is equal to or greater than $9.00 per share; and 63,158 shares vest if the Target Price is equal to or greater than $11.00 per share. The options are exercisable until February 27, 2029. As of December 31, 2019, none of the aforementioned Target Price thresholds have been met, and therefore, none of these options have vested.</w:t>
      </w:r>
    </w:p>
    <w:p>
      <w:pPr>
        <w:spacing w:after="0" w:line="18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On February 27, 2019, the Company granted options to purchase 368,421 shares of common stock to Seth Burroughs, an officer of the Company. The exercise price is $1.70 per share, and the vesting of such options is dependent upon the Company’s common stock achieving certain stock trading prices for a minimum of ten (10) trading days (the "Target Prices"). The vesting of 105,263 shares occur if the Target Prices are equal to or greater than $3.00 per share; 89,474 shares vest if the Target Price is equal to or greater than $5.00 per share; 73,684 shares vest if the Target Price is equal to or greater than $7.00 per share; 57,895 shares vest if the Target Price is equal to or greater than $9.00; and 42,105 shares vest if the Target Price is equal to or greater than $11.00 per share. The options are exercisable until February 27, 2029. As of December 31, 2019, none of the aforementioned Target Price thresholds have been met, and therefore, none of these options have vested.</w:t>
      </w:r>
    </w:p>
    <w:p>
      <w:pPr>
        <w:spacing w:after="0" w:line="19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On March 13, 2019, the Company granted options to purchase an aggregate of 154,000 shares of common stock to various employees. The exercise price of the options is $1.73 per share, and all options vested immediately on the date of grant.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March 15, 2019, the Company granted options to purchase 50,000 shares of common stock to a certain key employee.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April 1, 2019, the Company granted options to purchase an aggregate of 150,000 shares of common stock to non-management directors. The exercise price of the options is $1.70 per share, and 50% of the options shall vest on each of April 1, 2020 and April 1, 2021.</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April 15, 2019, the Company granted options to purchase an aggregate of 24,000 shares of common stock to certain employees. The exercise price of the options is $1.40 per share, and 50% of the options shall vest on each of April 15, 2020 and April 15, 2021.</w:t>
      </w:r>
    </w:p>
    <w:p>
      <w:pPr>
        <w:spacing w:after="0" w:line="184"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On May 1, 2019, the Company granted options to purchase 10,000 shares of common stock to an employee. The exercise price of the options is $1.38 per share, and 50% of the options shall vest on each of May 1, 2020 and May 1, 2021.</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September 1, 2019, the Company granted options to purchase 15,000 shares of common stock to an employee. The exercise price of the options is $1.59 per share, and one-third of the options shall vest on each of September 1, 2020, September 1, 2021, and September 1, 2022.</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October 1, 2019, the Company granted options to purchase 100,000 shares of common stock to an employee. The exercise price of the options is $1.77 per share, and one-third of the options shall vest on each of October 1, 2020, October 1, 2021, and October 1, 2022.</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October 31, 2019, the Company granted options to purchase 10,000 shares of common stock to an employee. The exercise price of the options is $1.72 per share, and one-third of the options shall vest on each of October 31, 2020, October 31, 2021, and October 31, 2022.</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Year stock option grants were as follows:</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On March 30, 2018, the Company granted options to purchase an aggregate of 50,000 shares of common stock to a certain key employee. The exercise price of the options is $5.50 per share, and all options vested immediately on the date of grant.</w:t>
      </w:r>
    </w:p>
    <w:p>
      <w:pPr>
        <w:spacing w:after="0" w:line="12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April 2, 2018, the Company granted options to purchase an aggregate of 150,000 shares of common stock to non-management directors. The exercise price of the options is $3.00 per share, and 50% of the options vest on each of April 2, 2019 and April 2, 2020.</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October 15, 2018, the Company granted options to purchase an aggregate of 15,000 shares of common stock to a certain key employee. The exercise price of the options is $2.04 per share, and one-third of the options vest on each of October 15, 2019, October 15, 2020, and October 15, 2021.</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November 21, 2018, the Company granted options to purchase an aggregate of 35,000 shares of common stock to a certain key employee. The exercise price of the options is $2.25 per share, and 50% of the options vest on each of September 30, 2019 and September 30, 2020.</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fair value of the options granted was estimated at the date of grant using the Black-Scholes option pricing model with the following assumptions: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20.69 – 26.21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20.91 – 29.65</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 in years)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 – 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 – 3.5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 – 2.48 %</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2.33 – 2.96 %</w:t>
            </w:r>
          </w:p>
        </w:tc>
      </w:tr>
    </w:tbl>
    <w:p>
      <w:pPr>
        <w:spacing w:after="0" w:line="18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Compensation expense related to stock options for the Current Year and Prior Year was approximately $0.5 million and $1.1 million, respectively. Total unrecognized compensation expense related to unvested stock options at December 31, 2019 amounts to approximately $0.3 million and is expected to be recognized over a weighted average period of 1.96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year:</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1,481,079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4,263,000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(1,124,914)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(67,665)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7"/>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Warrants granted by the Company expire at various times – either five, seven, or ten years from the date of grant, depending on the particular grant.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warrant activity for the Current Year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1,214,815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579,815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July 18, 2019, the Company granted warrants to purchase an aggregate of 115,000 shares of common stock. The exercise price of the warrants is $3.17 per share, and one-third of the options vested on each of July 25, 2019, August 24, 2019, and September 23,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did not grant any warrants to purchase shares of common stock during the Prior Year.</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Compensation expense related to warrants was approximately $14,000 in the Current Year. No compensation expense was recorded in the Prior Year related to warrants.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restricted stock activity for the Current Year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(289,587)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1,230,623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Current Year restricted stock grants were as follows: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February 27, 2019, the Company entered into a two-year employment agreement with a key employee, which includes a performance stock bonus of up to $90,000 for each of the years ended December 31, 2019 and 2020. The performance stock bonus is earned upon the Company achieving certain sales targets.</w:t>
      </w:r>
    </w:p>
    <w:p>
      <w:pPr>
        <w:spacing w:after="0" w:line="184"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On April 1, 2019, the Company issued an aggregate of 60,000 shares of stock to certain non-management directors, which will vest evenly over two years, whereby 50% shall vest on April 1, 2020, and 50% shall vest on April 1, 2021.</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Year restricted stock grants were as follows: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March 14, 2018, the Company issued an aggregate of 90,209 shares of stock to certain non-executive employees, which vested immediately.</w:t>
      </w:r>
    </w:p>
    <w:p>
      <w:pPr>
        <w:spacing w:after="0" w:line="170"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On April 2, 2018, the Company issued an aggregate of 48,000 shares of stock to certain non-management directors, which vest evenly over two years, whereby 50% vested on April 2, 2019, and 50% shall vest on April 2, 2020.</w:t>
      </w:r>
    </w:p>
    <w:p>
      <w:pPr>
        <w:spacing w:after="0" w:line="14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April 3, 2018, the Company issued an aggregate of 25,599 shares of stock to certain non-executive employees, which vested immediately.</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May 31, 2018, the Company issued an aggregate of 1,664 shares of stock to certain non-executive employees, which vested immediately.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June 5, 2018, the Company issued of 7,000 shares of stock to a consultant, which vested immediately.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October 15, 2018, the Company issued 10,000 shares of stock to a consultant, which vested immediately.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October 15, 2018, the Company issued 8,334 shares of stock to a consultant, which vested immediately.</w:t>
      </w:r>
    </w:p>
    <w:p>
      <w:pPr>
        <w:spacing w:after="0" w:line="225"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71"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Compensation expense related to restricted stock grants for the Current Year and Prior Year was approximately $0.5 million and $0.7 million, respectively. Total unrecognized compensation expense related to unvested restricted stock grants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at December 31, 2019 amounts to $0.1 million and is expected to be recognized over a weighted average period of 1.07 years.</w:t>
      </w:r>
    </w:p>
    <w:p>
      <w:pPr>
        <w:spacing w:after="0" w:line="170"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following table provides information with respect to restricted stock purchased and retired by the Company during the Current Year and Prior Year.</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Actual</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Part of</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Publicly</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Announced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Re-Purchased</w:t>
            </w:r>
          </w:p>
        </w:tc>
        <w:tc>
          <w:tcPr>
            <w:tcW w:w="0" w:type="dxa"/>
            <w:vAlign w:val="bottom"/>
          </w:tcPr>
          <w:p>
            <w:pPr>
              <w:spacing w:after="0"/>
              <w:rPr>
                <w:sz w:val="1"/>
                <w:szCs w:val="1"/>
                <w:color w:val="auto"/>
              </w:rPr>
            </w:pPr>
          </w:p>
        </w:tc>
      </w:tr>
      <w:tr>
        <w:trPr>
          <w:trHeight w:val="171"/>
        </w:trPr>
        <w:tc>
          <w:tcPr>
            <w:tcW w:w="5080" w:type="dxa"/>
            <w:vAlign w:val="bottom"/>
            <w:gridSpan w:val="3"/>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 Share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4"/>
                <w:szCs w:val="14"/>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September 30, 2019 (i)</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October 31, 2019 (i)</w:t>
            </w:r>
          </w:p>
        </w:tc>
        <w:tc>
          <w:tcPr>
            <w:tcW w:w="880" w:type="dxa"/>
            <w:vAlign w:val="bottom"/>
          </w:tcPr>
          <w:p>
            <w:pPr>
              <w:jc w:val="right"/>
              <w:spacing w:after="0"/>
              <w:rPr>
                <w:sz w:val="20"/>
                <w:szCs w:val="20"/>
                <w:color w:val="auto"/>
              </w:rPr>
            </w:pPr>
            <w:r>
              <w:rPr>
                <w:rFonts w:ascii="Arial" w:cs="Arial" w:eastAsia="Arial" w:hAnsi="Arial"/>
                <w:sz w:val="18"/>
                <w:szCs w:val="18"/>
                <w:color w:val="auto"/>
              </w:rPr>
              <w:t>29,189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30, 2019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December 31, 2019 (i)</w:t>
            </w:r>
          </w:p>
        </w:tc>
        <w:tc>
          <w:tcPr>
            <w:tcW w:w="880" w:type="dxa"/>
            <w:vAlign w:val="bottom"/>
          </w:tcPr>
          <w:p>
            <w:pPr>
              <w:jc w:val="right"/>
              <w:spacing w:after="0"/>
              <w:rPr>
                <w:sz w:val="20"/>
                <w:szCs w:val="20"/>
                <w:color w:val="auto"/>
              </w:rPr>
            </w:pPr>
            <w:r>
              <w:rPr>
                <w:rFonts w:ascii="Arial" w:cs="Arial" w:eastAsia="Arial" w:hAnsi="Arial"/>
                <w:sz w:val="18"/>
                <w:szCs w:val="18"/>
                <w:color w:val="auto"/>
              </w:rPr>
              <w:t>9,846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7"/>
        </w:trPr>
        <w:tc>
          <w:tcPr>
            <w:tcW w:w="50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April 30, 2018 (i)</w:t>
            </w:r>
          </w:p>
        </w:tc>
        <w:tc>
          <w:tcPr>
            <w:tcW w:w="880" w:type="dxa"/>
            <w:vAlign w:val="bottom"/>
          </w:tcPr>
          <w:p>
            <w:pPr>
              <w:jc w:val="right"/>
              <w:spacing w:after="0"/>
              <w:rPr>
                <w:sz w:val="20"/>
                <w:szCs w:val="20"/>
                <w:color w:val="auto"/>
              </w:rPr>
            </w:pPr>
            <w:r>
              <w:rPr>
                <w:rFonts w:ascii="Arial" w:cs="Arial" w:eastAsia="Arial" w:hAnsi="Arial"/>
                <w:sz w:val="18"/>
                <w:szCs w:val="18"/>
                <w:color w:val="auto"/>
              </w:rPr>
              <w:t>181,486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31, 2018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November 30, 2018 (i)</w:t>
            </w:r>
          </w:p>
        </w:tc>
        <w:tc>
          <w:tcPr>
            <w:tcW w:w="880" w:type="dxa"/>
            <w:vAlign w:val="bottom"/>
          </w:tcPr>
          <w:p>
            <w:pPr>
              <w:jc w:val="right"/>
              <w:spacing w:after="0"/>
              <w:rPr>
                <w:sz w:val="20"/>
                <w:szCs w:val="20"/>
                <w:color w:val="auto"/>
              </w:rPr>
            </w:pPr>
            <w:r>
              <w:rPr>
                <w:rFonts w:ascii="Arial" w:cs="Arial" w:eastAsia="Arial" w:hAnsi="Arial"/>
                <w:sz w:val="18"/>
                <w:szCs w:val="18"/>
                <w:color w:val="auto"/>
              </w:rPr>
              <w:t>145,920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331,000</w:t>
            </w:r>
          </w:p>
        </w:tc>
        <w:tc>
          <w:tcPr>
            <w:tcW w:w="0" w:type="dxa"/>
            <w:vAlign w:val="bottom"/>
          </w:tcPr>
          <w:p>
            <w:pPr>
              <w:spacing w:after="0"/>
              <w:rPr>
                <w:sz w:val="1"/>
                <w:szCs w:val="1"/>
                <w:color w:val="auto"/>
              </w:rPr>
            </w:pPr>
          </w:p>
        </w:tc>
      </w:tr>
      <w:tr>
        <w:trPr>
          <w:trHeight w:val="217"/>
        </w:trPr>
        <w:tc>
          <w:tcPr>
            <w:tcW w:w="50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2018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1,033,000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79" w:hanging="316"/>
        <w:spacing w:after="0" w:line="277"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70"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All of the shares of restricted stock in the preceding table were originally granted to employees and directors as restricted stock pursuant to the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 December 31, 2019, there were 1,900,793 shares of common stock available for issuance under the Plan.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At December 31, 2019, there were 9,703,233 shares of common stock reserved for issuance pursuant to unexercised warrants and stock options, or available for issuance under the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calculating basic and diluted earnings per share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18,857,657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18,280,788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7"/>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18,857,657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18,281,638</w:t>
            </w:r>
          </w:p>
        </w:tc>
      </w:tr>
    </w:tbl>
    <w:p>
      <w:pPr>
        <w:spacing w:after="0" w:line="20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As a result of the net loss presented for the Current Year, the Company calculated diluted earnings per share using basic weighted-average shares outstanding for such period, as utilizing diluted shares would be anti-dilutive to loss per share</w:t>
      </w:r>
    </w:p>
    <w:p>
      <w:pPr>
        <w:spacing w:after="0" w:line="12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computation of basic and diluted earnings per share excludes the common stock equivalents of the following potentially dilutive securities because their inclusion would be anti-dilutive:</w:t>
      </w:r>
    </w:p>
    <w:p>
      <w:pPr>
        <w:spacing w:after="0" w:line="175"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6350</wp:posOffset>
            </wp:positionV>
            <wp:extent cx="1680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ind w:left="6760"/>
        <w:spacing w:after="0"/>
        <w:tabs>
          <w:tab w:leader="none" w:pos="8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tbl>
      <w:tblPr>
        <w:tblLayout w:type="fixed"/>
        <w:tblInd w:w="40" w:type="dxa"/>
        <w:tblCellMar>
          <w:top w:w="0" w:type="dxa"/>
          <w:left w:w="0" w:type="dxa"/>
          <w:bottom w:w="0" w:type="dxa"/>
          <w:right w:w="0" w:type="dxa"/>
        </w:tblCellMar>
      </w:tblPr>
      <w:tr>
        <w:trPr>
          <w:trHeight w:val="217"/>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7,802,440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4,421,625</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has operating leases for its current office, former office, and certain equipment with a term of 12 months or less. The Company is currently not a party to any finance leases.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Company's office leases have remaining lease terms of 2 years to 8 years. As of December 31, 2019, the weighted average remaining lease term was 6.8 years and the weighted average discount rate was 6.25%.</w:t>
      </w:r>
    </w:p>
    <w:p>
      <w:pPr>
        <w:spacing w:after="0" w:line="170" w:lineRule="exact"/>
        <w:rPr>
          <w:sz w:val="20"/>
          <w:szCs w:val="20"/>
          <w:color w:val="auto"/>
        </w:rPr>
      </w:pPr>
    </w:p>
    <w:p>
      <w:pPr>
        <w:jc w:val="both"/>
        <w:ind w:left="700" w:right="59" w:hanging="332"/>
        <w:spacing w:after="0" w:line="25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from BHI for a sum not exceeding $1.1 million. The Company has deposited this amount with BHI as collateral for the letter of credit and recorded the amount as restricted cash in the consolidated balance sheets as of December 31, 2019 and December 31, 2018.</w:t>
      </w:r>
    </w:p>
    <w:p>
      <w:pPr>
        <w:spacing w:after="0" w:line="192" w:lineRule="exact"/>
        <w:rPr>
          <w:rFonts w:ascii="Arial" w:cs="Arial" w:eastAsia="Arial" w:hAnsi="Arial"/>
          <w:sz w:val="18"/>
          <w:szCs w:val="18"/>
          <w:color w:val="auto"/>
        </w:rPr>
      </w:pPr>
    </w:p>
    <w:p>
      <w:pPr>
        <w:jc w:val="both"/>
        <w:ind w:left="700" w:right="59" w:hanging="332"/>
        <w:spacing w:after="0" w:line="311"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also leases office space under an operating lease agreement at another location in New York City, representing the Company’s former corporate offices and operations facility. This lease shall expire on February 28, 2022. This office space is currently subleased to a third-party subtenant through February 27, 2022.</w:t>
      </w:r>
    </w:p>
    <w:p>
      <w:pPr>
        <w:spacing w:after="0" w:line="1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aforementioned office leases require the Company to pay additional rents related to increases in certain taxes and other costs on the properties. For the years ended December 31, 2019 and 2018, total lease expense included in selling, general and administrative expenses on the Company's consolidated statements of operations was approximately $1.6 million and $1.5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total lease cost for the year ended December 31, 2019 was comprised of the following:</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1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Current Year was $2.4 million, and cash received from subleasing was $0.3 million.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2019, the maturities of lease liabilities were as follows: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r>
      <w:tr>
        <w:trPr>
          <w:trHeight w:val="229"/>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r>
      <w:tr>
        <w:trPr>
          <w:trHeight w:val="223"/>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r>
      <w:tr>
        <w:trPr>
          <w:trHeight w:val="229"/>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r>
      <w:tr>
        <w:trPr>
          <w:trHeight w:val="21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148"/>
        </w:trPr>
        <w:tc>
          <w:tcPr>
            <w:tcW w:w="7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future minimum employment contract payments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In addition to the employment contract payments stated above, the Company’s employment contracts with certain executives and key employees contain performance-based bonus provisions. These provisions include bonuses based on the Company achieving revenues in excess of established targets and/or on operating results.</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$7.8 million at December 31,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 – HH Seller (Halston Heritage Earn-Out)</w:t>
      </w:r>
    </w:p>
    <w:p>
      <w:pPr>
        <w:spacing w:after="0" w:line="225"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In connection with the February 11, 2019 purchase of the Halston Heritage Trademarks from HIP, the Company agreed to pay HIP additional consideration (the “Halston Heritage Earn-Out”) of up to an aggregate of $6.0 million, based on royalties earned through December 31, 2022 (see Note 3). The Halston Heritage Earn-Out of $0.9 million is recorded as a long-term liability as of December 31, 2019 in the accompanying consolidated balance sheets, based on the difference between the fair value of the acquired assets of the Halston Heritage Trademarks and the total consideration paid. In accordance with ASC Topic 480, the Halston Heritage Earn-Out obligation is treated as a liability in the accompanying consolidated balance sheets because of the variable number of shares payable under the agreement.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Company accounts for income taxes in accordance with ASC Topic 740. Deferred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income tax (benefit) provision for federal and state and local income taxes in the consolidated statements of operations consists of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Total (benefit) provision</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reconciliation of income tax (benefit) provision computed at the federal and state and local statutory rates to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(loss) income before taxes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35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statutory federal rate</w:t>
            </w:r>
          </w:p>
        </w:tc>
        <w:tc>
          <w:tcPr>
            <w:tcW w:w="3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State and local rate, net of federal tax</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4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(7.01)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Excess compensation deduction</w:t>
            </w:r>
          </w:p>
        </w:tc>
        <w:tc>
          <w:tcPr>
            <w:tcW w:w="4360" w:type="dxa"/>
            <w:vAlign w:val="bottom"/>
            <w:gridSpan w:val="3"/>
          </w:tcPr>
          <w:p>
            <w:pPr>
              <w:jc w:val="right"/>
              <w:ind w:right="150"/>
              <w:spacing w:after="0"/>
              <w:rPr>
                <w:sz w:val="20"/>
                <w:szCs w:val="20"/>
                <w:color w:val="auto"/>
              </w:rPr>
            </w:pPr>
            <w:r>
              <w:rPr>
                <w:rFonts w:ascii="Arial" w:cs="Arial" w:eastAsia="Arial" w:hAnsi="Arial"/>
                <w:sz w:val="18"/>
                <w:szCs w:val="18"/>
                <w:color w:val="auto"/>
              </w:rPr>
              <w:t>(5.08)</w:t>
            </w: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credits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Federal true-ups</w:t>
            </w:r>
          </w:p>
        </w:tc>
        <w:tc>
          <w:tcPr>
            <w:tcW w:w="332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Life insurance</w:t>
            </w:r>
          </w:p>
        </w:tc>
        <w:tc>
          <w:tcPr>
            <w:tcW w:w="4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(0.81)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Other permanent differences</w:t>
            </w:r>
          </w:p>
        </w:tc>
        <w:tc>
          <w:tcPr>
            <w:tcW w:w="4360" w:type="dxa"/>
            <w:vAlign w:val="bottom"/>
            <w:gridSpan w:val="3"/>
          </w:tcPr>
          <w:p>
            <w:pPr>
              <w:jc w:val="right"/>
              <w:ind w:right="150"/>
              <w:spacing w:after="0"/>
              <w:rPr>
                <w:sz w:val="20"/>
                <w:szCs w:val="20"/>
                <w:color w:val="auto"/>
              </w:rPr>
            </w:pPr>
            <w:r>
              <w:rPr>
                <w:rFonts w:ascii="Arial" w:cs="Arial" w:eastAsia="Arial" w:hAnsi="Arial"/>
                <w:sz w:val="18"/>
                <w:szCs w:val="18"/>
                <w:color w:val="auto"/>
              </w:rPr>
              <w:t>(0.16)</w:t>
            </w:r>
          </w:p>
        </w:tc>
        <w:tc>
          <w:tcPr>
            <w:tcW w:w="82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r>
      <w:tr>
        <w:trPr>
          <w:trHeight w:val="23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851"/>
        </w:trPr>
        <w:tc>
          <w:tcPr>
            <w:tcW w:w="3580" w:type="dxa"/>
            <w:vAlign w:val="bottom"/>
          </w:tcPr>
          <w:p>
            <w:pPr>
              <w:spacing w:after="0"/>
              <w:rPr>
                <w:sz w:val="24"/>
                <w:szCs w:val="24"/>
                <w:color w:val="auto"/>
              </w:rPr>
            </w:pPr>
          </w:p>
        </w:tc>
        <w:tc>
          <w:tcPr>
            <w:tcW w:w="3320" w:type="dxa"/>
            <w:vAlign w:val="bottom"/>
          </w:tcPr>
          <w:p>
            <w:pPr>
              <w:jc w:val="right"/>
              <w:ind w:right="2250"/>
              <w:spacing w:after="0"/>
              <w:rPr>
                <w:sz w:val="20"/>
                <w:szCs w:val="20"/>
                <w:color w:val="auto"/>
              </w:rPr>
            </w:pPr>
            <w:r>
              <w:rPr>
                <w:rFonts w:ascii="Arial" w:cs="Arial" w:eastAsia="Arial" w:hAnsi="Arial"/>
                <w:sz w:val="18"/>
                <w:szCs w:val="18"/>
                <w:color w:val="auto"/>
              </w:rPr>
              <w:t>80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3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significant components of net deferred tax liabilities of the Company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 state and local net operating loss carryforwards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Accrued compensation and other accrued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Basis difference arising from discounted note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tax credit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Charitable contribution carryover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Basis difference arising from intangible assets of acquisition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(13,581)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(13,581)</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As of December 31, 2019 and 2018, the Company had approximately $4.0 million and $1.6 million, respectively, of federal net operating loss carryforwards ("NOLs") available to offset future taxable income. The NOL as of December 31, 2017 of $0.8 million has an expiration period from 2036 through 2037. The NOL generated during tax years beginning after December 31, 2017 of $3.3 million has an indefinite life and does not expire.</w:t>
      </w:r>
    </w:p>
    <w:p>
      <w:pPr>
        <w:spacing w:after="0" w:line="187"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As of December 31, 2019 and 2018,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Concurrent with the acquisition of the H Halston Brand on December 22, 2014, the Company and The H Company IP, LLC (“HIP”) entered into a license agreement (the “HIP License Agreement”), which was subsequently amended September 1, 2015. Benjamin Malka, who was a director of the Company from June 2014 through September 2019, is a 25% equity holder of HIP’s parent company, House of Halston LLC (“HOH”), and Chief Executive Officer of HOH. The HIP license agreement provides for royalty payments including guaranteed minimum royalties to be paid to the Company during the initial term that expired on December 31, 2019.</w:t>
      </w:r>
    </w:p>
    <w:p>
      <w:pPr>
        <w:spacing w:after="0" w:line="17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 million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December 12, 2016, the Company entered into a license agreement for the H Halston Brand with Dillard’s Inc and affiliates (the “Dillard’s License”, and together with the L&amp;T License, the “DRT Licenses”).</w:t>
      </w:r>
    </w:p>
    <w:p>
      <w:pPr>
        <w:spacing w:after="0" w:line="17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Through October 26, 2018, the Company operated under the following terms as an at-will license:</w:t>
      </w:r>
    </w:p>
    <w:p>
      <w:pPr>
        <w:spacing w:after="0" w:line="225" w:lineRule="exact"/>
        <w:rPr>
          <w:sz w:val="20"/>
          <w:szCs w:val="20"/>
          <w:color w:val="auto"/>
        </w:rPr>
      </w:pPr>
    </w:p>
    <w:p>
      <w:pPr>
        <w:jc w:val="both"/>
        <w:ind w:left="700" w:right="59" w:hanging="332"/>
        <w:spacing w:after="0" w:line="286"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HIP Trademark Usage and Royalty Participation Agreement, had an initial term that expired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w:t>
      </w:r>
    </w:p>
    <w:p>
      <w:pPr>
        <w:spacing w:after="0" w:line="173" w:lineRule="exact"/>
        <w:rPr>
          <w:rFonts w:ascii="Arial" w:cs="Arial" w:eastAsia="Arial" w:hAnsi="Arial"/>
          <w:sz w:val="16"/>
          <w:szCs w:val="16"/>
          <w:color w:val="auto"/>
        </w:rPr>
      </w:pPr>
    </w:p>
    <w:p>
      <w:pPr>
        <w:jc w:val="both"/>
        <w:ind w:left="700" w:right="59" w:hanging="332"/>
        <w:spacing w:after="0" w:line="288"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was also responsible for overseeing the visual merchandising and in-store retail environments for such approved retailers, as well as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2018, subsequent design 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16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Effective October 26, 2018, the Company terminated the HIP License Agreement including all amendments and the HIP Sublicense Agreement. In addition, the at-will license has been terminated and is no longer in effect. In addition, the Company and HOC entered into an arrangement whereby HOC pays the Company a license fee for branded products related to categories not included in the HOC license and supply agreement.</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the years ended December 31, 2019 and 2018, the Company had recorded approximately $0.0 and $2.0 million of revenue from HOC, respectively. As of December 31, 2018, the Company had a receivable balance of approximately $1.5 million due from HOC, which was collected in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$.17 million and $0.08 million for the years ended December 31, 2019 and 2018,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Isaac Mizrahi’s Employment Agreement</w:t>
      </w:r>
    </w:p>
    <w:p>
      <w:pPr>
        <w:spacing w:after="0" w:line="225"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$1,800,000, $2,000,000 and $2,100,000 per annum during the term of the agreement and $2,250,000 and $2,400,000 during 2023 and 2024 if the term is extended, in each case, subject to adjustment in the event Mr. Mizrahi does not make a specified number of appearances on QVC. Mr. Mizrahi shall be eligible to receive an annual cash bonus (the “bonus”) up to an amount equal to $2,500,000 less base salary for 2020 and $3,000,000 less base salary for 2021, 2022 and any year during the Renewal Period. The Bonus shall consist of the DRT Revenue, Bonus, the Bricks and Mortar Bonus, the Endorsement Bonus and the Monday Bonus, if any, as determined in accordance with the below:</w:t>
      </w:r>
    </w:p>
    <w:p>
      <w:pPr>
        <w:spacing w:after="0" w:line="128"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16"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“Bricks-and-Mortar Bonus” means for any calendar year an amount equal to 10% of the net revenues from sales of products under the Isaac Mizrahi brand but excluding DRT revenue and endorsement revenues.</w:t>
      </w:r>
    </w:p>
    <w:p>
      <w:pPr>
        <w:spacing w:after="0" w:line="7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06"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“Monday Bonus” means $10,000 for each appearance by Mr. Mizrahi on QVC on Mondays (subject to certain expectations) up to a maximum of 40 such appearances in a calendar year.</w:t>
      </w:r>
    </w:p>
    <w:p>
      <w:pPr>
        <w:spacing w:after="0" w:line="103"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11"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Mizrahi’s employment is terminated by us without “cause”, or if Mr. Mizrahi resigns with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us without cause or if Mr. Mizrahi resigns with good reason, in each case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6"/>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 year period following termination) plus</w:t>
      </w:r>
    </w:p>
    <w:p>
      <w:pPr>
        <w:spacing w:after="0" w:line="32" w:lineRule="exact"/>
        <w:rPr>
          <w:rFonts w:ascii="Arial" w:cs="Arial" w:eastAsia="Arial" w:hAnsi="Arial"/>
          <w:sz w:val="16"/>
          <w:szCs w:val="16"/>
          <w:color w:val="auto"/>
        </w:rPr>
      </w:pPr>
    </w:p>
    <w:p>
      <w:pPr>
        <w:ind w:left="300" w:hanging="256"/>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130"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During the term of his employment by the Company and for a one-year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termination of such employment (unless Mr. Mizrahi’s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0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$720,000 for such services.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Xcel Term Loan Amendment</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April 13, 2020, the Company further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permits Xcel to incur unsecured debt through the PPP under the CARES Act, and excludes any associated PPP debt and debt service from the covenant calculations. There were no changes to the total principal balance, interest rate, or maturity date. See Note 6, “Debt and Other Long-term Liabilities,” for additional information.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95"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On March 27, 2020 the Coronavirus Aid, Relief, and Economic Security (“CARES”) Act was enacted and signed into law. Certain provisions of the CARES Act impact the 2019 income tax provision computations of the Company and will be reflected in the first quarter of 2020, or the period of enactment. The CARES Act contains modifications on the limitation of business interest for tax years beginning in 2019 and 2020. The modifications to Section 163(j) increase the allowable business interest deduction from 30% of adjusted taxable income to 50% of adjusted taxable income. This modification has no impact on the Company since the interest expense is not projected to be limited. Additionally, the CARES Act contains a technical correction to the Tax Cuts and Jobs Act with respect to the recovery period of qualified improvement property. Previously, qualified improvement property was depreciated as 39-year building property, but the technical correction in the CARES Act adjusts this to a 15-year depreciable life, which meets the requirements for the additional first-year 100% bonus depreciation deduction under Section 168(k). The Company will evaluate and conclude on the desired tax position for this class of depreciable property prior to filing the 2019 federal tax return. It is expected that the change in the depreciable life of qualified improvement property will result in an increase in the Company's net operating losses on a tax basis, although an exact amount has not been determined at this time. The CARES Act did not have any impact on the Company's 2019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166"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92"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of the Securities Exchange Act of 1934, as amended (the “Exchange Act”), as of December 31, 2019. Based on that evaluation, our Chief Executive Officer and Chief Financial Officer concluded that our disclosure controls and procedures were effective as of December 31, 2019,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2019.</w:t>
      </w:r>
    </w:p>
    <w:p>
      <w:pPr>
        <w:spacing w:after="0" w:line="192"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during our most recent completed fiscal quarter that has materially affected, or is reasonably likely to materially affect, the Company’s internal control over financial reporting.</w:t>
      </w:r>
    </w:p>
    <w:p>
      <w:pPr>
        <w:spacing w:after="0" w:line="200"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right="159"/>
        <w:spacing w:after="0" w:line="282" w:lineRule="auto"/>
        <w:rPr>
          <w:sz w:val="20"/>
          <w:szCs w:val="20"/>
          <w:color w:val="auto"/>
        </w:rPr>
      </w:pPr>
      <w:r>
        <w:rPr>
          <w:rFonts w:ascii="Arial" w:cs="Arial" w:eastAsia="Arial" w:hAnsi="Arial"/>
          <w:sz w:val="18"/>
          <w:szCs w:val="18"/>
          <w:b w:val="1"/>
          <w:bCs w:val="1"/>
          <w:color w:val="auto"/>
        </w:rPr>
        <w:t>Item 10. Directors, Executive Officers, Promoters, Control Persons and Corporate Governance; Compliance with Section 16(a) of the Exchange Act</w:t>
      </w:r>
    </w:p>
    <w:p>
      <w:pPr>
        <w:spacing w:after="0" w:line="16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4600" w:type="dxa"/>
            <w:vAlign w:val="bottom"/>
          </w:tcPr>
          <w:p>
            <w:pPr>
              <w:ind w:left="19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Robert W. D’Loren</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of the Board of Directors and Chief Executive</w:t>
            </w:r>
          </w:p>
        </w:tc>
      </w:tr>
      <w:tr>
        <w:trPr>
          <w:trHeight w:val="230"/>
        </w:trPr>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 and President</w:t>
            </w:r>
          </w:p>
        </w:tc>
      </w:tr>
      <w:tr>
        <w:trPr>
          <w:trHeight w:val="202"/>
        </w:trPr>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James F. Haran</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c>
          <w:tcPr>
            <w:tcW w:w="47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Chief Financial Officer and Assistant Secretary, and Principal</w:t>
            </w:r>
          </w:p>
        </w:tc>
      </w:tr>
      <w:tr>
        <w:trPr>
          <w:trHeight w:val="230"/>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Financial and Accounting Officer</w:t>
            </w:r>
          </w:p>
        </w:tc>
      </w:tr>
      <w:tr>
        <w:trPr>
          <w:trHeight w:val="202"/>
        </w:trPr>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Giuseppe “Joe” Falco</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c>
          <w:tcPr>
            <w:tcW w:w="4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President and Chief Operating Officer of the Isaac Mizrahi</w:t>
            </w:r>
          </w:p>
        </w:tc>
      </w:tr>
      <w:tr>
        <w:trPr>
          <w:trHeight w:val="230"/>
        </w:trPr>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Brand</w:t>
            </w:r>
          </w:p>
        </w:tc>
      </w:tr>
      <w:tr>
        <w:trPr>
          <w:trHeight w:val="202"/>
        </w:trPr>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Seth Burroughs</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47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Executive Vice President of Business Development and</w:t>
            </w:r>
          </w:p>
        </w:tc>
      </w:tr>
      <w:tr>
        <w:trPr>
          <w:trHeight w:val="230"/>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Treasury and Secretary</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DiSanto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James Fielding</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Francis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Howard Liebman</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Below are the biographies of each of our officers and directors as of December 31, 2019.</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b w:val="1"/>
          <w:bCs w:val="1"/>
          <w:i w:val="1"/>
          <w:iCs w:val="1"/>
          <w:color w:val="auto"/>
        </w:rPr>
        <w:t xml:space="preserve">Robert W. D’Loren </w:t>
      </w:r>
      <w:r>
        <w:rPr>
          <w:rFonts w:ascii="Arial" w:cs="Arial" w:eastAsia="Arial" w:hAnsi="Arial"/>
          <w:sz w:val="17"/>
          <w:szCs w:val="17"/>
          <w:color w:val="auto"/>
        </w:rPr>
        <w:t>has been the Chairman of our Board and our Chief Executive Officer and President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2011. Mr. D’Loren has been an entrepreneur, innovator and pioneer of the 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7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7"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7"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 xml:space="preserve">James F. Haran </w:t>
      </w:r>
      <w:r>
        <w:rPr>
          <w:rFonts w:ascii="Arial" w:cs="Arial" w:eastAsia="Arial" w:hAnsi="Arial"/>
          <w:sz w:val="16"/>
          <w:szCs w:val="16"/>
          <w:color w:val="auto"/>
        </w:rPr>
        <w:t>has been our Chief Financial Officer since September 2011. Mr. Haran served as CFO of IPX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6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b w:val="1"/>
          <w:bCs w:val="1"/>
          <w:i w:val="1"/>
          <w:iCs w:val="1"/>
          <w:color w:val="auto"/>
        </w:rPr>
        <w:t xml:space="preserve">Joe Falco </w:t>
      </w:r>
      <w:r>
        <w:rPr>
          <w:rFonts w:ascii="Arial" w:cs="Arial" w:eastAsia="Arial" w:hAnsi="Arial"/>
          <w:sz w:val="17"/>
          <w:szCs w:val="17"/>
          <w:color w:val="auto"/>
        </w:rPr>
        <w:t>has been our Chief Operating Officer and President of the Mizrahi brands since September 2011. Mr. Falco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merchant with almost two decades 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7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1"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served as a member of our Board since October 2011. Since 1988, Mr. DiSanto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6"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8"/>
          <w:szCs w:val="18"/>
          <w:b w:val="1"/>
          <w:bCs w:val="1"/>
          <w:i w:val="1"/>
          <w:iCs w:val="1"/>
          <w:color w:val="auto"/>
        </w:rPr>
        <w:t xml:space="preserve">James Fielding </w:t>
      </w:r>
      <w:r>
        <w:rPr>
          <w:rFonts w:ascii="Arial" w:cs="Arial" w:eastAsia="Arial" w:hAnsi="Arial"/>
          <w:sz w:val="18"/>
          <w:szCs w:val="18"/>
          <w:color w:val="auto"/>
        </w:rPr>
        <w:t>was appointed as a member of our Board in July 2018. He is a 25</w:t>
      </w:r>
      <w:r>
        <w:rPr>
          <w:rFonts w:ascii="MS PGothic" w:cs="MS PGothic" w:eastAsia="MS PGothic" w:hAnsi="MS PGothic"/>
          <w:sz w:val="18"/>
          <w:szCs w:val="18"/>
          <w:color w:val="auto"/>
        </w:rPr>
        <w:t>‑</w:t>
      </w:r>
      <w:r>
        <w:rPr>
          <w:rFonts w:ascii="Arial" w:cs="Arial" w:eastAsia="Arial" w:hAnsi="Arial"/>
          <w:sz w:val="18"/>
          <w:szCs w:val="18"/>
          <w:color w:val="auto"/>
        </w:rPr>
        <w:t>year veteran in the consumer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w:t>
      </w:r>
      <w:r>
        <w:rPr>
          <w:rFonts w:ascii="MS PGothic" w:cs="MS PGothic" w:eastAsia="MS PGothic" w:hAnsi="MS PGothic"/>
          <w:sz w:val="18"/>
          <w:szCs w:val="18"/>
          <w:color w:val="auto"/>
        </w:rPr>
        <w:t>‑</w:t>
      </w:r>
      <w:r>
        <w:rPr>
          <w:rFonts w:ascii="Arial" w:cs="Arial" w:eastAsia="Arial" w:hAnsi="Arial"/>
          <w:sz w:val="18"/>
          <w:szCs w:val="18"/>
          <w:color w:val="auto"/>
        </w:rPr>
        <w:t>plus stores worldwide. From May 2008 to 2012 Mr. Fielding served as the President of Disney Stores Worldwide.</w:t>
      </w:r>
    </w:p>
    <w:p>
      <w:pPr>
        <w:spacing w:after="0" w:line="205"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b w:val="1"/>
          <w:bCs w:val="1"/>
          <w:i w:val="1"/>
          <w:iCs w:val="1"/>
          <w:color w:val="auto"/>
        </w:rPr>
        <w:t xml:space="preserve">Michael R. Francis </w:t>
      </w:r>
      <w:r>
        <w:rPr>
          <w:rFonts w:ascii="Arial" w:cs="Arial" w:eastAsia="Arial" w:hAnsi="Arial"/>
          <w:sz w:val="17"/>
          <w:szCs w:val="17"/>
          <w:color w:val="auto"/>
        </w:rPr>
        <w:t>has served as a member of our Board since June 2015. Mr. Francis is founder and CEO of Fairview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LLC, a retail and branding 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82"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b w:val="1"/>
          <w:bCs w:val="1"/>
          <w:i w:val="1"/>
          <w:iCs w:val="1"/>
          <w:color w:val="auto"/>
        </w:rPr>
        <w:t xml:space="preserve">Howard Liebman </w:t>
      </w:r>
      <w:r>
        <w:rPr>
          <w:rFonts w:ascii="Arial" w:cs="Arial" w:eastAsia="Arial" w:hAnsi="Arial"/>
          <w:sz w:val="16"/>
          <w:szCs w:val="16"/>
          <w:color w:val="auto"/>
        </w:rPr>
        <w:t>has served as a member of our Board since October 2011. He was President, Chief Operating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Executive Vice President of Shorewood until his retirement in 2005. Mr. Liebman is a Certified Public Accountant and was an audit partner with Deloitte and Touche, LLP (and its predecessors) from 1974 to 1994.</w:t>
      </w:r>
    </w:p>
    <w:p>
      <w:pPr>
        <w:spacing w:after="0" w:line="170"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b w:val="1"/>
          <w:bCs w:val="1"/>
          <w:i w:val="1"/>
          <w:iCs w:val="1"/>
          <w:color w:val="auto"/>
        </w:rPr>
        <w:t xml:space="preserve">Deborah Weinswig </w:t>
      </w:r>
      <w:r>
        <w:rPr>
          <w:rFonts w:ascii="Arial" w:cs="Arial" w:eastAsia="Arial" w:hAnsi="Arial"/>
          <w:sz w:val="17"/>
          <w:szCs w:val="17"/>
          <w:color w:val="auto"/>
        </w:rPr>
        <w:t>was appointed as a member of our Board in January 2018. She is a Managing Director of Funding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8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 xml:space="preserve">Robert W. D’Loren </w:t>
      </w:r>
      <w:r>
        <w:rPr>
          <w:rFonts w:ascii="Arial" w:cs="Arial" w:eastAsia="Arial" w:hAnsi="Arial"/>
          <w:sz w:val="18"/>
          <w:szCs w:val="18"/>
          <w:color w:val="auto"/>
        </w:rPr>
        <w:t>has extensive experience in and knowledge of the licensing and commercial business industries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 xml:space="preserve">Mark DiSanto </w:t>
      </w:r>
      <w:r>
        <w:rPr>
          <w:rFonts w:ascii="Arial" w:cs="Arial" w:eastAsia="Arial" w:hAnsi="Arial"/>
          <w:sz w:val="18"/>
          <w:szCs w:val="18"/>
          <w:color w:val="auto"/>
        </w:rPr>
        <w:t>has considerable experience in building and running businesses and brings his strong business acumen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 xml:space="preserve">James Fielding </w:t>
      </w:r>
      <w:r>
        <w:rPr>
          <w:rFonts w:ascii="Arial" w:cs="Arial" w:eastAsia="Arial" w:hAnsi="Arial"/>
          <w:sz w:val="18"/>
          <w:szCs w:val="18"/>
          <w:color w:val="auto"/>
        </w:rPr>
        <w:t>brings extensive senior level experience in the consumer retail space, as well as strong relationships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and retail industries.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 xml:space="preserve">Michael R. Francis </w:t>
      </w:r>
      <w:r>
        <w:rPr>
          <w:rFonts w:ascii="Arial" w:cs="Arial" w:eastAsia="Arial" w:hAnsi="Arial"/>
          <w:sz w:val="18"/>
          <w:szCs w:val="18"/>
          <w:color w:val="auto"/>
        </w:rPr>
        <w:t>brings extensive senior level experience in the media and retail industries, as well as relationships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media and retail industries.</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and financial strategies from his extensive public accounting experience and prior service as Chief Financial Officer of a public company.</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 xml:space="preserve">Deborah Weinswig </w:t>
      </w:r>
      <w:r>
        <w:rPr>
          <w:rFonts w:ascii="Arial" w:cs="Arial" w:eastAsia="Arial" w:hAnsi="Arial"/>
          <w:sz w:val="18"/>
          <w:szCs w:val="18"/>
          <w:color w:val="auto"/>
        </w:rPr>
        <w:t>brings thought leadership in the retail and licensing industries, particularly in the areas of sourcing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logistics.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b w:val="1"/>
          <w:bCs w:val="1"/>
          <w:i w:val="1"/>
          <w:iCs w:val="1"/>
          <w:color w:val="auto"/>
        </w:rPr>
        <w:t xml:space="preserve">Isaac Mizrahi </w:t>
      </w:r>
      <w:r>
        <w:rPr>
          <w:rFonts w:ascii="Arial" w:cs="Arial" w:eastAsia="Arial" w:hAnsi="Arial"/>
          <w:sz w:val="17"/>
          <w:szCs w:val="17"/>
          <w:color w:val="auto"/>
        </w:rPr>
        <w:t>is Chief Design Officer for IM Brands. As Chief Design Officer, he is responsible for design and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direction for all brands under his name. Mr. Mizrahi has been a leader in the fashion industry for almost 30 years. Since 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will be automatically renewed for one-year terms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6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Pursuant to the D’Loren Agreement, Mr. D’Loren was granted an option to purchase up to 2,578,947 shares of the Company’s common stock at an exercise price of $1.70 per share. The option is exercisable until February 28, 2029 and shall vest, subject to Mr. D’Loren remaining employed by the Company and based upon the Company’s common stock achieving the following target prices: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ind w:left="2920"/>
              <w:spacing w:after="0"/>
              <w:rPr>
                <w:sz w:val="20"/>
                <w:szCs w:val="20"/>
                <w:color w:val="auto"/>
              </w:rPr>
            </w:pPr>
            <w:r>
              <w:rPr>
                <w:rFonts w:ascii="Arial" w:cs="Arial" w:eastAsia="Arial" w:hAnsi="Arial"/>
                <w:sz w:val="14"/>
                <w:szCs w:val="14"/>
                <w:b w:val="1"/>
                <w:bCs w:val="1"/>
                <w:color w:val="auto"/>
              </w:rPr>
              <w:t>Target Prices</w:t>
            </w:r>
          </w:p>
        </w:tc>
        <w:tc>
          <w:tcPr>
            <w:tcW w:w="226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2"/>
              </w:rPr>
              <w:t>Number of Option Shares Vesting</w:t>
            </w:r>
          </w:p>
        </w:tc>
      </w:tr>
      <w:tr>
        <w:trPr>
          <w:trHeight w:val="209"/>
        </w:trPr>
        <w:tc>
          <w:tcPr>
            <w:tcW w:w="6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736,842</w:t>
            </w:r>
          </w:p>
        </w:tc>
      </w:tr>
      <w:tr>
        <w:trPr>
          <w:trHeight w:val="216"/>
        </w:trPr>
        <w:tc>
          <w:tcPr>
            <w:tcW w:w="6660" w:type="dxa"/>
            <w:vAlign w:val="bottom"/>
          </w:tcPr>
          <w:p>
            <w:pPr>
              <w:jc w:val="center"/>
              <w:spacing w:after="0"/>
              <w:rPr>
                <w:sz w:val="20"/>
                <w:szCs w:val="20"/>
                <w:color w:val="auto"/>
              </w:rPr>
            </w:pPr>
            <w:r>
              <w:rPr>
                <w:rFonts w:ascii="Arial" w:cs="Arial" w:eastAsia="Arial" w:hAnsi="Arial"/>
                <w:sz w:val="18"/>
                <w:szCs w:val="18"/>
                <w:color w:val="auto"/>
                <w:w w:val="88"/>
              </w:rPr>
              <w:t>$5.00</w:t>
            </w:r>
          </w:p>
        </w:tc>
        <w:tc>
          <w:tcPr>
            <w:tcW w:w="2260" w:type="dxa"/>
            <w:vAlign w:val="bottom"/>
            <w:gridSpan w:val="2"/>
          </w:tcPr>
          <w:p>
            <w:pPr>
              <w:jc w:val="center"/>
              <w:ind w:left="94"/>
              <w:spacing w:after="0"/>
              <w:rPr>
                <w:sz w:val="20"/>
                <w:szCs w:val="20"/>
                <w:color w:val="auto"/>
              </w:rPr>
            </w:pPr>
            <w:r>
              <w:rPr>
                <w:rFonts w:ascii="Arial" w:cs="Arial" w:eastAsia="Arial" w:hAnsi="Arial"/>
                <w:sz w:val="18"/>
                <w:szCs w:val="18"/>
                <w:color w:val="auto"/>
                <w:w w:val="92"/>
              </w:rPr>
              <w:t>626,316</w:t>
            </w:r>
          </w:p>
        </w:tc>
      </w:tr>
      <w:tr>
        <w:trPr>
          <w:trHeight w:val="216"/>
        </w:trPr>
        <w:tc>
          <w:tcPr>
            <w:tcW w:w="6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22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2"/>
              </w:rPr>
              <w:t>515,789</w:t>
            </w:r>
          </w:p>
        </w:tc>
      </w:tr>
      <w:tr>
        <w:trPr>
          <w:trHeight w:val="216"/>
        </w:trPr>
        <w:tc>
          <w:tcPr>
            <w:tcW w:w="6660" w:type="dxa"/>
            <w:vAlign w:val="bottom"/>
          </w:tcPr>
          <w:p>
            <w:pPr>
              <w:jc w:val="center"/>
              <w:spacing w:after="0"/>
              <w:rPr>
                <w:sz w:val="20"/>
                <w:szCs w:val="20"/>
                <w:color w:val="auto"/>
              </w:rPr>
            </w:pPr>
            <w:r>
              <w:rPr>
                <w:rFonts w:ascii="Arial" w:cs="Arial" w:eastAsia="Arial" w:hAnsi="Arial"/>
                <w:sz w:val="18"/>
                <w:szCs w:val="18"/>
                <w:color w:val="auto"/>
                <w:w w:val="88"/>
              </w:rPr>
              <w:t>$9.00</w:t>
            </w:r>
          </w:p>
        </w:tc>
        <w:tc>
          <w:tcPr>
            <w:tcW w:w="2260" w:type="dxa"/>
            <w:vAlign w:val="bottom"/>
            <w:gridSpan w:val="2"/>
          </w:tcPr>
          <w:p>
            <w:pPr>
              <w:jc w:val="center"/>
              <w:ind w:left="94"/>
              <w:spacing w:after="0"/>
              <w:rPr>
                <w:sz w:val="20"/>
                <w:szCs w:val="20"/>
                <w:color w:val="auto"/>
              </w:rPr>
            </w:pPr>
            <w:r>
              <w:rPr>
                <w:rFonts w:ascii="Arial" w:cs="Arial" w:eastAsia="Arial" w:hAnsi="Arial"/>
                <w:sz w:val="18"/>
                <w:szCs w:val="18"/>
                <w:color w:val="auto"/>
                <w:w w:val="92"/>
              </w:rPr>
              <w:t>405,263</w:t>
            </w:r>
          </w:p>
        </w:tc>
      </w:tr>
      <w:tr>
        <w:trPr>
          <w:trHeight w:val="216"/>
        </w:trPr>
        <w:tc>
          <w:tcPr>
            <w:tcW w:w="6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w:t>
            </w:r>
          </w:p>
        </w:tc>
        <w:tc>
          <w:tcPr>
            <w:tcW w:w="22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2"/>
              </w:rPr>
              <w:t>294,737</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is guaranteed, of which $0.01 million was paid to Mr. Haran upon execution of the Haran Employment Agreement and $0.03 million is payable on or before June 30, 2019, and (ii) for 2020, $0.03 million of Mr. Haran’s bonus is guaranteed and payable on or before June 30, 2020, in each case, as long as Mr. Haran remains employed by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Pursuant to the Haran Employment Agreement, Mr. Haran was granted an option to purchase up to 552,632 shares of the Company’s common stock at an exercise price of $1.70 per share. The option is exercisable until February 28, 2029 and shall vest, subject to Mr. Haran remaining employed with the Company and based upon the Company’s common stock achieving target prices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ind w:left="2920"/>
              <w:spacing w:after="0"/>
              <w:rPr>
                <w:sz w:val="20"/>
                <w:szCs w:val="20"/>
                <w:color w:val="auto"/>
              </w:rPr>
            </w:pPr>
            <w:r>
              <w:rPr>
                <w:rFonts w:ascii="Arial" w:cs="Arial" w:eastAsia="Arial" w:hAnsi="Arial"/>
                <w:sz w:val="14"/>
                <w:szCs w:val="14"/>
                <w:b w:val="1"/>
                <w:bCs w:val="1"/>
                <w:color w:val="auto"/>
              </w:rPr>
              <w:t>Target Prices</w:t>
            </w:r>
          </w:p>
        </w:tc>
        <w:tc>
          <w:tcPr>
            <w:tcW w:w="2260" w:type="dxa"/>
            <w:vAlign w:val="bottom"/>
            <w:gridSpan w:val="2"/>
          </w:tcPr>
          <w:p>
            <w:pPr>
              <w:ind w:left="200"/>
              <w:spacing w:after="0"/>
              <w:rPr>
                <w:sz w:val="20"/>
                <w:szCs w:val="20"/>
                <w:color w:val="auto"/>
              </w:rPr>
            </w:pPr>
            <w:r>
              <w:rPr>
                <w:rFonts w:ascii="Arial" w:cs="Arial" w:eastAsia="Arial" w:hAnsi="Arial"/>
                <w:sz w:val="14"/>
                <w:szCs w:val="14"/>
                <w:b w:val="1"/>
                <w:bCs w:val="1"/>
                <w:color w:val="auto"/>
                <w:w w:val="91"/>
              </w:rPr>
              <w:t>Number of Option Shares Vesting</w:t>
            </w:r>
          </w:p>
        </w:tc>
      </w:tr>
      <w:tr>
        <w:trPr>
          <w:trHeight w:val="209"/>
        </w:trPr>
        <w:tc>
          <w:tcPr>
            <w:tcW w:w="6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$3.00</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157,895</w:t>
            </w:r>
          </w:p>
        </w:tc>
      </w:tr>
      <w:tr>
        <w:trPr>
          <w:trHeight w:val="216"/>
        </w:trPr>
        <w:tc>
          <w:tcPr>
            <w:tcW w:w="666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226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134,211</w:t>
            </w:r>
          </w:p>
        </w:tc>
      </w:tr>
      <w:tr>
        <w:trPr>
          <w:trHeight w:val="216"/>
        </w:trPr>
        <w:tc>
          <w:tcPr>
            <w:tcW w:w="6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$7.00</w:t>
            </w:r>
          </w:p>
        </w:tc>
        <w:tc>
          <w:tcPr>
            <w:tcW w:w="226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89"/>
              </w:rPr>
              <w:t>110,526</w:t>
            </w:r>
          </w:p>
        </w:tc>
      </w:tr>
      <w:tr>
        <w:trPr>
          <w:trHeight w:val="216"/>
        </w:trPr>
        <w:tc>
          <w:tcPr>
            <w:tcW w:w="6660" w:type="dxa"/>
            <w:vAlign w:val="bottom"/>
          </w:tcPr>
          <w:p>
            <w:pPr>
              <w:jc w:val="center"/>
              <w:spacing w:after="0"/>
              <w:rPr>
                <w:sz w:val="20"/>
                <w:szCs w:val="20"/>
                <w:color w:val="auto"/>
              </w:rPr>
            </w:pPr>
            <w:r>
              <w:rPr>
                <w:rFonts w:ascii="Arial" w:cs="Arial" w:eastAsia="Arial" w:hAnsi="Arial"/>
                <w:sz w:val="18"/>
                <w:szCs w:val="18"/>
                <w:color w:val="auto"/>
                <w:w w:val="93"/>
              </w:rPr>
              <w:t>$9.00</w:t>
            </w:r>
          </w:p>
        </w:tc>
        <w:tc>
          <w:tcPr>
            <w:tcW w:w="2260" w:type="dxa"/>
            <w:vAlign w:val="bottom"/>
            <w:gridSpan w:val="2"/>
          </w:tcPr>
          <w:p>
            <w:pPr>
              <w:jc w:val="center"/>
              <w:ind w:left="114"/>
              <w:spacing w:after="0"/>
              <w:rPr>
                <w:sz w:val="20"/>
                <w:szCs w:val="20"/>
                <w:color w:val="auto"/>
              </w:rPr>
            </w:pPr>
            <w:r>
              <w:rPr>
                <w:rFonts w:ascii="Arial" w:cs="Arial" w:eastAsia="Arial" w:hAnsi="Arial"/>
                <w:sz w:val="18"/>
                <w:szCs w:val="18"/>
                <w:color w:val="auto"/>
                <w:w w:val="90"/>
              </w:rPr>
              <w:t>86,842</w:t>
            </w:r>
          </w:p>
        </w:tc>
      </w:tr>
      <w:tr>
        <w:trPr>
          <w:trHeight w:val="216"/>
        </w:trPr>
        <w:tc>
          <w:tcPr>
            <w:tcW w:w="6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$11.00</w:t>
            </w:r>
          </w:p>
        </w:tc>
        <w:tc>
          <w:tcPr>
            <w:tcW w:w="226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0"/>
              </w:rPr>
              <w:t>63,158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w:t>
      </w:r>
      <w:r>
        <w:rPr>
          <w:rFonts w:ascii="MS PGothic" w:cs="MS PGothic" w:eastAsia="MS PGothic" w:hAnsi="MS PGothic"/>
          <w:sz w:val="16"/>
          <w:szCs w:val="16"/>
          <w:color w:val="auto"/>
        </w:rPr>
        <w:t>‑</w:t>
      </w:r>
      <w:r>
        <w:rPr>
          <w:rFonts w:ascii="Arial" w:cs="Arial" w:eastAsia="Arial" w:hAnsi="Arial"/>
          <w:sz w:val="16"/>
          <w:szCs w:val="16"/>
          <w:color w:val="auto"/>
        </w:rPr>
        <w:t>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Giuseppe Falco</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On February 27, 2019, and effective January 1, 2019, the Company entered into a two-year employment agreement with Giuseppe Falco for him to serve as President and Chief Merchant of the Company’s Interactive Technology business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Company’s Creative Director, referred to as the Falco Employment Agreement. Following the initial two-year term, the agreement will be automatically renewed for an additional one-year term, unless either party gives written notice of intent to terminate at least 30 days prior to the expiration of the then current term. Under the Falco Employment Agreement, Mr. Falco’s base salary is $0.55 million per annum.</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i w:val="1"/>
          <w:iCs w:val="1"/>
          <w:color w:val="auto"/>
        </w:rPr>
        <w:t>Cash Bonus and Stock Bonus</w:t>
      </w:r>
      <w:r>
        <w:rPr>
          <w:rFonts w:ascii="Arial" w:cs="Arial" w:eastAsia="Arial" w:hAnsi="Arial"/>
          <w:sz w:val="18"/>
          <w:szCs w:val="18"/>
          <w:color w:val="auto"/>
        </w:rPr>
        <w:t>. Mr. Falco will be eligible to receive a performance cash bonus in an amount up to $0.4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per annum and a performance stock bonus with a value of up to $0.09 million per annum based upon the Company receiving </w:t>
      </w:r>
      <w:r>
        <w:rPr>
          <w:rFonts w:ascii="Arial" w:cs="Arial" w:eastAsia="Arial" w:hAnsi="Arial"/>
          <w:sz w:val="18"/>
          <w:szCs w:val="18"/>
          <w:i w:val="1"/>
          <w:iCs w:val="1"/>
          <w:color w:val="auto"/>
        </w:rPr>
        <w:t>Gross DRT Sales</w:t>
      </w:r>
      <w:r>
        <w:rPr>
          <w:rFonts w:ascii="Arial" w:cs="Arial" w:eastAsia="Arial" w:hAnsi="Arial"/>
          <w:sz w:val="18"/>
          <w:szCs w:val="18"/>
          <w:color w:val="auto"/>
        </w:rPr>
        <w:t xml:space="preserve"> as follows: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582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2019 Gross DRT Sales Level</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Cash Bonus</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 of Stock Bonus</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$242,500- $250,000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w w:val="90"/>
              </w:rPr>
              <w:t>$250,000 - $257,500</w:t>
            </w:r>
          </w:p>
        </w:tc>
        <w:tc>
          <w:tcPr>
            <w:tcW w:w="200" w:type="dxa"/>
            <w:vAlign w:val="bottom"/>
          </w:tcPr>
          <w:p>
            <w:pPr>
              <w:spacing w:after="0"/>
              <w:rPr>
                <w:sz w:val="18"/>
                <w:szCs w:val="18"/>
                <w:color w:val="auto"/>
              </w:rPr>
            </w:pP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180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$257,500 - $265,000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30"/>
        </w:trPr>
        <w:tc>
          <w:tcPr>
            <w:tcW w:w="5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$265,000 or more</w:t>
            </w: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360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90</w:t>
            </w:r>
          </w:p>
        </w:tc>
      </w:tr>
    </w:tbl>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Gross DRT Sale Level targets for 2020 shall be established by the Compensation Committee of the Company’s Board of Directors.</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Gross DRT Sales</w:t>
      </w:r>
      <w:r>
        <w:rPr>
          <w:rFonts w:ascii="Arial" w:cs="Arial" w:eastAsia="Arial" w:hAnsi="Arial"/>
          <w:sz w:val="18"/>
          <w:szCs w:val="18"/>
          <w:color w:val="auto"/>
        </w:rPr>
        <w:t>” means gross sales generated by the Company’s trademarks through any program transmitted by television, on QVC, HSN (including their e-commerce businesses known as Buy Any Time), or similar interactive television networks globally.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six months, payable on the six 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six months from the termination date.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six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40" w:right="59"/>
        <w:spacing w:after="0" w:line="217" w:lineRule="exact"/>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w:t>
      </w:r>
      <w:r>
        <w:rPr>
          <w:rFonts w:ascii="MS PGothic" w:cs="MS PGothic" w:eastAsia="MS PGothic" w:hAnsi="MS PGothic"/>
          <w:sz w:val="16"/>
          <w:szCs w:val="16"/>
          <w:color w:val="auto"/>
        </w:rPr>
        <w:t>‑</w:t>
      </w:r>
      <w:r>
        <w:rPr>
          <w:rFonts w:ascii="Arial" w:cs="Arial" w:eastAsia="Arial" w:hAnsi="Arial"/>
          <w:sz w:val="16"/>
          <w:szCs w:val="16"/>
          <w:color w:val="auto"/>
        </w:rPr>
        <w:t>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board has determined that Messrs. Howard Liebman, Mark DiSanto, James Fielding, Michael R. Francis,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7"/>
          <w:szCs w:val="17"/>
          <w:color w:val="auto"/>
        </w:rPr>
        <w:t>To our knowledge, based solely on a review of Forms 3 and 4 and any amendments thereto furnished to our Company pursuant to Rule 16a</w:t>
      </w:r>
      <w:r>
        <w:rPr>
          <w:rFonts w:ascii="MS PGothic" w:cs="MS PGothic" w:eastAsia="MS PGothic" w:hAnsi="MS PGothic"/>
          <w:sz w:val="17"/>
          <w:szCs w:val="17"/>
          <w:color w:val="auto"/>
        </w:rPr>
        <w:t>‑</w:t>
      </w:r>
      <w:r>
        <w:rPr>
          <w:rFonts w:ascii="Arial" w:cs="Arial" w:eastAsia="Arial" w:hAnsi="Arial"/>
          <w:sz w:val="17"/>
          <w:szCs w:val="17"/>
          <w:color w:val="auto"/>
        </w:rPr>
        <w:t>3(e) under the Securities Exchange Act of 1934, or representations that no Forms 5 were required, all Section 16(a) filing requirements applicable to our officers, directors, and beneficial owners of more than 10% of our equity securities were timely filed, except that each of Messrs. DiSanto, Fielding, Francis, Liebman and Malka, Ms. Weinswig, and Mr. Mizrahi, a 10% holder of our securities, filed one Form 4 late.</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public accounting firm, reviews the independence of the independent registered public accounting firm, considers the range of audit and non-audit fees and reviews the adequacy of internal accounting controls.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6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The following table sets forth information regarding all cash and non-cash compensation earned, during the years ended December 31, 2019 and 2018, by our principal executive officer and our two other most highly compensated executive officers, which we refer to collectively as the named executive officers, for services in all capacities to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Title</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Year</w:t>
            </w: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Compensation</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CEO and</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Robert W. D’Loren</w:t>
            </w: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Chairman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888,500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939,066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$ 1,836,313</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960,878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1,860,887</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James F. Haran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CFO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426,587</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416,798</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6"/>
              </w:rPr>
              <w:t>President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Giuseppe Falco</w:t>
            </w: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and COO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756,250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108"/>
        </w:trPr>
        <w:tc>
          <w:tcPr>
            <w:tcW w:w="1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79" w:hanging="316"/>
        <w:spacing w:after="0" w:line="277"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Bonuses were paid in accordance with the executives’ respective employment agreements. See “Employment Agreements with Executives” in Item 10.</w:t>
      </w:r>
    </w:p>
    <w:p>
      <w:pPr>
        <w:spacing w:after="0" w:line="170" w:lineRule="exact"/>
        <w:rPr>
          <w:rFonts w:ascii="Arial" w:cs="Arial" w:eastAsia="Arial" w:hAnsi="Arial"/>
          <w:sz w:val="18"/>
          <w:szCs w:val="18"/>
          <w:color w:val="auto"/>
        </w:rPr>
      </w:pPr>
    </w:p>
    <w:p>
      <w:pPr>
        <w:ind w:left="360" w:right="79" w:hanging="316"/>
        <w:spacing w:after="0" w:line="277"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stock option awards granted during the applicable fiscal year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Options and Warrant Awards</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88"/>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Option or</w:t>
            </w: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87"/>
              </w:rPr>
              <w:t>Shares of</w:t>
            </w:r>
          </w:p>
        </w:tc>
        <w:tc>
          <w:tcPr>
            <w:tcW w:w="30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Options &amp;</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Options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Warrant</w:t>
            </w:r>
          </w:p>
        </w:tc>
        <w:tc>
          <w:tcPr>
            <w:tcW w:w="92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300" w:type="dxa"/>
            <w:vAlign w:val="bottom"/>
          </w:tcPr>
          <w:p>
            <w:pPr>
              <w:spacing w:after="0"/>
              <w:rPr>
                <w:sz w:val="12"/>
                <w:szCs w:val="12"/>
                <w:color w:val="auto"/>
              </w:rPr>
            </w:pPr>
          </w:p>
        </w:tc>
        <w:tc>
          <w:tcPr>
            <w:tcW w:w="134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2"/>
                <w:szCs w:val="12"/>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Title</w:t>
            </w:r>
          </w:p>
        </w:tc>
        <w:tc>
          <w:tcPr>
            <w:tcW w:w="140" w:type="dxa"/>
            <w:vAlign w:val="bottom"/>
          </w:tcPr>
          <w:p>
            <w:pPr>
              <w:spacing w:after="0"/>
              <w:rPr>
                <w:sz w:val="12"/>
                <w:szCs w:val="12"/>
                <w:color w:val="auto"/>
              </w:rPr>
            </w:pPr>
          </w:p>
        </w:tc>
        <w:tc>
          <w:tcPr>
            <w:tcW w:w="98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Warrants,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134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2"/>
              </w:rPr>
              <w:t>Exercisable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1340" w:type="dxa"/>
            <w:vAlign w:val="bottom"/>
          </w:tcPr>
          <w:p>
            <w:pPr>
              <w:jc w:val="center"/>
              <w:ind w:right="228"/>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23"/>
        </w:trPr>
        <w:tc>
          <w:tcPr>
            <w:tcW w:w="1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center"/>
              <w:ind w:right="20"/>
              <w:spacing w:after="0" w:line="123" w:lineRule="exact"/>
              <w:rPr>
                <w:sz w:val="20"/>
                <w:szCs w:val="20"/>
                <w:color w:val="auto"/>
              </w:rPr>
            </w:pPr>
            <w:r>
              <w:rPr>
                <w:rFonts w:ascii="Arial" w:cs="Arial" w:eastAsia="Arial" w:hAnsi="Arial"/>
                <w:sz w:val="14"/>
                <w:szCs w:val="14"/>
                <w:color w:val="auto"/>
                <w:w w:val="93"/>
              </w:rPr>
              <w:t>CEO,</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Robert W. D’Loren</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Chairman</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239,250 (1)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9/29/2021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884,220 (2)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2,578,947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2/28/2029</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139,035 (4)</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208,553</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00" w:type="dxa"/>
            <w:vAlign w:val="bottom"/>
          </w:tcPr>
          <w:p>
            <w:pPr>
              <w:jc w:val="center"/>
              <w:spacing w:after="0" w:line="130" w:lineRule="exact"/>
              <w:rPr>
                <w:sz w:val="20"/>
                <w:szCs w:val="20"/>
                <w:color w:val="auto"/>
              </w:rPr>
            </w:pPr>
            <w:r>
              <w:rPr>
                <w:rFonts w:ascii="Arial" w:cs="Arial" w:eastAsia="Arial" w:hAnsi="Arial"/>
                <w:sz w:val="14"/>
                <w:szCs w:val="14"/>
                <w:color w:val="auto"/>
                <w:w w:val="88"/>
              </w:rPr>
              <w:t>James F. Haran</w:t>
            </w:r>
          </w:p>
        </w:tc>
        <w:tc>
          <w:tcPr>
            <w:tcW w:w="160" w:type="dxa"/>
            <w:vAlign w:val="bottom"/>
          </w:tcPr>
          <w:p>
            <w:pPr>
              <w:spacing w:after="0"/>
              <w:rPr>
                <w:sz w:val="11"/>
                <w:szCs w:val="11"/>
                <w:color w:val="auto"/>
              </w:rPr>
            </w:pPr>
          </w:p>
        </w:tc>
        <w:tc>
          <w:tcPr>
            <w:tcW w:w="70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4"/>
              </w:rPr>
              <w:t>CFO</w:t>
            </w:r>
          </w:p>
        </w:tc>
        <w:tc>
          <w:tcPr>
            <w:tcW w:w="140" w:type="dxa"/>
            <w:vAlign w:val="bottom"/>
          </w:tcPr>
          <w:p>
            <w:pPr>
              <w:spacing w:after="0"/>
              <w:rPr>
                <w:sz w:val="11"/>
                <w:szCs w:val="11"/>
                <w:color w:val="auto"/>
              </w:rPr>
            </w:pP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49,500 (1)</w:t>
            </w: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9/29/2021</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189,468 (2)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552,632</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2/28/2029</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President,</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Giuseppe Falco</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COO</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 (1)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9/29/2021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 (2)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Multiple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dates </w:t>
            </w:r>
            <w:r>
              <w:rPr>
                <w:rFonts w:ascii="Arial" w:cs="Arial" w:eastAsia="Arial" w:hAnsi="Arial"/>
                <w:sz w:val="14"/>
                <w:szCs w:val="14"/>
                <w:color w:val="auto"/>
                <w:vertAlign w:val="superscript"/>
              </w:rPr>
              <w:t>(6)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195,333 (5)</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293,000</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16"/>
        <w:spacing w:after="0"/>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options became exercisable on September 29, 2011, the date of grant, and expire on September 29, 2021.</w:t>
      </w:r>
    </w:p>
    <w:p>
      <w:pPr>
        <w:spacing w:after="0" w:line="236" w:lineRule="exact"/>
        <w:rPr>
          <w:rFonts w:ascii="Arial" w:cs="Arial" w:eastAsia="Arial" w:hAnsi="Arial"/>
          <w:sz w:val="17"/>
          <w:szCs w:val="17"/>
          <w:color w:val="auto"/>
        </w:rPr>
      </w:pPr>
    </w:p>
    <w:p>
      <w:pPr>
        <w:ind w:left="360" w:right="79" w:hanging="316"/>
        <w:spacing w:after="0" w:line="277"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become exercisable as to one-third of the shares on each of March 31, 2017, 2018, and 2019, and expire on March 31, 2021.</w:t>
      </w:r>
    </w:p>
    <w:p>
      <w:pPr>
        <w:spacing w:after="0" w:line="170" w:lineRule="exact"/>
        <w:rPr>
          <w:rFonts w:ascii="Arial" w:cs="Arial" w:eastAsia="Arial" w:hAnsi="Arial"/>
          <w:sz w:val="18"/>
          <w:szCs w:val="18"/>
          <w:color w:val="auto"/>
        </w:rPr>
      </w:pPr>
    </w:p>
    <w:p>
      <w:pPr>
        <w:jc w:val="both"/>
        <w:ind w:left="360" w:right="59" w:hanging="316"/>
        <w:spacing w:after="0" w:line="263"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shall become exercisable based upon the Company’s common stock achieving specified target prices as outlined in the executive’s employment agreement, and expire on February 28, 2029. See “Employment Agreements with Executives” in Item 10.</w:t>
      </w:r>
    </w:p>
    <w:p>
      <w:pPr>
        <w:spacing w:after="0" w:line="183" w:lineRule="exact"/>
        <w:rPr>
          <w:rFonts w:ascii="Arial" w:cs="Arial" w:eastAsia="Arial" w:hAnsi="Arial"/>
          <w:sz w:val="18"/>
          <w:szCs w:val="18"/>
          <w:color w:val="auto"/>
        </w:rPr>
      </w:pPr>
    </w:p>
    <w:p>
      <w:pPr>
        <w:jc w:val="both"/>
        <w:ind w:left="360" w:right="59" w:hanging="316"/>
        <w:spacing w:after="0" w:line="259"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shares vest (i) as to 36,843 shares of common stock, on March 31, 2020; (ii) as to 82,500 shares of common stock, on May 31, 2020; and (iii) as to 19,692 shares of common stock, on June 1, 2020; provided, however, that Mr. D’Loren has the right to extend each vesting date by six-month increments, in his sole discretion, prior to the date the restrictions would lapse.</w:t>
      </w:r>
    </w:p>
    <w:p>
      <w:pPr>
        <w:spacing w:after="0" w:line="186" w:lineRule="exact"/>
        <w:rPr>
          <w:rFonts w:ascii="Arial" w:cs="Arial" w:eastAsia="Arial" w:hAnsi="Arial"/>
          <w:sz w:val="18"/>
          <w:szCs w:val="18"/>
          <w:color w:val="auto"/>
        </w:rPr>
      </w:pPr>
    </w:p>
    <w:p>
      <w:pPr>
        <w:jc w:val="both"/>
        <w:ind w:left="360" w:right="59" w:hanging="316"/>
        <w:spacing w:after="0" w:line="279"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shares vest (i) as to 77,500 shares of common stock, on March 31, 2020; (ii) as to 37,500 shares of common stock, on May 15, 2020; (iii) as to 30,333 shares of common stock, on June 1, 2020; and (iv) as to 50,000 shares of common stock, on April 30, 2020; provided, however, that Mr. Falco has the right to extend each vesting date by six-month increments, in his sole discretion, prior to the date the restrictions would lapse.</w:t>
      </w:r>
    </w:p>
    <w:p>
      <w:pPr>
        <w:spacing w:after="0" w:line="171" w:lineRule="exact"/>
        <w:rPr>
          <w:rFonts w:ascii="Arial" w:cs="Arial" w:eastAsia="Arial" w:hAnsi="Arial"/>
          <w:sz w:val="17"/>
          <w:szCs w:val="17"/>
          <w:color w:val="auto"/>
        </w:rPr>
      </w:pPr>
    </w:p>
    <w:p>
      <w:pPr>
        <w:jc w:val="both"/>
        <w:ind w:left="360" w:right="59" w:hanging="316"/>
        <w:spacing w:after="0" w:line="286"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options became exercisable as to one-fifth of the shares on each of January 1, 2018 and January 1, 2019, and shall become exercisable as to an additional one-fifth of the shares on each of January 1, 2020, 2021 and 2022, and expire at the five-year anniversary of each vesting date for each individual one-fifth tranche.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The following table sets forth information with respect to each non-employee director’s compensation for the year ended December 31, 2019. The dollar amounts shown for Stock Awards represent the grant date fair value of the restricted stock awards or stock options granted during the fiscal year calculated in accordance with ASC Topic 718.</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or 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in Cash</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Awards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 DiSanto (1) (2)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48,994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Michael R. Francis (1)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17,000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7,994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36,994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Howard Liebman (1) (2)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17,000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52,994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Benjamin Malka (1) (2) (3)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17,000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7,994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30,994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Deborah Weinswig (1) (2)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17,000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42,994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James Fielding (1)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17,000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7,994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33,994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1" w:lineRule="exact"/>
        <w:rPr>
          <w:sz w:val="20"/>
          <w:szCs w:val="20"/>
          <w:color w:val="auto"/>
        </w:rPr>
      </w:pPr>
    </w:p>
    <w:p>
      <w:pPr>
        <w:jc w:val="both"/>
        <w:ind w:left="360" w:right="79" w:hanging="316"/>
        <w:spacing w:after="0" w:line="273"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April 1, 2019, each non-employee director was granted 10,000 shares of restricted stock pursuant to the terms and conditions of the Plan. Such shares of restricted stock will vest evenly over two years, whereby 50% shall vest on April 1, 2020 and 50% shall vest on April 1, 2021. Notwithstanding the foregoing, each grantee may extend the vesting date of all or a portion of the restricted shares by six months and, thereafter one or more times may further extend such date with respect to all or a portion of the restricted shares until the next following October 1 or April 1, as the case may be. The grant date fair value of the shares was $1.70 per share.</w:t>
      </w:r>
    </w:p>
    <w:p>
      <w:pPr>
        <w:spacing w:after="0" w:line="177" w:lineRule="exact"/>
        <w:rPr>
          <w:rFonts w:ascii="Arial" w:cs="Arial" w:eastAsia="Arial" w:hAnsi="Arial"/>
          <w:sz w:val="17"/>
          <w:szCs w:val="17"/>
          <w:color w:val="auto"/>
        </w:rPr>
      </w:pPr>
    </w:p>
    <w:p>
      <w:pPr>
        <w:jc w:val="both"/>
        <w:ind w:left="360" w:right="59" w:hanging="316"/>
        <w:spacing w:after="0" w:line="286"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April 1, 2019, each non-employee director was granted options to purchase 25,000 shares of stock pursuant to the terms and conditions of the Plan. Such options will vest evenly over two years, whereby 50% shall vest on April 1, 2020 and 50% shall vest on April 1, 2021. The exercise price of the options is $1.70 per share.</w:t>
      </w:r>
    </w:p>
    <w:p>
      <w:pPr>
        <w:spacing w:after="0" w:line="165" w:lineRule="exact"/>
        <w:rPr>
          <w:rFonts w:ascii="Arial" w:cs="Arial" w:eastAsia="Arial" w:hAnsi="Arial"/>
          <w:sz w:val="17"/>
          <w:szCs w:val="17"/>
          <w:color w:val="auto"/>
        </w:rPr>
      </w:pPr>
    </w:p>
    <w:p>
      <w:pPr>
        <w:jc w:val="both"/>
        <w:ind w:left="360" w:right="79" w:hanging="316"/>
        <w:spacing w:after="0" w:line="263"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Benjamin Malka did not stand for re-election at the Company’s 2019 Annual Stockholders Meeting, and thus his term as a director ended September 11, 2019. All unvested equity awards previously granted to Mr. Malka vested as of September 11,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64"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8"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time of payment, and all other terms and conditions of the awards. The maximum cash award that may be paid to any participant under the Plan during any calendar year shall not exceed $2,500,000.</w:t>
      </w:r>
    </w:p>
    <w:p>
      <w:pPr>
        <w:spacing w:after="0" w:line="170"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6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5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9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167"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7"/>
          <w:szCs w:val="17"/>
          <w:color w:val="auto"/>
        </w:rPr>
        <w:t>The following table lists, as of March 13, 2020, the number of shares of common stock beneficially owned by (i) each person or entity known to the Company to be the beneficial owner of more than 5% of the outstanding common stock;</w:t>
      </w:r>
    </w:p>
    <w:p>
      <w:pPr>
        <w:jc w:val="both"/>
        <w:ind w:left="40" w:right="59" w:firstLine="4"/>
        <w:spacing w:after="0" w:line="285" w:lineRule="auto"/>
        <w:tabs>
          <w:tab w:leader="none" w:pos="3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The percentages below are calculated based on 18,866,417 shares of common stock issued and outstanding as of March 30,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 Common</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W. D’Loren (1)</w:t>
            </w:r>
          </w:p>
        </w:tc>
        <w:tc>
          <w:tcPr>
            <w:tcW w:w="960" w:type="dxa"/>
            <w:vAlign w:val="bottom"/>
          </w:tcPr>
          <w:p>
            <w:pPr>
              <w:jc w:val="right"/>
              <w:spacing w:after="0"/>
              <w:rPr>
                <w:sz w:val="20"/>
                <w:szCs w:val="20"/>
                <w:color w:val="auto"/>
              </w:rPr>
            </w:pPr>
            <w:r>
              <w:rPr>
                <w:rFonts w:ascii="Arial" w:cs="Arial" w:eastAsia="Arial" w:hAnsi="Arial"/>
                <w:sz w:val="18"/>
                <w:szCs w:val="18"/>
                <w:color w:val="auto"/>
              </w:rPr>
              <w:t>9,376,462</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45.39 %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Haran (2)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Giuseppe Falco (3)</w:t>
            </w:r>
          </w:p>
        </w:tc>
        <w:tc>
          <w:tcPr>
            <w:tcW w:w="960" w:type="dxa"/>
            <w:vAlign w:val="bottom"/>
          </w:tcPr>
          <w:p>
            <w:pPr>
              <w:jc w:val="right"/>
              <w:spacing w:after="0"/>
              <w:rPr>
                <w:sz w:val="20"/>
                <w:szCs w:val="20"/>
                <w:color w:val="auto"/>
              </w:rPr>
            </w:pPr>
            <w:r>
              <w:rPr>
                <w:rFonts w:ascii="Arial" w:cs="Arial" w:eastAsia="Arial" w:hAnsi="Arial"/>
                <w:sz w:val="18"/>
                <w:szCs w:val="18"/>
                <w:color w:val="auto"/>
              </w:rPr>
              <w:t>853,912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Burroughs (4)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486,861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Howard Liebman (5)</w:t>
            </w:r>
          </w:p>
        </w:tc>
        <w:tc>
          <w:tcPr>
            <w:tcW w:w="960" w:type="dxa"/>
            <w:vAlign w:val="bottom"/>
          </w:tcPr>
          <w:p>
            <w:pPr>
              <w:jc w:val="right"/>
              <w:spacing w:after="0"/>
              <w:rPr>
                <w:sz w:val="20"/>
                <w:szCs w:val="20"/>
                <w:color w:val="auto"/>
              </w:rPr>
            </w:pPr>
            <w:r>
              <w:rPr>
                <w:rFonts w:ascii="Arial" w:cs="Arial" w:eastAsia="Arial" w:hAnsi="Arial"/>
                <w:sz w:val="18"/>
                <w:szCs w:val="18"/>
                <w:color w:val="auto"/>
              </w:rPr>
              <w:t>191,165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DiSanto (6)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1,465,756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Michael R. Francis (7)</w:t>
            </w:r>
          </w:p>
        </w:tc>
        <w:tc>
          <w:tcPr>
            <w:tcW w:w="960" w:type="dxa"/>
            <w:vAlign w:val="bottom"/>
          </w:tcPr>
          <w:p>
            <w:pPr>
              <w:jc w:val="right"/>
              <w:spacing w:after="0"/>
              <w:rPr>
                <w:sz w:val="20"/>
                <w:szCs w:val="20"/>
                <w:color w:val="auto"/>
              </w:rPr>
            </w:pPr>
            <w:r>
              <w:rPr>
                <w:rFonts w:ascii="Arial" w:cs="Arial" w:eastAsia="Arial" w:hAnsi="Arial"/>
                <w:sz w:val="18"/>
                <w:szCs w:val="18"/>
                <w:color w:val="auto"/>
              </w:rPr>
              <w:t>184,000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 (8)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James Fielding (9)</w:t>
            </w:r>
          </w:p>
        </w:tc>
        <w:tc>
          <w:tcPr>
            <w:tcW w:w="960" w:type="dxa"/>
            <w:vAlign w:val="bottom"/>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(9 persons)(10)</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13,077,617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Isaac Mizrahi (11)</w:t>
            </w:r>
          </w:p>
        </w:tc>
        <w:tc>
          <w:tcPr>
            <w:tcW w:w="960" w:type="dxa"/>
            <w:vAlign w:val="bottom"/>
          </w:tcPr>
          <w:p>
            <w:pPr>
              <w:jc w:val="right"/>
              <w:spacing w:after="0"/>
              <w:rPr>
                <w:sz w:val="20"/>
                <w:szCs w:val="20"/>
                <w:color w:val="auto"/>
              </w:rPr>
            </w:pPr>
            <w:r>
              <w:rPr>
                <w:rFonts w:ascii="Arial" w:cs="Arial" w:eastAsia="Arial" w:hAnsi="Arial"/>
                <w:sz w:val="18"/>
                <w:szCs w:val="18"/>
                <w:color w:val="auto"/>
              </w:rPr>
              <w:t>2,773,325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Buckingham Capital Management, Inc. (12)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485 Lexington Avenue, 3rd Floor, New York, NY 10017</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Hilco Trading, LLC (13)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5 Revere Drive, Suite 206, Northbrook, IL 60062</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Burch Acquisition LLC (14)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840 First Avenue, Suite 200, King of Prussia, PA 19406</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440" w:right="59" w:hanging="396"/>
        <w:spacing w:after="0" w:line="268"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(i) 1,043,763 shares held by Mr. D’Loren, (ii) 526,283 shares owned by Irrevocable Trust of Rose Dempsey (or the Irrevocable Trust) of which Mr. D’Loren and Mr. DiSanto are the trustees and as to which Mr. D’Loren has sole voting and dispositive power, (iii) 1,123,470 shares issuable upon exercise of immediately exercisable options and warrants, (iv) 139,035 restricted shares, (v) 2,473,325 shares of common stock (including 800,992 restricted shares) held in the name of Isaac Mizrahi, (vi) 299,139 shares of common stock (including 27,500 restricted shares) held in the name of Marisa Gardini, (vii) 777,778 shares of common stock held in the name of The H Company IP, LLC, (viii) 136,525 other shares of restricted stock and 2,190,477 other shares of common stock as to which holders thereof granted to Mr. D’Loren irrevocable proxy and attorney-in-fact with respect to the shares, and (viii) 666,667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326,671 shares held by the D’Loren Family Trust (or the Family Trust) of which Mark DiSanto is a trustee and has sole voting and dispositive power.</w:t>
      </w:r>
    </w:p>
    <w:p>
      <w:pPr>
        <w:spacing w:after="0" w:line="179" w:lineRule="exact"/>
        <w:rPr>
          <w:rFonts w:ascii="Arial" w:cs="Arial" w:eastAsia="Arial" w:hAnsi="Arial"/>
          <w:sz w:val="17"/>
          <w:szCs w:val="17"/>
          <w:color w:val="auto"/>
        </w:rPr>
      </w:pPr>
    </w:p>
    <w:p>
      <w:pPr>
        <w:ind w:left="440" w:hanging="396"/>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(i) 204,418 shares and (ii) immediately exercisable options and warrants to purchase 238,968 shares.</w:t>
      </w:r>
    </w:p>
    <w:p>
      <w:pPr>
        <w:spacing w:after="0" w:line="236" w:lineRule="exact"/>
        <w:rPr>
          <w:rFonts w:ascii="Arial" w:cs="Arial" w:eastAsia="Arial" w:hAnsi="Arial"/>
          <w:sz w:val="17"/>
          <w:szCs w:val="17"/>
          <w:color w:val="auto"/>
        </w:rPr>
      </w:pPr>
    </w:p>
    <w:p>
      <w:pPr>
        <w:jc w:val="both"/>
        <w:ind w:left="440" w:right="59" w:hanging="396"/>
        <w:spacing w:after="0" w:line="263"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 58,579 shares, (ii) 195,333 restricted shares, and (iii) 600,000 shares issuable upon exercise of immediately exercisable warrants and options. Giuseppe Falco, the President and Chief Operating Officer of the Mizrahi brands, is an executive officer but not a named executive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40" w:right="79" w:hanging="39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305,286 shares, (ii) 5,263 restricted shares, and (iii) immediately exercisable options and warrants to purchase 176,312 shares.</w:t>
      </w:r>
    </w:p>
    <w:p>
      <w:pPr>
        <w:spacing w:after="0" w:line="170" w:lineRule="exact"/>
        <w:rPr>
          <w:rFonts w:ascii="Arial" w:cs="Arial" w:eastAsia="Arial" w:hAnsi="Arial"/>
          <w:sz w:val="18"/>
          <w:szCs w:val="18"/>
          <w:color w:val="auto"/>
        </w:rPr>
      </w:pPr>
    </w:p>
    <w:p>
      <w:pPr>
        <w:ind w:left="440" w:right="79" w:hanging="39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36,165 shares, (ii) 30,000 restricted shares, and (iii) immediately exercisable options to purchase 125,000 shares.</w:t>
      </w:r>
    </w:p>
    <w:p>
      <w:pPr>
        <w:spacing w:after="0" w:line="170" w:lineRule="exact"/>
        <w:rPr>
          <w:rFonts w:ascii="Arial" w:cs="Arial" w:eastAsia="Arial" w:hAnsi="Arial"/>
          <w:sz w:val="18"/>
          <w:szCs w:val="18"/>
          <w:color w:val="auto"/>
        </w:rPr>
      </w:pPr>
    </w:p>
    <w:p>
      <w:pPr>
        <w:jc w:val="both"/>
        <w:ind w:left="440" w:right="79" w:hanging="396"/>
        <w:spacing w:after="0" w:line="273"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(i) 326,671 shares held by the D’Loren Family Trust, of which Mark DiSanto is trustee and has sole voting and dispositive power over the shares held by the D’Loren Family Trust, (ii) 856,548 shares held by Mark X. DiSanto Investment Trust, of which Mark DiSanto is trustee and has sole voting and dispositive power over the shares held by the Trust, (iii) 83,537 shares, (iv) 14,000 restricted shares, (v) 125,000 shares issuable upon exercise of warrants and options that have vested, and (vi) 60,000 shares held by other trusts, of which Mark DiSanto is trustee and has sole voting and dispositive power over the shares held by the trusts.</w:t>
      </w:r>
    </w:p>
    <w:p>
      <w:pPr>
        <w:spacing w:after="0" w:line="177" w:lineRule="exact"/>
        <w:rPr>
          <w:rFonts w:ascii="Arial" w:cs="Arial" w:eastAsia="Arial" w:hAnsi="Arial"/>
          <w:sz w:val="17"/>
          <w:szCs w:val="17"/>
          <w:color w:val="auto"/>
        </w:rPr>
      </w:pPr>
    </w:p>
    <w:p>
      <w:pPr>
        <w:ind w:left="440" w:right="79" w:hanging="39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 95,000 shares, (ii) 14,000 restricted shares and (iii) immediately exercisable options to purchase 75,000 shares.</w:t>
      </w:r>
    </w:p>
    <w:p>
      <w:pPr>
        <w:spacing w:after="0" w:line="170" w:lineRule="exact"/>
        <w:rPr>
          <w:rFonts w:ascii="Arial" w:cs="Arial" w:eastAsia="Arial" w:hAnsi="Arial"/>
          <w:sz w:val="18"/>
          <w:szCs w:val="18"/>
          <w:color w:val="auto"/>
        </w:rPr>
      </w:pPr>
    </w:p>
    <w:p>
      <w:pPr>
        <w:ind w:left="440" w:hanging="39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18,000 restricted shares and (ii) immediately exercisable options to purchase 25,000 shares.</w:t>
      </w:r>
    </w:p>
    <w:p>
      <w:pPr>
        <w:spacing w:after="0" w:line="225" w:lineRule="exact"/>
        <w:rPr>
          <w:rFonts w:ascii="Arial" w:cs="Arial" w:eastAsia="Arial" w:hAnsi="Arial"/>
          <w:sz w:val="18"/>
          <w:szCs w:val="18"/>
          <w:color w:val="auto"/>
        </w:rPr>
      </w:pPr>
    </w:p>
    <w:p>
      <w:pPr>
        <w:ind w:left="440" w:hanging="39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10,000 restricted shares and (ii) immediately exercisable options to purchase 12,500 shares.</w:t>
      </w:r>
    </w:p>
    <w:p>
      <w:pPr>
        <w:spacing w:after="0" w:line="225" w:lineRule="exact"/>
        <w:rPr>
          <w:rFonts w:ascii="Arial" w:cs="Arial" w:eastAsia="Arial" w:hAnsi="Arial"/>
          <w:sz w:val="18"/>
          <w:szCs w:val="18"/>
          <w:color w:val="auto"/>
        </w:rPr>
      </w:pPr>
    </w:p>
    <w:p>
      <w:pPr>
        <w:jc w:val="both"/>
        <w:ind w:left="440" w:right="59" w:hanging="396"/>
        <w:spacing w:after="0" w:line="259"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 3,595,850 shares, (ii) 425,631 restricted shares, (iii) 438,750 shares issuable upon exercise of warrants that are currently exercisable, (iv) 2,175,000 shares issuable upon exercise of options that are currently exercisable, and (v) 6,442,386 other shares of common stock as to which holders thereof granted to Mr. D’Loren irrevocable proxy and attorney-in-fact with respect to the shares.</w:t>
      </w:r>
    </w:p>
    <w:p>
      <w:pPr>
        <w:spacing w:after="0" w:line="186" w:lineRule="exact"/>
        <w:rPr>
          <w:rFonts w:ascii="Arial" w:cs="Arial" w:eastAsia="Arial" w:hAnsi="Arial"/>
          <w:sz w:val="18"/>
          <w:szCs w:val="18"/>
          <w:color w:val="auto"/>
        </w:rPr>
      </w:pPr>
    </w:p>
    <w:p>
      <w:pPr>
        <w:ind w:left="440" w:right="79" w:hanging="39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1,672,333 shares, (ii) 800,992 restricted shares, and (iii) immediately exercisable options to purchase 300,000 shares.</w:t>
      </w:r>
    </w:p>
    <w:p>
      <w:pPr>
        <w:spacing w:after="0" w:line="170" w:lineRule="exact"/>
        <w:rPr>
          <w:rFonts w:ascii="Arial" w:cs="Arial" w:eastAsia="Arial" w:hAnsi="Arial"/>
          <w:sz w:val="18"/>
          <w:szCs w:val="18"/>
          <w:color w:val="auto"/>
        </w:rPr>
      </w:pPr>
    </w:p>
    <w:p>
      <w:pPr>
        <w:ind w:left="440" w:hanging="39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solely on a Schedule 13G/A filed on Feburary 13, 2019 by Buckingham Capital Management, Inc.</w:t>
      </w:r>
    </w:p>
    <w:p>
      <w:pPr>
        <w:spacing w:after="0" w:line="225" w:lineRule="exact"/>
        <w:rPr>
          <w:rFonts w:ascii="Arial" w:cs="Arial" w:eastAsia="Arial" w:hAnsi="Arial"/>
          <w:sz w:val="18"/>
          <w:szCs w:val="18"/>
          <w:color w:val="auto"/>
        </w:rPr>
      </w:pPr>
    </w:p>
    <w:p>
      <w:pPr>
        <w:jc w:val="both"/>
        <w:ind w:left="440" w:right="59" w:hanging="396"/>
        <w:spacing w:after="0" w:line="285"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H Company IP, LLC, or HIP, directly owns 1,777,778 shares of common stock, which we refer to as the H Company Shares. House of Halston, LLC, or HOH, is the parent company of HIP and may be deemed to share beneficial ownership of the H Company Shares by virtue of its ability to direct the business and investment decisions of HIP. The H Investment Company, LLC, or H Investment, in its capacity as the controlling member of HOH, has the ability to direct the investment decisions of HOH, including the power to direct the decisions of HOH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667,767 shares of our outstanding common stock, which we refer to as the Hilco Shares. By virtue of the relationship described above and its direct ownership of the Hilco Shares, Hilco Trading beneficially owns 2,445,545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2,445,545 shares of our common stock.</w:t>
      </w:r>
    </w:p>
    <w:p>
      <w:pPr>
        <w:spacing w:after="0" w:line="171" w:lineRule="exact"/>
        <w:rPr>
          <w:rFonts w:ascii="Arial" w:cs="Arial" w:eastAsia="Arial" w:hAnsi="Arial"/>
          <w:sz w:val="16"/>
          <w:szCs w:val="16"/>
          <w:color w:val="auto"/>
        </w:rPr>
      </w:pPr>
    </w:p>
    <w:p>
      <w:pPr>
        <w:ind w:left="440" w:hanging="39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Concurrent with the acquisition of the H Halston Brand on December 22, 2014, the Company and The H Company IP, LLC (“HIP”) entered into a license agreement (the “HIP License Agreement”), which was subsequently amended September 1, 2015. Benjamin Malka, who was a director of the Company from June 2014 through September 2019,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7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December 12, 2016, the Company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Through October 26, 2018, the Company operated under the following terms as an at-will license as set forth below:</w:t>
      </w:r>
    </w:p>
    <w:p>
      <w:pPr>
        <w:spacing w:after="0" w:line="237" w:lineRule="exact"/>
        <w:rPr>
          <w:sz w:val="20"/>
          <w:szCs w:val="20"/>
          <w:color w:val="auto"/>
        </w:rPr>
      </w:pPr>
    </w:p>
    <w:p>
      <w:pPr>
        <w:jc w:val="both"/>
        <w:ind w:left="700" w:right="59" w:hanging="332"/>
        <w:spacing w:after="0" w:line="268"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has an initial term that expires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84" w:lineRule="exact"/>
        <w:rPr>
          <w:rFonts w:ascii="Arial" w:cs="Arial" w:eastAsia="Arial" w:hAnsi="Arial"/>
          <w:sz w:val="17"/>
          <w:szCs w:val="17"/>
          <w:color w:val="auto"/>
        </w:rPr>
      </w:pPr>
    </w:p>
    <w:p>
      <w:pPr>
        <w:jc w:val="both"/>
        <w:ind w:left="700" w:right="59" w:hanging="332"/>
        <w:spacing w:after="0" w:line="287"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at-will HOC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72"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color w:val="auto"/>
        </w:rPr>
        <w:t>HOH has also entered into an arrangement with another licensee of the Company to supply Halston-branded apparel for the subsequent sale of such product to end customers. Under the Company’s separate pre-existing licensing agreements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place with the aforementioned other licensee and with HIP as described above, the Company earns royalties on the sales of such Halston-branded products.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addition, we entered into an arrangement with HOC whereby HOC pays us a license fee for branded products related to categories not included in the HOC license and supply agreement.</w:t>
      </w:r>
    </w:p>
    <w:p>
      <w:pPr>
        <w:spacing w:after="0" w:line="170"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Effective October 26, 2018, the Company and HOH terminated the HIP License Agreement including all amendments and the HIP Sublicense Agreement. In addition, the at-will license has been terminated and no longer in effect.</w:t>
      </w:r>
    </w:p>
    <w:p>
      <w:pPr>
        <w:spacing w:after="0" w:line="14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the years ended December 31, 2019 and 2018, the Company recorded approximately $0.0 million and $2.0 million of revenue from HOC, respectively. As of December 31, 2018, the Company had a receivable balance of approximately $1.5 million due from HOC, which was collected in 2019.</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February 11, 2019 (the “Closing Date”), the Company acquired the Halston Heritage Brands from HIP, a wholly-owned subsidiary of HOH.</w:t>
      </w:r>
    </w:p>
    <w:p>
      <w:pPr>
        <w:spacing w:after="0" w:line="170" w:lineRule="exact"/>
        <w:rPr>
          <w:sz w:val="20"/>
          <w:szCs w:val="20"/>
          <w:color w:val="auto"/>
        </w:rPr>
      </w:pPr>
    </w:p>
    <w:p>
      <w:pPr>
        <w:jc w:val="both"/>
        <w:ind w:left="40" w:right="59"/>
        <w:spacing w:after="0" w:line="284" w:lineRule="auto"/>
        <w:rPr>
          <w:sz w:val="20"/>
          <w:szCs w:val="20"/>
          <w:color w:val="auto"/>
        </w:rPr>
      </w:pPr>
      <w:r>
        <w:rPr>
          <w:rFonts w:ascii="Arial" w:cs="Arial" w:eastAsia="Arial" w:hAnsi="Arial"/>
          <w:sz w:val="16"/>
          <w:szCs w:val="16"/>
          <w:color w:val="auto"/>
        </w:rPr>
        <w:t>Pursuant to the Agreement, at closing, the Company delivered to HIP or its designees (collectively the “Sellers” an aggregate of $8.4 million in cash. In addition, Xcel agreed to issue to the HIP 777,778 shares of the Company’s common stock (the “Xcel Shares”), subject to a voting agreement and a lock-up agreement relating to the Xcel Shares and a consent and waiver agreement each in from satisfactory to Xcel within three months from the date of the Agreement. In the event such agreements are not executed and delivered to Xcel, the Xcel Shares shall be forfeited. In addition to the closing considerations, HIP will be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cash or of common stock of Xcel Shares (the “Earn-Out Shares”) at the Sellers’ option);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the Seller;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$.17 million and $0.08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2019 and December 31, 2018 were approximately $319,000 and $301,000,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There were approximately $11,000 of fees billed by our Independent Registered Public Accounting Firm for audit-related services for the fiscal year ended December 31, 2018. There were no such fees billed by our Independent Registered Public Accounting Firm for the year ended December 31,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2019 and 2018.</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There were no fees billed for non-audit services by our Independent Registered Public Accounting Firm for the fiscal years ended December 31, 2019 and 2018.</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Policy on Audit Committee Pre-Approval of Audit and Permissible Non-Audit Services of Independent Auditor</w:t>
      </w:r>
    </w:p>
    <w:p>
      <w:pPr>
        <w:spacing w:after="0" w:line="23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200" w:type="dxa"/>
            <w:vAlign w:val="bottom"/>
          </w:tcPr>
          <w:p>
            <w:pPr>
              <w:spacing w:after="0"/>
              <w:rPr>
                <w:sz w:val="20"/>
                <w:szCs w:val="20"/>
                <w:color w:val="auto"/>
              </w:rPr>
            </w:pPr>
          </w:p>
        </w:tc>
        <w:tc>
          <w:tcPr>
            <w:tcW w:w="7760" w:type="dxa"/>
            <w:vAlign w:val="bottom"/>
            <w:gridSpan w:val="15"/>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11"/>
          </w:tcPr>
          <w:p>
            <w:pPr>
              <w:ind w:left="520"/>
              <w:spacing w:after="0"/>
              <w:rPr>
                <w:sz w:val="20"/>
                <w:szCs w:val="20"/>
                <w:color w:val="auto"/>
              </w:rPr>
            </w:pPr>
            <w:r>
              <w:rPr>
                <w:rFonts w:ascii="Arial" w:cs="Arial" w:eastAsia="Arial" w:hAnsi="Arial"/>
                <w:sz w:val="18"/>
                <w:szCs w:val="18"/>
                <w:b w:val="1"/>
                <w:bCs w:val="1"/>
                <w:color w:val="auto"/>
              </w:rPr>
              <w:t>INDEX TO EXHIBITS</w:t>
            </w:r>
          </w:p>
        </w:tc>
      </w:tr>
      <w:tr>
        <w:trPr>
          <w:trHeight w:val="427"/>
        </w:trPr>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11"/>
          </w:tcPr>
          <w:p>
            <w:pPr>
              <w:ind w:left="156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2">
              <w:r>
                <w:rPr>
                  <w:rFonts w:ascii="Arial" w:cs="Arial" w:eastAsia="Arial" w:hAnsi="Arial"/>
                  <w:sz w:val="18"/>
                  <w:szCs w:val="18"/>
                  <w:u w:val="single" w:color="auto"/>
                  <w:color w:val="0000EE"/>
                </w:rPr>
                <w:t>Amended and Restated Certificate of Incorporation of Xcel Brands, Inc.</w:t>
              </w:r>
              <w:r>
                <w:rPr>
                  <w:rFonts w:ascii="Arial" w:cs="Arial" w:eastAsia="Arial" w:hAnsi="Arial"/>
                  <w:sz w:val="18"/>
                  <w:szCs w:val="18"/>
                  <w:color w:val="0000EE"/>
                </w:rPr>
                <w:t xml:space="preserve"> </w:t>
              </w:r>
            </w:hyperlink>
            <w:r>
              <w:rPr>
                <w:rFonts w:ascii="Arial" w:cs="Arial" w:eastAsia="Arial" w:hAnsi="Arial"/>
                <w:sz w:val="8"/>
                <w:szCs w:val="8"/>
                <w:color w:val="000000"/>
              </w:rPr>
              <w:t>(11)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3">
              <w:r>
                <w:rPr>
                  <w:rFonts w:ascii="Arial" w:cs="Arial" w:eastAsia="Arial" w:hAnsi="Arial"/>
                  <w:sz w:val="18"/>
                  <w:szCs w:val="18"/>
                  <w:u w:val="single" w:color="auto"/>
                  <w:color w:val="0000EE"/>
                </w:rPr>
                <w:t>Third Restated and Amended Bylaws of Xcel Brands, Inc.</w:t>
              </w:r>
              <w:r>
                <w:rPr>
                  <w:rFonts w:ascii="Arial" w:cs="Arial" w:eastAsia="Arial" w:hAnsi="Arial"/>
                  <w:sz w:val="18"/>
                  <w:szCs w:val="18"/>
                  <w:color w:val="0000EE"/>
                </w:rPr>
                <w:t xml:space="preserve"> </w:t>
              </w:r>
            </w:hyperlink>
            <w:r>
              <w:rPr>
                <w:rFonts w:ascii="Arial" w:cs="Arial" w:eastAsia="Arial" w:hAnsi="Arial"/>
                <w:sz w:val="8"/>
                <w:szCs w:val="8"/>
                <w:color w:val="000000"/>
              </w:rPr>
              <w:t>(12)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4">
              <w:r>
                <w:rPr>
                  <w:rFonts w:ascii="Arial" w:cs="Arial" w:eastAsia="Arial" w:hAnsi="Arial"/>
                  <w:sz w:val="18"/>
                  <w:szCs w:val="18"/>
                  <w:u w:val="single" w:color="auto"/>
                  <w:color w:val="0000EE"/>
                </w:rPr>
                <w:t>Third Amended and Restated Equity Incentive Plan and Forms of Award Agreements</w:t>
              </w:r>
              <w:r>
                <w:rPr>
                  <w:rFonts w:ascii="Arial" w:cs="Arial" w:eastAsia="Arial" w:hAnsi="Arial"/>
                  <w:sz w:val="18"/>
                  <w:szCs w:val="18"/>
                  <w:color w:val="0000EE"/>
                </w:rPr>
                <w:t xml:space="preserve"> </w:t>
              </w:r>
            </w:hyperlink>
            <w:r>
              <w:rPr>
                <w:rFonts w:ascii="Arial" w:cs="Arial" w:eastAsia="Arial" w:hAnsi="Arial"/>
                <w:sz w:val="8"/>
                <w:szCs w:val="8"/>
                <w:color w:val="000000"/>
              </w:rPr>
              <w:t>(14)</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5">
              <w:r>
                <w:rPr>
                  <w:rFonts w:ascii="Arial" w:cs="Arial" w:eastAsia="Arial" w:hAnsi="Arial"/>
                  <w:sz w:val="18"/>
                  <w:szCs w:val="18"/>
                  <w:u w:val="single" w:color="auto"/>
                  <w:color w:val="0000EE"/>
                </w:rPr>
                <w:t>Form of Executive Warrant</w:t>
              </w:r>
              <w:r>
                <w:rPr>
                  <w:rFonts w:ascii="Arial" w:cs="Arial" w:eastAsia="Arial" w:hAnsi="Arial"/>
                  <w:sz w:val="18"/>
                  <w:szCs w:val="18"/>
                  <w:color w:val="0000EE"/>
                </w:rPr>
                <w:t xml:space="preserve"> </w:t>
              </w:r>
            </w:hyperlink>
            <w:r>
              <w:rPr>
                <w:rFonts w:ascii="Arial" w:cs="Arial" w:eastAsia="Arial" w:hAnsi="Arial"/>
                <w:sz w:val="8"/>
                <w:szCs w:val="8"/>
                <w:color w:val="000000"/>
              </w:rPr>
              <w:t>(1)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6">
              <w:r>
                <w:rPr>
                  <w:rFonts w:ascii="Arial" w:cs="Arial" w:eastAsia="Arial" w:hAnsi="Arial"/>
                  <w:sz w:val="18"/>
                  <w:szCs w:val="18"/>
                  <w:u w:val="single" w:color="auto"/>
                  <w:color w:val="0000EE"/>
                </w:rPr>
                <w:t>Warrant issued to Joe Falco dated September 29, 2011</w:t>
              </w:r>
              <w:r>
                <w:rPr>
                  <w:rFonts w:ascii="Arial" w:cs="Arial" w:eastAsia="Arial" w:hAnsi="Arial"/>
                  <w:sz w:val="18"/>
                  <w:szCs w:val="18"/>
                  <w:color w:val="0000EE"/>
                </w:rPr>
                <w:t xml:space="preserve"> </w:t>
              </w:r>
            </w:hyperlink>
            <w:r>
              <w:rPr>
                <w:rFonts w:ascii="Arial" w:cs="Arial" w:eastAsia="Arial" w:hAnsi="Arial"/>
                <w:sz w:val="8"/>
                <w:szCs w:val="8"/>
                <w:color w:val="000000"/>
              </w:rPr>
              <w:t>(1)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w:anchor="page107">
              <w:r>
                <w:rPr>
                  <w:rFonts w:ascii="Arial" w:cs="Arial" w:eastAsia="Arial" w:hAnsi="Arial"/>
                  <w:sz w:val="18"/>
                  <w:szCs w:val="18"/>
                  <w:u w:val="single" w:color="auto"/>
                  <w:color w:val="0000EE"/>
                </w:rPr>
                <w:t>Description of Registrant’s Securities</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Voting Agreement between Xcel Brands, Inc. and IM Ready-Made, LLC, dated as</w:t>
              </w:r>
            </w:hyperlink>
          </w:p>
        </w:tc>
        <w:tc>
          <w:tcPr>
            <w:tcW w:w="12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 xml:space="preserve">of December 24, 2013 </w:t>
              </w:r>
              <w:r>
                <w:rPr>
                  <w:rFonts w:ascii="Arial" w:cs="Arial" w:eastAsia="Arial" w:hAnsi="Arial"/>
                  <w:sz w:val="8"/>
                  <w:szCs w:val="8"/>
                  <w:color w:val="000000"/>
                </w:rPr>
                <w:t>(5)</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18">
              <w:r>
                <w:rPr>
                  <w:rFonts w:ascii="Arial" w:cs="Arial" w:eastAsia="Arial" w:hAnsi="Arial"/>
                  <w:sz w:val="18"/>
                  <w:szCs w:val="18"/>
                  <w:u w:val="single" w:color="auto"/>
                  <w:color w:val="0000EE"/>
                </w:rPr>
                <w:t>Voting Agreement between Xcel Brands, Inc. and Judith Ripka Berk, dated as of April 3, 2014</w:t>
              </w:r>
              <w:r>
                <w:rPr>
                  <w:rFonts w:ascii="Arial" w:cs="Arial" w:eastAsia="Arial" w:hAnsi="Arial"/>
                  <w:sz w:val="18"/>
                  <w:szCs w:val="18"/>
                  <w:color w:val="0000EE"/>
                </w:rPr>
                <w:t xml:space="preserve"> </w:t>
              </w:r>
            </w:hyperlink>
            <w:r>
              <w:rPr>
                <w:rFonts w:ascii="Arial" w:cs="Arial" w:eastAsia="Arial" w:hAnsi="Arial"/>
                <w:sz w:val="8"/>
                <w:szCs w:val="8"/>
                <w:color w:val="000000"/>
              </w:rPr>
              <w:t>(7)</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Voting Agreement dated as of December 22, 2014 by and between Xcel Brands, Inc. and H Company IP,</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 xml:space="preserve">LLC </w:t>
              </w:r>
              <w:r>
                <w:rPr>
                  <w:rFonts w:ascii="Arial" w:cs="Arial" w:eastAsia="Arial" w:hAnsi="Arial"/>
                  <w:sz w:val="8"/>
                  <w:szCs w:val="8"/>
                  <w:color w:val="000000"/>
                </w:rPr>
                <w:t>(8)</w:t>
              </w:r>
            </w:hyperlink>
          </w:p>
        </w:tc>
        <w:tc>
          <w:tcPr>
            <w:tcW w:w="220" w:type="dxa"/>
            <w:vAlign w:val="bottom"/>
            <w:gridSpan w:val="3"/>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20">
              <w:r>
                <w:rPr>
                  <w:rFonts w:ascii="Arial" w:cs="Arial" w:eastAsia="Arial" w:hAnsi="Arial"/>
                  <w:sz w:val="18"/>
                  <w:szCs w:val="18"/>
                  <w:u w:val="single" w:color="auto"/>
                  <w:color w:val="0000EE"/>
                </w:rPr>
                <w:t>Form of Voting Agreement dated as of February 11, 2019</w:t>
              </w:r>
              <w:r>
                <w:rPr>
                  <w:rFonts w:ascii="Arial" w:cs="Arial" w:eastAsia="Arial" w:hAnsi="Arial"/>
                  <w:sz w:val="18"/>
                  <w:szCs w:val="18"/>
                  <w:color w:val="0000EE"/>
                </w:rPr>
                <w:t xml:space="preserve"> </w:t>
              </w:r>
            </w:hyperlink>
            <w:r>
              <w:rPr>
                <w:rFonts w:ascii="Arial" w:cs="Arial" w:eastAsia="Arial" w:hAnsi="Arial"/>
                <w:sz w:val="8"/>
                <w:szCs w:val="8"/>
                <w:color w:val="000000"/>
              </w:rPr>
              <w:t>(3)</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w w:val="96"/>
              </w:rPr>
            </w:pPr>
            <w:hyperlink r:id="rId121">
              <w:r>
                <w:rPr>
                  <w:rFonts w:ascii="Arial" w:cs="Arial" w:eastAsia="Arial" w:hAnsi="Arial"/>
                  <w:sz w:val="18"/>
                  <w:szCs w:val="18"/>
                  <w:color w:val="0000EE"/>
                  <w:w w:val="96"/>
                </w:rPr>
                <w:t>Asset Purchase Agreement by and among Xcel Brands, Inc., IM Brands, LLC, IM Ready-Made, LLC,</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Isaac Mizrahi and Marisa Gardini, dated as of May 19, 2011, as amended on July 28, 2011, as amended on</w:t>
              </w:r>
            </w:hyperlink>
          </w:p>
        </w:tc>
        <w:tc>
          <w:tcPr>
            <w:tcW w:w="80" w:type="dxa"/>
            <w:vAlign w:val="bottom"/>
          </w:tcPr>
          <w:p>
            <w:pPr>
              <w:spacing w:after="0"/>
              <w:rPr>
                <w:sz w:val="17"/>
                <w:szCs w:val="17"/>
                <w:color w:val="auto"/>
              </w:rPr>
            </w:pPr>
          </w:p>
        </w:tc>
      </w:tr>
      <w:tr>
        <w:trPr>
          <w:trHeight w:val="237"/>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15"/>
          </w:tcPr>
          <w:p>
            <w:pPr>
              <w:spacing w:after="0"/>
              <w:rPr>
                <w:rFonts w:ascii="Arial" w:cs="Arial" w:eastAsia="Arial" w:hAnsi="Arial"/>
                <w:sz w:val="18"/>
                <w:szCs w:val="18"/>
                <w:u w:val="single" w:color="auto"/>
                <w:color w:val="0000EE"/>
                <w:w w:val="94"/>
              </w:rPr>
            </w:pPr>
            <w:hyperlink r:id="rId121">
              <w:r>
                <w:rPr>
                  <w:rFonts w:ascii="Arial" w:cs="Arial" w:eastAsia="Arial" w:hAnsi="Arial"/>
                  <w:sz w:val="18"/>
                  <w:szCs w:val="18"/>
                  <w:u w:val="single" w:color="auto"/>
                  <w:color w:val="0000EE"/>
                  <w:w w:val="94"/>
                </w:rPr>
                <w:t xml:space="preserve">September 15, 2011, as amended on September 21, 2011, and as amended on September 29, 2011 </w:t>
              </w:r>
              <w:r>
                <w:rPr>
                  <w:rFonts w:ascii="Arial" w:cs="Arial" w:eastAsia="Arial" w:hAnsi="Arial"/>
                  <w:sz w:val="8"/>
                  <w:szCs w:val="8"/>
                  <w:u w:val="single" w:color="auto"/>
                  <w:color w:val="000000"/>
                  <w:w w:val="94"/>
                </w:rPr>
                <w:t>(1)</w:t>
              </w:r>
            </w:hyperlink>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w w:val="95"/>
              </w:rPr>
            </w:pPr>
            <w:hyperlink r:id="rId122">
              <w:r>
                <w:rPr>
                  <w:rFonts w:ascii="Arial" w:cs="Arial" w:eastAsia="Arial" w:hAnsi="Arial"/>
                  <w:sz w:val="18"/>
                  <w:szCs w:val="18"/>
                  <w:color w:val="0000EE"/>
                  <w:w w:val="95"/>
                </w:rPr>
                <w:t>Second Amended and Restated Agreement and Consent to Assignment by and among QVC, Inc., IM</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15"/>
          </w:tcPr>
          <w:p>
            <w:pPr>
              <w:spacing w:after="0"/>
              <w:rPr>
                <w:rFonts w:ascii="Arial" w:cs="Arial" w:eastAsia="Arial" w:hAnsi="Arial"/>
                <w:sz w:val="18"/>
                <w:szCs w:val="18"/>
                <w:color w:val="0000EE"/>
                <w:w w:val="95"/>
              </w:rPr>
            </w:pPr>
            <w:hyperlink r:id="rId122">
              <w:r>
                <w:rPr>
                  <w:rFonts w:ascii="Arial" w:cs="Arial" w:eastAsia="Arial" w:hAnsi="Arial"/>
                  <w:sz w:val="18"/>
                  <w:szCs w:val="18"/>
                  <w:u w:val="single" w:color="auto"/>
                  <w:color w:val="0000EE"/>
                  <w:w w:val="95"/>
                </w:rPr>
                <w:t>Brands, LLC, IM Ready-Made, LLC, Xcel Brands, Inc. and Isaac Mizrahi, dated September 28, 2011</w:t>
              </w:r>
              <w:r>
                <w:rPr>
                  <w:rFonts w:ascii="Arial" w:cs="Arial" w:eastAsia="Arial" w:hAnsi="Arial"/>
                  <w:sz w:val="18"/>
                  <w:szCs w:val="18"/>
                  <w:color w:val="0000EE"/>
                  <w:w w:val="95"/>
                </w:rPr>
                <w:t xml:space="preserve"> </w:t>
              </w:r>
            </w:hyperlink>
            <w:r>
              <w:rPr>
                <w:rFonts w:ascii="Arial" w:cs="Arial" w:eastAsia="Arial" w:hAnsi="Arial"/>
                <w:sz w:val="8"/>
                <w:szCs w:val="8"/>
                <w:color w:val="000000"/>
                <w:w w:val="95"/>
              </w:rPr>
              <w:t>(2)</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440" w:type="dxa"/>
            <w:vAlign w:val="bottom"/>
            <w:tcBorders>
              <w:bottom w:val="single" w:sz="8" w:color="0000EE"/>
            </w:tcBorders>
            <w:gridSpan w:val="10"/>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Assignment and Assumption, New York Landlord Consent by and among Adler Holdings III, LLC, IM</w:t>
              </w:r>
            </w:hyperlink>
          </w:p>
        </w:tc>
        <w:tc>
          <w:tcPr>
            <w:tcW w:w="32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Ready-Made, LLC and Xcel Brands, Inc., dated September 29, 2011, and Guaranty by IM Brands, Inc.,</w:t>
              </w:r>
            </w:hyperlink>
          </w:p>
        </w:tc>
        <w:tc>
          <w:tcPr>
            <w:tcW w:w="30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 xml:space="preserve">dated September 29, 2011 </w:t>
              </w:r>
              <w:r>
                <w:rPr>
                  <w:rFonts w:ascii="Arial" w:cs="Arial" w:eastAsia="Arial" w:hAnsi="Arial"/>
                  <w:sz w:val="8"/>
                  <w:szCs w:val="8"/>
                  <w:color w:val="000000"/>
                </w:rPr>
                <w:t>(1)</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24">
              <w:r>
                <w:rPr>
                  <w:rFonts w:ascii="Arial" w:cs="Arial" w:eastAsia="Arial" w:hAnsi="Arial"/>
                  <w:sz w:val="18"/>
                  <w:szCs w:val="18"/>
                  <w:u w:val="single" w:color="auto"/>
                  <w:color w:val="0000EE"/>
                </w:rPr>
                <w:t>Employment Agreement entered into with Isaac Mizrahi, dated February 24, 2020</w:t>
              </w:r>
              <w:r>
                <w:rPr>
                  <w:rFonts w:ascii="Arial" w:cs="Arial" w:eastAsia="Arial" w:hAnsi="Arial"/>
                  <w:sz w:val="18"/>
                  <w:szCs w:val="18"/>
                  <w:color w:val="0000EE"/>
                </w:rPr>
                <w:t xml:space="preserve"> </w:t>
              </w:r>
            </w:hyperlink>
            <w:r>
              <w:rPr>
                <w:rFonts w:ascii="Arial" w:cs="Arial" w:eastAsia="Arial" w:hAnsi="Arial"/>
                <w:sz w:val="8"/>
                <w:szCs w:val="8"/>
                <w:color w:val="000000"/>
              </w:rPr>
              <w:t>(9)</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7760" w:type="dxa"/>
            <w:vAlign w:val="bottom"/>
            <w:tcBorders>
              <w:bottom w:val="single" w:sz="8" w:color="0000EE"/>
            </w:tcBorders>
            <w:gridSpan w:val="15"/>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Amendment No. 1 to Second Amended and Restated Agreement and Consent to Assignment by and among</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QVC, Inc., IM Brands, LLC, IM Ready-Made, LLC, Xcel Brands, Inc. and Isaac Mizrahi, dated</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 xml:space="preserve">September 28, 2011 </w:t>
              </w:r>
              <w:r>
                <w:rPr>
                  <w:rFonts w:ascii="Arial" w:cs="Arial" w:eastAsia="Arial" w:hAnsi="Arial"/>
                  <w:sz w:val="8"/>
                  <w:szCs w:val="8"/>
                  <w:color w:val="000000"/>
                </w:rPr>
                <w:t>(4)</w:t>
              </w:r>
            </w:hyperlink>
          </w:p>
        </w:tc>
        <w:tc>
          <w:tcPr>
            <w:tcW w:w="840" w:type="dxa"/>
            <w:vAlign w:val="bottom"/>
            <w:gridSpan w:val="8"/>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26">
              <w:r>
                <w:rPr>
                  <w:rFonts w:ascii="Arial" w:cs="Arial" w:eastAsia="Arial" w:hAnsi="Arial"/>
                  <w:sz w:val="18"/>
                  <w:szCs w:val="18"/>
                  <w:u w:val="single" w:color="auto"/>
                  <w:color w:val="0000EE"/>
                </w:rPr>
                <w:t>Employment Agreement between the Company and Robert D’Loren dated February 27, 2019</w:t>
              </w:r>
              <w:r>
                <w:rPr>
                  <w:rFonts w:ascii="Arial" w:cs="Arial" w:eastAsia="Arial" w:hAnsi="Arial"/>
                  <w:sz w:val="18"/>
                  <w:szCs w:val="18"/>
                  <w:color w:val="0000EE"/>
                </w:rPr>
                <w:t xml:space="preserve"> </w:t>
              </w:r>
            </w:hyperlink>
            <w:r>
              <w:rPr>
                <w:rFonts w:ascii="Arial" w:cs="Arial" w:eastAsia="Arial" w:hAnsi="Arial"/>
                <w:sz w:val="8"/>
                <w:szCs w:val="8"/>
                <w:color w:val="000000"/>
              </w:rPr>
              <w:t>(15)</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rPr>
            </w:pPr>
            <w:hyperlink r:id="rId127">
              <w:r>
                <w:rPr>
                  <w:rFonts w:ascii="Arial" w:cs="Arial" w:eastAsia="Arial" w:hAnsi="Arial"/>
                  <w:sz w:val="18"/>
                  <w:szCs w:val="18"/>
                  <w:u w:val="single" w:color="auto"/>
                  <w:color w:val="0000EE"/>
                </w:rPr>
                <w:t>Employment Agreement between the Company and James Haran dated February 27, 2019</w:t>
              </w:r>
              <w:r>
                <w:rPr>
                  <w:rFonts w:ascii="Arial" w:cs="Arial" w:eastAsia="Arial" w:hAnsi="Arial"/>
                  <w:sz w:val="18"/>
                  <w:szCs w:val="18"/>
                  <w:color w:val="0000EE"/>
                </w:rPr>
                <w:t xml:space="preserve"> </w:t>
              </w:r>
            </w:hyperlink>
            <w:r>
              <w:rPr>
                <w:rFonts w:ascii="Arial" w:cs="Arial" w:eastAsia="Arial" w:hAnsi="Arial"/>
                <w:sz w:val="8"/>
                <w:szCs w:val="8"/>
                <w:color w:val="000000"/>
              </w:rPr>
              <w:t>(15)</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7760" w:type="dxa"/>
            <w:vAlign w:val="bottom"/>
            <w:gridSpan w:val="15"/>
          </w:tcPr>
          <w:p>
            <w:pPr>
              <w:spacing w:after="0"/>
              <w:rPr>
                <w:rFonts w:ascii="Arial" w:cs="Arial" w:eastAsia="Arial" w:hAnsi="Arial"/>
                <w:sz w:val="18"/>
                <w:szCs w:val="18"/>
                <w:color w:val="0000EE"/>
                <w:w w:val="93"/>
              </w:rPr>
            </w:pPr>
            <w:hyperlink r:id="rId128">
              <w:r>
                <w:rPr>
                  <w:rFonts w:ascii="Arial" w:cs="Arial" w:eastAsia="Arial" w:hAnsi="Arial"/>
                  <w:sz w:val="18"/>
                  <w:szCs w:val="18"/>
                  <w:u w:val="single" w:color="auto"/>
                  <w:color w:val="0000EE"/>
                  <w:w w:val="93"/>
                </w:rPr>
                <w:t>Employment Agreement dated February 27, 2019 by and between the Company and Giuseppe Falco</w:t>
              </w:r>
              <w:r>
                <w:rPr>
                  <w:rFonts w:ascii="Arial" w:cs="Arial" w:eastAsia="Arial" w:hAnsi="Arial"/>
                  <w:sz w:val="18"/>
                  <w:szCs w:val="18"/>
                  <w:color w:val="0000EE"/>
                  <w:w w:val="93"/>
                </w:rPr>
                <w:t xml:space="preserve"> </w:t>
              </w:r>
            </w:hyperlink>
            <w:r>
              <w:rPr>
                <w:rFonts w:ascii="Arial" w:cs="Arial" w:eastAsia="Arial" w:hAnsi="Arial"/>
                <w:sz w:val="8"/>
                <w:szCs w:val="8"/>
                <w:color w:val="000000"/>
                <w:w w:val="93"/>
              </w:rPr>
              <w:t>(15)</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6900" w:type="dxa"/>
            <w:vAlign w:val="bottom"/>
            <w:tcBorders>
              <w:bottom w:val="single" w:sz="8" w:color="0000EE"/>
            </w:tcBorders>
            <w:gridSpan w:val="6"/>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Amended and Restated Fifth Amendment, entered into as of March 14, 2014 and effective as of</w:t>
              </w:r>
            </w:hyperlink>
          </w:p>
        </w:tc>
        <w:tc>
          <w:tcPr>
            <w:tcW w:w="860" w:type="dxa"/>
            <w:vAlign w:val="bottom"/>
            <w:gridSpan w:val="9"/>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gridSpan w:val="1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 xml:space="preserve">December 24, 2013, to the Asset Purchase Agreement filed as Exhibit 10.1 </w:t>
              </w:r>
              <w:r>
                <w:rPr>
                  <w:rFonts w:ascii="Arial" w:cs="Arial" w:eastAsia="Arial" w:hAnsi="Arial"/>
                  <w:sz w:val="8"/>
                  <w:szCs w:val="8"/>
                  <w:color w:val="000000"/>
                </w:rPr>
                <w:t>(6)</w:t>
              </w:r>
            </w:hyperlink>
          </w:p>
        </w:tc>
      </w:tr>
      <w:tr>
        <w:trPr>
          <w:trHeight w:val="669"/>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Borders>
              <w:top w:val="single" w:sz="8" w:color="0000EE"/>
            </w:tcBorders>
            <w:gridSpan w:val="5"/>
          </w:tcPr>
          <w:p>
            <w:pPr>
              <w:ind w:left="3160"/>
              <w:spacing w:after="0"/>
              <w:rPr>
                <w:sz w:val="20"/>
                <w:szCs w:val="20"/>
                <w:color w:val="auto"/>
              </w:rPr>
            </w:pPr>
            <w:r>
              <w:rPr>
                <w:rFonts w:ascii="Arial" w:cs="Arial" w:eastAsia="Arial" w:hAnsi="Arial"/>
                <w:sz w:val="18"/>
                <w:szCs w:val="18"/>
                <w:color w:val="auto"/>
              </w:rPr>
              <w:t>103</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0"/>
        </w:trPr>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7720" w:type="dxa"/>
            <w:vAlign w:val="bottom"/>
            <w:gridSpan w:val="6"/>
          </w:tcPr>
          <w:p>
            <w:pPr>
              <w:spacing w:after="0"/>
              <w:rPr>
                <w:rFonts w:ascii="Arial" w:cs="Arial" w:eastAsia="Arial" w:hAnsi="Arial"/>
                <w:sz w:val="18"/>
                <w:szCs w:val="18"/>
                <w:color w:val="0000EE"/>
                <w:w w:val="93"/>
              </w:rPr>
            </w:pPr>
            <w:hyperlink r:id="rId130">
              <w:r>
                <w:rPr>
                  <w:rFonts w:ascii="Arial" w:cs="Arial" w:eastAsia="Arial" w:hAnsi="Arial"/>
                  <w:sz w:val="18"/>
                  <w:szCs w:val="18"/>
                  <w:u w:val="single" w:color="auto"/>
                  <w:color w:val="0000EE"/>
                  <w:w w:val="93"/>
                </w:rPr>
                <w:t>Sublease Agreement, dated as of July 8, 2015, by and between Xcel Brands, Inc. and GBG USA Inc.</w:t>
              </w:r>
              <w:r>
                <w:rPr>
                  <w:rFonts w:ascii="Arial" w:cs="Arial" w:eastAsia="Arial" w:hAnsi="Arial"/>
                  <w:sz w:val="18"/>
                  <w:szCs w:val="18"/>
                  <w:color w:val="0000EE"/>
                  <w:w w:val="93"/>
                </w:rPr>
                <w:t xml:space="preserve"> </w:t>
              </w:r>
            </w:hyperlink>
            <w:r>
              <w:rPr>
                <w:rFonts w:ascii="Arial" w:cs="Arial" w:eastAsia="Arial" w:hAnsi="Arial"/>
                <w:sz w:val="8"/>
                <w:szCs w:val="8"/>
                <w:color w:val="000000"/>
                <w:w w:val="93"/>
              </w:rPr>
              <w:t>(10)</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7720" w:type="dxa"/>
            <w:vAlign w:val="bottom"/>
            <w:gridSpan w:val="6"/>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Amended and Restated Loan and Security Agreement by and among Bank Hapoalim B.M., as agent, the</w:t>
              </w:r>
            </w:hyperlink>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financial institution party thereto as lenders, Xcel Brands, Inc. and IM Brands, LLC, JR Licensing, LLC, H</w:t>
              </w:r>
            </w:hyperlink>
          </w:p>
        </w:tc>
      </w:tr>
      <w:tr>
        <w:trPr>
          <w:trHeight w:val="196"/>
        </w:trPr>
        <w:tc>
          <w:tcPr>
            <w:tcW w:w="116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Licensing, LLC, C Wonder Licensing LLC, Xcel Design Group, LLC, Judith Ripka Fine Jewelry, LLC, H</w:t>
              </w:r>
            </w:hyperlink>
          </w:p>
        </w:tc>
        <w:tc>
          <w:tcPr>
            <w:tcW w:w="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720" w:type="dxa"/>
            <w:vAlign w:val="bottom"/>
            <w:gridSpan w:val="6"/>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 xml:space="preserve">Halston Heritage, LLC, LLC and Xcel-CT MFG, LLC, as guarantors </w:t>
              </w:r>
              <w:r>
                <w:rPr>
                  <w:rFonts w:ascii="Arial" w:cs="Arial" w:eastAsia="Arial" w:hAnsi="Arial"/>
                  <w:sz w:val="8"/>
                  <w:szCs w:val="8"/>
                  <w:color w:val="000000"/>
                </w:rPr>
                <w:t>(3)</w:t>
              </w:r>
            </w:hyperlink>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7720" w:type="dxa"/>
            <w:vAlign w:val="bottom"/>
            <w:gridSpan w:val="6"/>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Asset Purchase Agreement by and between Xcel Brands, Inc., H Licensing, LLC, and The H Company IP</w:t>
              </w:r>
            </w:hyperlink>
          </w:p>
        </w:tc>
      </w:tr>
      <w:tr>
        <w:trPr>
          <w:trHeight w:val="196"/>
        </w:trPr>
        <w:tc>
          <w:tcPr>
            <w:tcW w:w="1160" w:type="dxa"/>
            <w:vAlign w:val="bottom"/>
          </w:tcPr>
          <w:p>
            <w:pPr>
              <w:spacing w:after="0"/>
              <w:rPr>
                <w:sz w:val="17"/>
                <w:szCs w:val="17"/>
                <w:color w:val="auto"/>
              </w:rPr>
            </w:pPr>
          </w:p>
        </w:tc>
        <w:tc>
          <w:tcPr>
            <w:tcW w:w="7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 xml:space="preserve">LLC </w:t>
              </w:r>
              <w:r>
                <w:rPr>
                  <w:rFonts w:ascii="Arial" w:cs="Arial" w:eastAsia="Arial" w:hAnsi="Arial"/>
                  <w:sz w:val="18"/>
                  <w:szCs w:val="18"/>
                  <w:color w:val="000000"/>
                  <w:vertAlign w:val="superscript"/>
                </w:rPr>
                <w:t>(3)</w:t>
              </w:r>
            </w:hyperlink>
          </w:p>
        </w:tc>
        <w:tc>
          <w:tcPr>
            <w:tcW w:w="10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772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u w:val="single" w:color="auto"/>
                  <w:color w:val="0000EE"/>
                </w:rPr>
                <w:t>Amendment No. 4 and Waiver to Amended and Restated Loan and Security Agreement</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7720" w:type="dxa"/>
            <w:vAlign w:val="bottom"/>
            <w:gridSpan w:val="6"/>
          </w:tcPr>
          <w:p>
            <w:pPr>
              <w:spacing w:after="0"/>
              <w:rPr>
                <w:rFonts w:ascii="Arial" w:cs="Arial" w:eastAsia="Arial" w:hAnsi="Arial"/>
                <w:sz w:val="18"/>
                <w:szCs w:val="18"/>
                <w:color w:val="0000EE"/>
              </w:rPr>
            </w:pPr>
            <w:hyperlink w:anchor="page127">
              <w:r>
                <w:rPr>
                  <w:rFonts w:ascii="Arial" w:cs="Arial" w:eastAsia="Arial" w:hAnsi="Arial"/>
                  <w:sz w:val="18"/>
                  <w:szCs w:val="18"/>
                  <w:u w:val="single" w:color="auto"/>
                  <w:color w:val="0000EE"/>
                </w:rPr>
                <w:t>Subsidiaries of the Registrant</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7720" w:type="dxa"/>
            <w:vAlign w:val="bottom"/>
            <w:gridSpan w:val="6"/>
          </w:tcPr>
          <w:p>
            <w:pPr>
              <w:spacing w:after="0"/>
              <w:rPr>
                <w:rFonts w:ascii="Arial" w:cs="Arial" w:eastAsia="Arial" w:hAnsi="Arial"/>
                <w:sz w:val="18"/>
                <w:szCs w:val="18"/>
                <w:color w:val="0000EE"/>
              </w:rPr>
            </w:pPr>
            <w:hyperlink w:anchor="page128">
              <w:r>
                <w:rPr>
                  <w:rFonts w:ascii="Arial" w:cs="Arial" w:eastAsia="Arial" w:hAnsi="Arial"/>
                  <w:sz w:val="18"/>
                  <w:szCs w:val="18"/>
                  <w:u w:val="single" w:color="auto"/>
                  <w:color w:val="0000EE"/>
                </w:rPr>
                <w:t>Consent of Independent Registered Public Accounting Firm</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31(i).1</w:t>
            </w:r>
          </w:p>
        </w:tc>
        <w:tc>
          <w:tcPr>
            <w:tcW w:w="7720" w:type="dxa"/>
            <w:vAlign w:val="bottom"/>
            <w:gridSpan w:val="6"/>
          </w:tcPr>
          <w:p>
            <w:pPr>
              <w:spacing w:after="0" w:line="207" w:lineRule="exact"/>
              <w:rPr>
                <w:rFonts w:ascii="Arial" w:cs="Arial" w:eastAsia="Arial" w:hAnsi="Arial"/>
                <w:sz w:val="18"/>
                <w:szCs w:val="18"/>
                <w:color w:val="0000EE"/>
              </w:rPr>
            </w:pPr>
            <w:hyperlink w:anchor="page129">
              <w:r>
                <w:rPr>
                  <w:rFonts w:ascii="Arial" w:cs="Arial" w:eastAsia="Arial" w:hAnsi="Arial"/>
                  <w:sz w:val="18"/>
                  <w:szCs w:val="18"/>
                  <w:u w:val="single" w:color="auto"/>
                  <w:color w:val="0000EE"/>
                </w:rPr>
                <w:t>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Certification (CEO)</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31(i).2</w:t>
            </w:r>
          </w:p>
        </w:tc>
        <w:tc>
          <w:tcPr>
            <w:tcW w:w="7720" w:type="dxa"/>
            <w:vAlign w:val="bottom"/>
            <w:gridSpan w:val="6"/>
          </w:tcPr>
          <w:p>
            <w:pPr>
              <w:spacing w:after="0" w:line="207" w:lineRule="exact"/>
              <w:rPr>
                <w:rFonts w:ascii="Arial" w:cs="Arial" w:eastAsia="Arial" w:hAnsi="Arial"/>
                <w:sz w:val="18"/>
                <w:szCs w:val="18"/>
                <w:color w:val="0000EE"/>
              </w:rPr>
            </w:pPr>
            <w:hyperlink w:anchor="page130">
              <w:r>
                <w:rPr>
                  <w:rFonts w:ascii="Arial" w:cs="Arial" w:eastAsia="Arial" w:hAnsi="Arial"/>
                  <w:sz w:val="18"/>
                  <w:szCs w:val="18"/>
                  <w:u w:val="single" w:color="auto"/>
                  <w:color w:val="0000EE"/>
                </w:rPr>
                <w:t>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Certification (CFO)</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32(i).1</w:t>
            </w:r>
          </w:p>
        </w:tc>
        <w:tc>
          <w:tcPr>
            <w:tcW w:w="7720" w:type="dxa"/>
            <w:vAlign w:val="bottom"/>
            <w:gridSpan w:val="6"/>
          </w:tcPr>
          <w:p>
            <w:pPr>
              <w:spacing w:after="0"/>
              <w:rPr>
                <w:rFonts w:ascii="Arial" w:cs="Arial" w:eastAsia="Arial" w:hAnsi="Arial"/>
                <w:sz w:val="18"/>
                <w:szCs w:val="18"/>
                <w:color w:val="0000EE"/>
              </w:rPr>
            </w:pPr>
            <w:hyperlink w:anchor="page131">
              <w:r>
                <w:rPr>
                  <w:rFonts w:ascii="Arial" w:cs="Arial" w:eastAsia="Arial" w:hAnsi="Arial"/>
                  <w:sz w:val="18"/>
                  <w:szCs w:val="18"/>
                  <w:u w:val="single" w:color="auto"/>
                  <w:color w:val="0000EE"/>
                </w:rPr>
                <w:t>Section 1350 Certification (CEO)</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32(i).2</w:t>
            </w:r>
          </w:p>
        </w:tc>
        <w:tc>
          <w:tcPr>
            <w:tcW w:w="7720" w:type="dxa"/>
            <w:vAlign w:val="bottom"/>
            <w:gridSpan w:val="6"/>
          </w:tcPr>
          <w:p>
            <w:pPr>
              <w:spacing w:after="0"/>
              <w:rPr>
                <w:rFonts w:ascii="Arial" w:cs="Arial" w:eastAsia="Arial" w:hAnsi="Arial"/>
                <w:sz w:val="18"/>
                <w:szCs w:val="18"/>
                <w:color w:val="0000EE"/>
              </w:rPr>
            </w:pPr>
            <w:hyperlink w:anchor="page132">
              <w:r>
                <w:rPr>
                  <w:rFonts w:ascii="Arial" w:cs="Arial" w:eastAsia="Arial" w:hAnsi="Arial"/>
                  <w:sz w:val="18"/>
                  <w:szCs w:val="18"/>
                  <w:u w:val="single" w:color="auto"/>
                  <w:color w:val="0000EE"/>
                </w:rPr>
                <w:t>Section 1350 Certification (CFO)</w:t>
              </w:r>
              <w:r>
                <w:rPr>
                  <w:rFonts w:ascii="Arial" w:cs="Arial" w:eastAsia="Arial" w:hAnsi="Arial"/>
                  <w:sz w:val="18"/>
                  <w:szCs w:val="18"/>
                  <w:color w:val="0000EE"/>
                </w:rPr>
                <w:t xml:space="preserve"> </w:t>
              </w:r>
            </w:hyperlink>
            <w:r>
              <w:rPr>
                <w:rFonts w:ascii="Arial" w:cs="Arial" w:eastAsia="Arial" w:hAnsi="Arial"/>
                <w:sz w:val="8"/>
                <w:szCs w:val="8"/>
                <w:color w:val="000000"/>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8"/>
                <w:szCs w:val="8"/>
                <w:color w:val="auto"/>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Taxonomy Schema </w:t>
            </w:r>
            <w:r>
              <w:rPr>
                <w:rFonts w:ascii="Arial" w:cs="Arial" w:eastAsia="Arial" w:hAnsi="Arial"/>
                <w:sz w:val="8"/>
                <w:szCs w:val="8"/>
                <w:color w:val="auto"/>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Taxonomy Calculation Linkbase </w:t>
            </w:r>
            <w:r>
              <w:rPr>
                <w:rFonts w:ascii="Arial" w:cs="Arial" w:eastAsia="Arial" w:hAnsi="Arial"/>
                <w:sz w:val="8"/>
                <w:szCs w:val="8"/>
                <w:color w:val="auto"/>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Taxonomy Definition Linkbase </w:t>
            </w:r>
            <w:r>
              <w:rPr>
                <w:rFonts w:ascii="Arial" w:cs="Arial" w:eastAsia="Arial" w:hAnsi="Arial"/>
                <w:sz w:val="8"/>
                <w:szCs w:val="8"/>
                <w:color w:val="auto"/>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Taxonomy Label Linkbase </w:t>
            </w:r>
            <w:r>
              <w:rPr>
                <w:rFonts w:ascii="Arial" w:cs="Arial" w:eastAsia="Arial" w:hAnsi="Arial"/>
                <w:sz w:val="8"/>
                <w:szCs w:val="8"/>
                <w:color w:val="auto"/>
              </w:rPr>
              <w:t>(16)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7720" w:type="dxa"/>
            <w:vAlign w:val="bottom"/>
            <w:gridSpan w:val="6"/>
          </w:tcPr>
          <w:p>
            <w:pPr>
              <w:spacing w:after="0"/>
              <w:rPr>
                <w:sz w:val="20"/>
                <w:szCs w:val="20"/>
                <w:color w:val="auto"/>
              </w:rPr>
            </w:pPr>
            <w:r>
              <w:rPr>
                <w:rFonts w:ascii="Arial" w:cs="Arial" w:eastAsia="Arial" w:hAnsi="Arial"/>
                <w:sz w:val="18"/>
                <w:szCs w:val="18"/>
                <w:color w:val="auto"/>
              </w:rPr>
              <w:t xml:space="preserve">XBRL Taxonomy Presentation Linkbase </w:t>
            </w:r>
            <w:r>
              <w:rPr>
                <w:rFonts w:ascii="Arial" w:cs="Arial" w:eastAsia="Arial" w:hAnsi="Arial"/>
                <w:sz w:val="8"/>
                <w:szCs w:val="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5" w:lineRule="exact"/>
        <w:rPr>
          <w:sz w:val="20"/>
          <w:szCs w:val="20"/>
          <w:color w:val="auto"/>
        </w:rPr>
      </w:pPr>
    </w:p>
    <w:p>
      <w:pPr>
        <w:ind w:left="360" w:right="7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October 5, 2011.</w:t>
      </w:r>
    </w:p>
    <w:p>
      <w:pPr>
        <w:spacing w:after="0" w:line="202" w:lineRule="exact"/>
        <w:rPr>
          <w:rFonts w:ascii="Arial" w:cs="Arial" w:eastAsia="Arial" w:hAnsi="Arial"/>
          <w:sz w:val="18"/>
          <w:szCs w:val="18"/>
          <w:color w:val="auto"/>
        </w:rPr>
      </w:pPr>
    </w:p>
    <w:p>
      <w:pPr>
        <w:ind w:left="360" w:right="7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w:t>
      </w:r>
      <w:r>
        <w:rPr>
          <w:rFonts w:ascii="MS PGothic" w:cs="MS PGothic" w:eastAsia="MS PGothic" w:hAnsi="MS PGothic"/>
          <w:sz w:val="18"/>
          <w:szCs w:val="18"/>
          <w:color w:val="auto"/>
        </w:rPr>
        <w:t>‑</w:t>
      </w:r>
      <w:r>
        <w:rPr>
          <w:rFonts w:ascii="Arial" w:cs="Arial" w:eastAsia="Arial" w:hAnsi="Arial"/>
          <w:sz w:val="18"/>
          <w:szCs w:val="18"/>
          <w:color w:val="auto"/>
        </w:rPr>
        <w:t>K/A, which was filed with the SEC on February 7, 2012.</w:t>
      </w:r>
    </w:p>
    <w:p>
      <w:pPr>
        <w:spacing w:after="0" w:line="202" w:lineRule="exact"/>
        <w:rPr>
          <w:rFonts w:ascii="Arial" w:cs="Arial" w:eastAsia="Arial" w:hAnsi="Arial"/>
          <w:sz w:val="18"/>
          <w:szCs w:val="18"/>
          <w:color w:val="auto"/>
        </w:rPr>
      </w:pPr>
    </w:p>
    <w:p>
      <w:pPr>
        <w:ind w:left="360" w:right="7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February 15, 2019.</w:t>
      </w:r>
    </w:p>
    <w:p>
      <w:pPr>
        <w:spacing w:after="0" w:line="202" w:lineRule="exact"/>
        <w:rPr>
          <w:rFonts w:ascii="Arial" w:cs="Arial" w:eastAsia="Arial" w:hAnsi="Arial"/>
          <w:sz w:val="18"/>
          <w:szCs w:val="18"/>
          <w:color w:val="auto"/>
        </w:rPr>
      </w:pPr>
    </w:p>
    <w:p>
      <w:pPr>
        <w:ind w:left="360" w:right="5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ended June 30, 2013, which was filed with the SEC on August 13, 2013.</w:t>
      </w:r>
    </w:p>
    <w:p>
      <w:pPr>
        <w:spacing w:after="0" w:line="202" w:lineRule="exact"/>
        <w:rPr>
          <w:rFonts w:ascii="Arial" w:cs="Arial" w:eastAsia="Arial" w:hAnsi="Arial"/>
          <w:sz w:val="18"/>
          <w:szCs w:val="18"/>
          <w:color w:val="auto"/>
        </w:rPr>
      </w:pPr>
    </w:p>
    <w:p>
      <w:pPr>
        <w:ind w:left="360" w:right="5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December 24, 2013.</w:t>
      </w:r>
    </w:p>
    <w:p>
      <w:pPr>
        <w:spacing w:after="0" w:line="202" w:lineRule="exact"/>
        <w:rPr>
          <w:rFonts w:ascii="Arial" w:cs="Arial" w:eastAsia="Arial" w:hAnsi="Arial"/>
          <w:sz w:val="18"/>
          <w:szCs w:val="18"/>
          <w:color w:val="auto"/>
        </w:rPr>
      </w:pPr>
    </w:p>
    <w:p>
      <w:pPr>
        <w:ind w:left="360" w:right="59" w:hanging="316"/>
        <w:spacing w:after="0" w:line="223" w:lineRule="exact"/>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March 20,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360" w:right="59" w:hanging="316"/>
        <w:spacing w:after="0" w:line="223" w:lineRule="exact"/>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April 9, 2014.</w:t>
      </w:r>
    </w:p>
    <w:p>
      <w:pPr>
        <w:spacing w:after="0" w:line="202" w:lineRule="exact"/>
        <w:rPr>
          <w:rFonts w:ascii="Arial" w:cs="Arial" w:eastAsia="Arial" w:hAnsi="Arial"/>
          <w:sz w:val="18"/>
          <w:szCs w:val="18"/>
          <w:color w:val="auto"/>
        </w:rPr>
      </w:pPr>
    </w:p>
    <w:p>
      <w:pPr>
        <w:ind w:left="360" w:right="59" w:hanging="316"/>
        <w:spacing w:after="0" w:line="223" w:lineRule="exact"/>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December 24, 2014.</w:t>
      </w:r>
    </w:p>
    <w:p>
      <w:pPr>
        <w:spacing w:after="0" w:line="202" w:lineRule="exact"/>
        <w:rPr>
          <w:rFonts w:ascii="Arial" w:cs="Arial" w:eastAsia="Arial" w:hAnsi="Arial"/>
          <w:sz w:val="18"/>
          <w:szCs w:val="18"/>
          <w:color w:val="auto"/>
        </w:rPr>
      </w:pPr>
    </w:p>
    <w:p>
      <w:pPr>
        <w:ind w:left="360" w:right="59" w:hanging="316"/>
        <w:spacing w:after="0" w:line="223" w:lineRule="exact"/>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which was filed with the SEC on February 28, 2020.</w:t>
      </w:r>
    </w:p>
    <w:p>
      <w:pPr>
        <w:spacing w:after="0" w:line="202" w:lineRule="exact"/>
        <w:rPr>
          <w:rFonts w:ascii="Arial" w:cs="Arial" w:eastAsia="Arial" w:hAnsi="Arial"/>
          <w:sz w:val="18"/>
          <w:szCs w:val="18"/>
          <w:color w:val="auto"/>
        </w:rPr>
      </w:pPr>
    </w:p>
    <w:p>
      <w:pPr>
        <w:ind w:left="360" w:right="59" w:hanging="316"/>
        <w:spacing w:after="0" w:line="224" w:lineRule="exact"/>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which was filed with the SEC on July 14, 2015.</w:t>
      </w:r>
    </w:p>
    <w:p>
      <w:pPr>
        <w:spacing w:after="0" w:line="201" w:lineRule="exact"/>
        <w:rPr>
          <w:rFonts w:ascii="Arial" w:cs="Arial" w:eastAsia="Arial" w:hAnsi="Arial"/>
          <w:sz w:val="17"/>
          <w:szCs w:val="17"/>
          <w:color w:val="auto"/>
        </w:rPr>
      </w:pPr>
    </w:p>
    <w:p>
      <w:pPr>
        <w:ind w:left="360" w:right="59" w:hanging="316"/>
        <w:spacing w:after="0" w:line="224" w:lineRule="exact"/>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which was filed with the SEC on October 24, 2017.</w:t>
      </w:r>
    </w:p>
    <w:p>
      <w:pPr>
        <w:spacing w:after="0" w:line="201" w:lineRule="exact"/>
        <w:rPr>
          <w:rFonts w:ascii="Arial" w:cs="Arial" w:eastAsia="Arial" w:hAnsi="Arial"/>
          <w:sz w:val="17"/>
          <w:szCs w:val="17"/>
          <w:color w:val="auto"/>
        </w:rPr>
      </w:pPr>
    </w:p>
    <w:p>
      <w:pPr>
        <w:ind w:left="360" w:right="59" w:hanging="316"/>
        <w:spacing w:after="0" w:line="224" w:lineRule="exact"/>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which was filed with the SEC on December 8, 2017.</w:t>
      </w:r>
    </w:p>
    <w:p>
      <w:pPr>
        <w:spacing w:after="0" w:line="201" w:lineRule="exact"/>
        <w:rPr>
          <w:rFonts w:ascii="Arial" w:cs="Arial" w:eastAsia="Arial" w:hAnsi="Arial"/>
          <w:sz w:val="17"/>
          <w:szCs w:val="17"/>
          <w:color w:val="auto"/>
        </w:rPr>
      </w:pPr>
    </w:p>
    <w:p>
      <w:pPr>
        <w:ind w:left="360" w:right="79" w:hanging="316"/>
        <w:spacing w:after="0" w:line="224" w:lineRule="exact"/>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which was filed with the SEC on April 1, 2019.</w:t>
      </w:r>
    </w:p>
    <w:p>
      <w:pPr>
        <w:spacing w:after="0" w:line="201" w:lineRule="exact"/>
        <w:rPr>
          <w:rFonts w:ascii="Arial" w:cs="Arial" w:eastAsia="Arial" w:hAnsi="Arial"/>
          <w:sz w:val="17"/>
          <w:szCs w:val="17"/>
          <w:color w:val="auto"/>
        </w:rPr>
      </w:pPr>
    </w:p>
    <w:p>
      <w:pPr>
        <w:ind w:left="360" w:right="79" w:hanging="316"/>
        <w:spacing w:after="0" w:line="308" w:lineRule="auto"/>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Definitive Proxy Statement on Form DEF 14-A, which was filed with the SEC on August 15, 2016.</w:t>
      </w:r>
    </w:p>
    <w:p>
      <w:pPr>
        <w:spacing w:after="0" w:line="146" w:lineRule="exact"/>
        <w:rPr>
          <w:rFonts w:ascii="Arial" w:cs="Arial" w:eastAsia="Arial" w:hAnsi="Arial"/>
          <w:sz w:val="17"/>
          <w:szCs w:val="17"/>
          <w:color w:val="auto"/>
        </w:rPr>
      </w:pPr>
    </w:p>
    <w:p>
      <w:pPr>
        <w:ind w:left="360" w:right="59" w:hanging="316"/>
        <w:spacing w:after="0" w:line="224" w:lineRule="exact"/>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Exhibit is incorporated by reference to the appropriate Exhibit to the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which was filed with the SEC on March 1, 2019.</w:t>
      </w:r>
    </w:p>
    <w:p>
      <w:pPr>
        <w:spacing w:after="0" w:line="201" w:lineRule="exact"/>
        <w:rPr>
          <w:rFonts w:ascii="Arial" w:cs="Arial" w:eastAsia="Arial" w:hAnsi="Arial"/>
          <w:sz w:val="17"/>
          <w:szCs w:val="17"/>
          <w:color w:val="auto"/>
        </w:rPr>
      </w:pPr>
    </w:p>
    <w:p>
      <w:pPr>
        <w:ind w:left="360" w:hanging="316"/>
        <w:spacing w:after="0"/>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37" w:lineRule="exact"/>
        <w:rPr>
          <w:sz w:val="20"/>
          <w:szCs w:val="20"/>
          <w:color w:val="auto"/>
        </w:rPr>
      </w:pPr>
    </w:p>
    <w:p>
      <w:pPr>
        <w:ind w:left="360" w:right="259" w:hanging="316"/>
        <w:spacing w:after="0" w:line="277" w:lineRule="auto"/>
        <w:tabs>
          <w:tab w:leader="none" w:pos="3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 Such portions are designated “***”.</w:t>
      </w:r>
    </w:p>
    <w:p>
      <w:pPr>
        <w:spacing w:after="0" w:line="170" w:lineRule="exact"/>
        <w:rPr>
          <w:sz w:val="20"/>
          <w:szCs w:val="20"/>
          <w:color w:val="auto"/>
        </w:rPr>
      </w:pPr>
    </w:p>
    <w:p>
      <w:pPr>
        <w:jc w:val="both"/>
        <w:ind w:left="40" w:right="59" w:firstLine="4"/>
        <w:spacing w:after="0" w:line="263" w:lineRule="auto"/>
        <w:tabs>
          <w:tab w:leader="none" w:pos="4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Date: April 14, 2020</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215"/>
        </w:trPr>
        <w:tc>
          <w:tcPr>
            <w:tcW w:w="454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Robert W. D’Loren, Chairman, President,</w:t>
            </w:r>
          </w:p>
        </w:tc>
      </w:tr>
      <w:tr>
        <w:trPr>
          <w:trHeight w:val="230"/>
        </w:trPr>
        <w:tc>
          <w:tcPr>
            <w:tcW w:w="45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454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4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600" w:type="dxa"/>
            <w:vAlign w:val="bottom"/>
            <w:vMerge w:val="restart"/>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Robert W. D’Loren</w:t>
            </w:r>
          </w:p>
        </w:tc>
        <w:tc>
          <w:tcPr>
            <w:tcW w:w="1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20"/>
              <w:spacing w:after="0"/>
              <w:rPr>
                <w:sz w:val="20"/>
                <w:szCs w:val="20"/>
                <w:color w:val="auto"/>
              </w:rPr>
            </w:pPr>
            <w:r>
              <w:rPr>
                <w:rFonts w:ascii="Arial" w:cs="Arial" w:eastAsia="Arial" w:hAnsi="Arial"/>
                <w:sz w:val="18"/>
                <w:szCs w:val="18"/>
                <w:color w:val="auto"/>
              </w:rPr>
              <w:t>Robert W. D’Loren</w:t>
            </w:r>
          </w:p>
        </w:tc>
        <w:tc>
          <w:tcPr>
            <w:tcW w:w="1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F. Haran</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line="201" w:lineRule="exact"/>
              <w:rPr>
                <w:sz w:val="20"/>
                <w:szCs w:val="20"/>
                <w:color w:val="auto"/>
              </w:rPr>
            </w:pPr>
            <w:r>
              <w:rPr>
                <w:rFonts w:ascii="Arial" w:cs="Arial" w:eastAsia="Arial" w:hAnsi="Arial"/>
                <w:sz w:val="18"/>
                <w:szCs w:val="18"/>
                <w:color w:val="auto"/>
              </w:rPr>
              <w:t>James F. Haran</w:t>
            </w:r>
          </w:p>
        </w:tc>
        <w:tc>
          <w:tcPr>
            <w:tcW w:w="180" w:type="dxa"/>
            <w:vAlign w:val="bottom"/>
          </w:tcPr>
          <w:p>
            <w:pPr>
              <w:spacing w:after="0"/>
              <w:rPr>
                <w:sz w:val="17"/>
                <w:szCs w:val="17"/>
                <w:color w:val="auto"/>
              </w:rPr>
            </w:pPr>
          </w:p>
        </w:tc>
        <w:tc>
          <w:tcPr>
            <w:tcW w:w="4440" w:type="dxa"/>
            <w:vAlign w:val="bottom"/>
          </w:tcPr>
          <w:p>
            <w:pPr>
              <w:ind w:left="20"/>
              <w:spacing w:after="0" w:line="201" w:lineRule="exact"/>
              <w:rPr>
                <w:sz w:val="20"/>
                <w:szCs w:val="20"/>
                <w:color w:val="auto"/>
              </w:rPr>
            </w:pPr>
            <w:r>
              <w:rPr>
                <w:rFonts w:ascii="Arial" w:cs="Arial" w:eastAsia="Arial" w:hAnsi="Arial"/>
                <w:sz w:val="18"/>
                <w:szCs w:val="18"/>
                <w:color w:val="auto"/>
              </w:rPr>
              <w:t>(Principal Financial Officer and</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R. Francis</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Michael R. Francis</w:t>
            </w: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DiSanto</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Mark DiSanto</w:t>
            </w: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Fielding</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James Fielding</w:t>
            </w: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Howard Liebman</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Howard Liebman</w:t>
            </w: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Deborah Weinswig</w:t>
            </w:r>
          </w:p>
        </w:tc>
        <w:tc>
          <w:tcPr>
            <w:tcW w:w="18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200"/>
              <w:spacing w:after="0"/>
              <w:rPr>
                <w:sz w:val="20"/>
                <w:szCs w:val="20"/>
                <w:color w:val="auto"/>
              </w:rPr>
            </w:pPr>
            <w:r>
              <w:rPr>
                <w:rFonts w:ascii="Arial" w:cs="Arial" w:eastAsia="Arial" w:hAnsi="Arial"/>
                <w:sz w:val="18"/>
                <w:szCs w:val="18"/>
                <w:color w:val="auto"/>
              </w:rPr>
              <w:t>April 14, 2020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Deborah Weinswig</w:t>
            </w:r>
          </w:p>
        </w:tc>
        <w:tc>
          <w:tcPr>
            <w:tcW w:w="1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700" w:type="dxa"/>
            <w:vAlign w:val="bottom"/>
          </w:tcPr>
          <w:p>
            <w:pPr>
              <w:spacing w:after="0"/>
              <w:rPr>
                <w:sz w:val="24"/>
                <w:szCs w:val="24"/>
                <w:color w:val="auto"/>
              </w:rPr>
            </w:pPr>
          </w:p>
        </w:tc>
        <w:tc>
          <w:tcPr>
            <w:tcW w:w="4620" w:type="dxa"/>
            <w:vAlign w:val="bottom"/>
            <w:gridSpan w:val="2"/>
          </w:tcPr>
          <w:p>
            <w:pPr>
              <w:jc w:val="right"/>
              <w:ind w:right="2632"/>
              <w:spacing w:after="0"/>
              <w:rPr>
                <w:sz w:val="20"/>
                <w:szCs w:val="20"/>
                <w:color w:val="auto"/>
              </w:rPr>
            </w:pPr>
            <w:r>
              <w:rPr>
                <w:rFonts w:ascii="Arial" w:cs="Arial" w:eastAsia="Arial" w:hAnsi="Arial"/>
                <w:sz w:val="18"/>
                <w:szCs w:val="18"/>
                <w:color w:val="auto"/>
              </w:rPr>
              <w:t>106</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06" w:name="page107"/>
    <w:bookmarkEnd w:id="106"/>
    <w:p>
      <w:pPr>
        <w:jc w:val="right"/>
        <w:ind w:right="219"/>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XCEL BRANDS, INC. SECURITIES</w:t>
      </w:r>
    </w:p>
    <w:p>
      <w:pPr>
        <w:spacing w:after="0" w:line="229" w:lineRule="exact"/>
        <w:rPr>
          <w:sz w:val="20"/>
          <w:szCs w:val="20"/>
          <w:color w:val="auto"/>
        </w:rPr>
      </w:pPr>
    </w:p>
    <w:p>
      <w:pPr>
        <w:jc w:val="both"/>
        <w:ind w:left="200" w:right="219" w:firstLine="270"/>
        <w:spacing w:after="0" w:line="277" w:lineRule="auto"/>
        <w:rPr>
          <w:sz w:val="20"/>
          <w:szCs w:val="20"/>
          <w:color w:val="auto"/>
        </w:rPr>
      </w:pPr>
      <w:r>
        <w:rPr>
          <w:rFonts w:ascii="Arial" w:cs="Arial" w:eastAsia="Arial" w:hAnsi="Arial"/>
          <w:sz w:val="18"/>
          <w:szCs w:val="18"/>
          <w:color w:val="auto"/>
        </w:rPr>
        <w:t>The following information is a summary of our capital stock and provisions of our certificate of incorporation and bylaws.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200" w:right="219" w:firstLine="270"/>
        <w:spacing w:after="0" w:line="277" w:lineRule="auto"/>
        <w:rPr>
          <w:sz w:val="20"/>
          <w:szCs w:val="20"/>
          <w:color w:val="auto"/>
        </w:rPr>
      </w:pPr>
      <w:r>
        <w:rPr>
          <w:rFonts w:ascii="Arial" w:cs="Arial" w:eastAsia="Arial" w:hAnsi="Arial"/>
          <w:sz w:val="18"/>
          <w:szCs w:val="18"/>
          <w:color w:val="auto"/>
        </w:rPr>
        <w:t>Our authorized capital stock consists of 50,000,000 shares of common stock at a par value of $0.001 per share and 1,000,000 shares of preferred stock at a par value of $0.001 per share.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left="200" w:right="219" w:firstLine="270"/>
        <w:spacing w:after="0" w:line="270" w:lineRule="auto"/>
        <w:rPr>
          <w:sz w:val="20"/>
          <w:szCs w:val="20"/>
          <w:color w:val="auto"/>
        </w:rPr>
      </w:pPr>
      <w:r>
        <w:rPr>
          <w:rFonts w:ascii="Arial" w:cs="Arial" w:eastAsia="Arial" w:hAnsi="Arial"/>
          <w:sz w:val="17"/>
          <w:szCs w:val="17"/>
          <w:color w:val="auto"/>
        </w:rPr>
        <w:t>Holders of our common stock are entitled to one vote per share on all matters submitted to a vote of the stockholders, including the election of directors, and subject to any contractual agreement entered into by any holder of shares. Generally, all matters to be voted on by stockholders must be approved by a majority of the votes entitled to be cast by all shares of our common stock that are present in person or represented by proxy. Holders of our common stock representing a majority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certificate of incorporation. Our certificate of incorporation does not provide for cumulative voting in the election of directors.</w:t>
      </w:r>
    </w:p>
    <w:p>
      <w:pPr>
        <w:spacing w:after="0" w:line="181" w:lineRule="exact"/>
        <w:rPr>
          <w:sz w:val="20"/>
          <w:szCs w:val="20"/>
          <w:color w:val="auto"/>
        </w:rPr>
      </w:pPr>
    </w:p>
    <w:p>
      <w:pPr>
        <w:jc w:val="both"/>
        <w:ind w:left="200" w:right="219" w:firstLine="270"/>
        <w:spacing w:after="0" w:line="271" w:lineRule="auto"/>
        <w:rPr>
          <w:sz w:val="20"/>
          <w:szCs w:val="20"/>
          <w:color w:val="auto"/>
        </w:rPr>
      </w:pPr>
      <w:r>
        <w:rPr>
          <w:rFonts w:ascii="Arial" w:cs="Arial" w:eastAsia="Arial" w:hAnsi="Arial"/>
          <w:sz w:val="17"/>
          <w:szCs w:val="17"/>
          <w:color w:val="auto"/>
        </w:rPr>
        <w:t>The holders of shares of our common stock will be entitled to such cash dividends as may be declared from time to time by our board of directors from funds available therefore. Upon liquidation, dissolution, or winding up, the holders of shares of our common stock will be entitled to receive pro rata all assets available for distribution to such holders. 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and no conversion rights, and there are no redemption provisions applicable to our common stock.</w:t>
      </w:r>
    </w:p>
    <w:p>
      <w:pPr>
        <w:spacing w:after="0" w:line="178" w:lineRule="exact"/>
        <w:rPr>
          <w:sz w:val="20"/>
          <w:szCs w:val="20"/>
          <w:color w:val="auto"/>
        </w:rPr>
      </w:pPr>
    </w:p>
    <w:p>
      <w:pPr>
        <w:jc w:val="both"/>
        <w:ind w:left="200" w:right="239" w:firstLine="324"/>
        <w:spacing w:after="0" w:line="277" w:lineRule="auto"/>
        <w:rPr>
          <w:sz w:val="20"/>
          <w:szCs w:val="20"/>
          <w:color w:val="auto"/>
        </w:rPr>
      </w:pPr>
      <w:r>
        <w:rPr>
          <w:rFonts w:ascii="Arial" w:cs="Arial" w:eastAsia="Arial" w:hAnsi="Arial"/>
          <w:sz w:val="18"/>
          <w:szCs w:val="18"/>
          <w:color w:val="auto"/>
        </w:rPr>
        <w:t>Our common stock trades on the Nasdaq Global Market under the symbol "XELB." Continental Stock Transfer &amp; Trust Company is the transfer agent and registrar for our common stock.</w:t>
      </w:r>
    </w:p>
    <w:p>
      <w:pPr>
        <w:spacing w:after="0" w:line="170" w:lineRule="exact"/>
        <w:rPr>
          <w:sz w:val="20"/>
          <w:szCs w:val="20"/>
          <w:color w:val="auto"/>
        </w:rPr>
      </w:pPr>
    </w:p>
    <w:p>
      <w:pPr>
        <w:jc w:val="both"/>
        <w:ind w:left="200" w:right="219" w:firstLine="324"/>
        <w:spacing w:after="0" w:line="263" w:lineRule="auto"/>
        <w:rPr>
          <w:sz w:val="20"/>
          <w:szCs w:val="20"/>
          <w:color w:val="auto"/>
        </w:rPr>
      </w:pPr>
      <w:r>
        <w:rPr>
          <w:rFonts w:ascii="Arial" w:cs="Arial" w:eastAsia="Arial" w:hAnsi="Arial"/>
          <w:sz w:val="18"/>
          <w:szCs w:val="18"/>
          <w:color w:val="auto"/>
        </w:rPr>
        <w:t>For more information on the common stock, including the votes necessary for the common stockholders to take action, see the Amended and Restated By-Laws incorporated by reference to the Current Report on Form 8-K, which was filed with the SEC on December 8, 2017.</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200" w:right="219" w:firstLine="270"/>
        <w:spacing w:after="0" w:line="269" w:lineRule="auto"/>
        <w:rPr>
          <w:sz w:val="20"/>
          <w:szCs w:val="20"/>
          <w:color w:val="auto"/>
        </w:rPr>
      </w:pPr>
      <w:r>
        <w:rPr>
          <w:rFonts w:ascii="Arial" w:cs="Arial" w:eastAsia="Arial" w:hAnsi="Arial"/>
          <w:sz w:val="17"/>
          <w:szCs w:val="17"/>
          <w:color w:val="auto"/>
        </w:rPr>
        <w:t>As of the date hereof, there are no shares of preferred stock outstanding. Our board of directors, without further stockholder approval, may issue preferred stock in one or more classes or series as the board may determine from time to time. Each such class or series shall be distinctly designated. All shares of any one class or series of the preferred stock shall be alike in every particular, except that there may be different dates from which dividends thereon, if any, shall be cumulative, if made cumulative. The voting powers, designations, preferences, limitations, restrictions and relative rights thereof, if any, may differ from those of any and all other series outstanding at any time. Our board of directors has express authority to fix (by resolutions adopted prior to the issuance of any shares of each particular class or series of preferred stock) the number of shares, voting powers, designations, preferences, limitations, restrictions and relative rights of each such class or series. The rights granted to the holders of any series of preferred stock could adversely affect the voting power of the holders of common stock and the issuance of preferred stock may delay, defer or prevent a change in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ind w:left="200"/>
        <w:spacing w:after="0"/>
        <w:rPr>
          <w:sz w:val="20"/>
          <w:szCs w:val="20"/>
          <w:color w:val="auto"/>
        </w:rPr>
      </w:pPr>
      <w:r>
        <w:rPr>
          <w:rFonts w:ascii="Arial" w:cs="Arial" w:eastAsia="Arial" w:hAnsi="Arial"/>
          <w:sz w:val="18"/>
          <w:szCs w:val="18"/>
          <w:b w:val="1"/>
          <w:bCs w:val="1"/>
          <w:color w:val="auto"/>
        </w:rPr>
        <w:t>Stock Options and Restricted Stock Awards</w:t>
      </w:r>
    </w:p>
    <w:p>
      <w:pPr>
        <w:spacing w:after="0" w:line="229" w:lineRule="exact"/>
        <w:rPr>
          <w:sz w:val="20"/>
          <w:szCs w:val="20"/>
          <w:color w:val="auto"/>
        </w:rPr>
      </w:pPr>
    </w:p>
    <w:p>
      <w:pPr>
        <w:jc w:val="both"/>
        <w:ind w:left="200" w:right="219" w:firstLine="279"/>
        <w:spacing w:after="0" w:line="286" w:lineRule="auto"/>
        <w:rPr>
          <w:sz w:val="20"/>
          <w:szCs w:val="20"/>
          <w:color w:val="auto"/>
        </w:rPr>
      </w:pPr>
      <w:r>
        <w:rPr>
          <w:rFonts w:ascii="Arial" w:cs="Arial" w:eastAsia="Arial" w:hAnsi="Arial"/>
          <w:sz w:val="17"/>
          <w:szCs w:val="17"/>
          <w:color w:val="auto"/>
        </w:rPr>
        <w:t>The description of the outstanding stock options and restricted stock awards issued from the Third Amended and Restated 2011 Equity Incentive Plan incorporated herein by reference to Annex A (including the Appendices thereto) to the Definitive Proxy Statement on Form DEF-14A which was filed with the SEC on August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885825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ind w:left="7580"/>
        <w:spacing w:after="0"/>
        <w:rPr>
          <w:sz w:val="20"/>
          <w:szCs w:val="20"/>
          <w:color w:val="auto"/>
        </w:rPr>
      </w:pPr>
      <w:r>
        <w:rPr>
          <w:rFonts w:ascii="Arial" w:cs="Arial" w:eastAsia="Arial" w:hAnsi="Arial"/>
          <w:sz w:val="19"/>
          <w:szCs w:val="19"/>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NO. 4 and WAIVER</w:t>
      </w:r>
    </w:p>
    <w:p>
      <w:pPr>
        <w:jc w:val="center"/>
        <w:ind w:right="19"/>
        <w:spacing w:after="0" w:line="238" w:lineRule="auto"/>
        <w:rPr>
          <w:sz w:val="20"/>
          <w:szCs w:val="20"/>
          <w:color w:val="auto"/>
        </w:rPr>
      </w:pPr>
      <w:r>
        <w:rPr>
          <w:rFonts w:ascii="Arial" w:cs="Arial" w:eastAsia="Arial" w:hAnsi="Arial"/>
          <w:sz w:val="22"/>
          <w:szCs w:val="22"/>
          <w:color w:val="auto"/>
        </w:rPr>
        <w:t>to</w:t>
      </w:r>
    </w:p>
    <w:p>
      <w:pPr>
        <w:jc w:val="center"/>
        <w:ind w:right="19"/>
        <w:spacing w:after="0"/>
        <w:rPr>
          <w:sz w:val="20"/>
          <w:szCs w:val="20"/>
          <w:color w:val="auto"/>
        </w:rPr>
      </w:pPr>
      <w:r>
        <w:rPr>
          <w:rFonts w:ascii="Arial" w:cs="Arial" w:eastAsia="Arial" w:hAnsi="Arial"/>
          <w:sz w:val="22"/>
          <w:szCs w:val="22"/>
          <w:color w:val="auto"/>
        </w:rPr>
        <w:t>SECOND AMENDED AND RESTATED LOAN AND SECURITY AGREEMENT</w:t>
      </w:r>
    </w:p>
    <w:p>
      <w:pPr>
        <w:spacing w:after="0" w:line="188"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THIS AMENDMENT NO. 4 TO SECOND AMENDED AND RESTATED LOAN AND SECURITY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April 13, 2020, by and among XCEL BRANDS, INC., a Delaware corporation (“</w:t>
      </w:r>
      <w:r>
        <w:rPr>
          <w:rFonts w:ascii="Arial" w:cs="Arial" w:eastAsia="Arial" w:hAnsi="Arial"/>
          <w:sz w:val="22"/>
          <w:szCs w:val="22"/>
          <w:u w:val="single" w:color="auto"/>
          <w:color w:val="auto"/>
        </w:rPr>
        <w:t>Initial Borrower</w:t>
      </w:r>
      <w:r>
        <w:rPr>
          <w:rFonts w:ascii="Arial" w:cs="Arial" w:eastAsia="Arial" w:hAnsi="Arial"/>
          <w:sz w:val="22"/>
          <w:szCs w:val="22"/>
          <w:color w:val="auto"/>
        </w:rPr>
        <w:t>”), each other signatory hereto that is a Credit Party under the Loan Agreement (as hereinafter defined), BANK HAPOALIM B.M., as a Lender (“</w:t>
      </w:r>
      <w:r>
        <w:rPr>
          <w:rFonts w:ascii="Arial" w:cs="Arial" w:eastAsia="Arial" w:hAnsi="Arial"/>
          <w:sz w:val="22"/>
          <w:szCs w:val="22"/>
          <w:u w:val="single" w:color="auto"/>
          <w:color w:val="auto"/>
        </w:rPr>
        <w:t>BHI</w:t>
      </w:r>
      <w:r>
        <w:rPr>
          <w:rFonts w:ascii="Arial" w:cs="Arial" w:eastAsia="Arial" w:hAnsi="Arial"/>
          <w:sz w:val="22"/>
          <w:szCs w:val="22"/>
          <w:color w:val="auto"/>
        </w:rPr>
        <w:t>”), and BHI as collateral and administrative agent for Lenders (in such capacity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Initial Borrower, IM Brands, LLC (“</w:t>
      </w:r>
      <w:r>
        <w:rPr>
          <w:rFonts w:ascii="Arial" w:cs="Arial" w:eastAsia="Arial" w:hAnsi="Arial"/>
          <w:sz w:val="21"/>
          <w:szCs w:val="21"/>
          <w:u w:val="single" w:color="auto"/>
          <w:color w:val="auto"/>
        </w:rPr>
        <w:t>IM Brands</w:t>
      </w:r>
      <w:r>
        <w:rPr>
          <w:rFonts w:ascii="Arial" w:cs="Arial" w:eastAsia="Arial" w:hAnsi="Arial"/>
          <w:sz w:val="21"/>
          <w:szCs w:val="21"/>
          <w:color w:val="auto"/>
        </w:rPr>
        <w:t>”), JR Licensing, LLC, H Licensing, LLC, C Wonder Licensing, LLC, Xcel Design Group, LLC, Judith Ripka Fine Jewelry, LLC, H Heritage Licensing, LLC and Xcel-CT MFG, LLC (other than Initial Borrower, collectively, “</w:t>
      </w:r>
      <w:r>
        <w:rPr>
          <w:rFonts w:ascii="Arial" w:cs="Arial" w:eastAsia="Arial" w:hAnsi="Arial"/>
          <w:sz w:val="21"/>
          <w:szCs w:val="21"/>
          <w:u w:val="single" w:color="auto"/>
          <w:color w:val="auto"/>
        </w:rPr>
        <w:t>Guarantors</w:t>
      </w:r>
      <w:r>
        <w:rPr>
          <w:rFonts w:ascii="Arial" w:cs="Arial" w:eastAsia="Arial" w:hAnsi="Arial"/>
          <w:sz w:val="21"/>
          <w:szCs w:val="21"/>
          <w:color w:val="auto"/>
        </w:rPr>
        <w:t>”), Lenders and Agent are parties to a Second Amended and Restated Loan and Security Agreement dated as of February 11, 2019 (as amended, restated, supplemented or otherwise modified from time to time, the “</w:t>
      </w:r>
      <w:r>
        <w:rPr>
          <w:rFonts w:ascii="Arial" w:cs="Arial" w:eastAsia="Arial" w:hAnsi="Arial"/>
          <w:sz w:val="21"/>
          <w:szCs w:val="21"/>
          <w:u w:val="single" w:color="auto"/>
          <w:color w:val="auto"/>
        </w:rPr>
        <w:t>Loan Agreement</w:t>
      </w:r>
      <w:r>
        <w:rPr>
          <w:rFonts w:ascii="Arial" w:cs="Arial" w:eastAsia="Arial" w:hAnsi="Arial"/>
          <w:sz w:val="21"/>
          <w:szCs w:val="21"/>
          <w:color w:val="auto"/>
        </w:rPr>
        <w:t>”) pursuant to which Lenders made term loans to Initial Borrower secured by a Lien on substantially all of the assets of Initial Borrower. Guarantors have guaranteed the payment and performance of Initial Borrower’s obligations to Lenders and Agent under the Loan Agreement which guarantee obligations are secured by a Lien on substantially all of the assets of Guarantors.</w:t>
      </w:r>
    </w:p>
    <w:p>
      <w:pPr>
        <w:spacing w:after="0" w:line="181"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Initial Borrower has requested that Lenders waive compliance with certain financial covenants, waive the requirement for the payment due on March 31, 2020 on Term Loan A and make certain amendments to the Loan Agreement. Lenders and Agent have agreed to provide such waivers and amend the Loan Agreement on the terms and conditions set forth herein.</w:t>
      </w:r>
    </w:p>
    <w:p>
      <w:pPr>
        <w:spacing w:after="0" w:line="143"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NOW, THEREFORE, in consideration of the financial accommodations provided to Initial Borrower by Lenders,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200" w:right="219" w:firstLine="657"/>
        <w:spacing w:after="0" w:line="250" w:lineRule="auto"/>
        <w:tabs>
          <w:tab w:leader="none" w:pos="1563"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otherwise defined herein shall have the meanings given to them in the Loan Agreement.</w:t>
      </w:r>
    </w:p>
    <w:p>
      <w:pPr>
        <w:spacing w:after="0" w:line="174" w:lineRule="exact"/>
        <w:rPr>
          <w:rFonts w:ascii="Arial" w:cs="Arial" w:eastAsia="Arial" w:hAnsi="Arial"/>
          <w:sz w:val="22"/>
          <w:szCs w:val="22"/>
          <w:color w:val="010000"/>
        </w:rPr>
      </w:pPr>
    </w:p>
    <w:p>
      <w:pPr>
        <w:jc w:val="both"/>
        <w:ind w:left="200" w:right="219" w:firstLine="657"/>
        <w:spacing w:after="0" w:line="236" w:lineRule="auto"/>
        <w:tabs>
          <w:tab w:leader="none" w:pos="1523"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Subject to the satisfaction of the conditions precedent set forth in Section 4 below, Lenders hereby (a) waive the Events of Default arising solely from the failure to maintain the Fixed Charge Coverage Ratio and Leverage Ratio for the Fiscal Quarter ending December 31, 2019 and (b) waives the requirement for the payment due on March 31, 2020 on Term Loan A in the amount of $1,250,000.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723900</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9" w:name="page110"/>
    <w:bookmarkEnd w:id="109"/>
    <w:p>
      <w:pPr>
        <w:ind w:left="200" w:right="219" w:firstLine="657"/>
        <w:spacing w:after="0" w:line="251" w:lineRule="auto"/>
        <w:tabs>
          <w:tab w:leader="none" w:pos="1536"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Amendments to Loan Agreement</w:t>
      </w:r>
      <w:r>
        <w:rPr>
          <w:rFonts w:ascii="Arial" w:cs="Arial" w:eastAsia="Arial" w:hAnsi="Arial"/>
          <w:sz w:val="22"/>
          <w:szCs w:val="22"/>
          <w:color w:val="auto"/>
        </w:rPr>
        <w:t>. Subject to the satisfaction of the conditions set forth in Section 4 below, the Loan Agreement is amended as follows: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3"/>
          <w:szCs w:val="13"/>
          <w:color w:val="auto"/>
        </w:rPr>
        <w:t>220846-10005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00" w:hanging="695"/>
        <w:spacing w:after="0"/>
        <w:tabs>
          <w:tab w:leader="none" w:pos="70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Section 1.1 (Definitions) is amended as follows:</w:t>
      </w:r>
    </w:p>
    <w:p>
      <w:pPr>
        <w:spacing w:after="0" w:line="206" w:lineRule="exact"/>
        <w:rPr>
          <w:rFonts w:ascii="Arial" w:cs="Arial" w:eastAsia="Arial" w:hAnsi="Arial"/>
          <w:sz w:val="22"/>
          <w:szCs w:val="22"/>
          <w:color w:val="010000"/>
        </w:rPr>
      </w:pPr>
    </w:p>
    <w:p>
      <w:pPr>
        <w:ind w:left="1380" w:hanging="727"/>
        <w:spacing w:after="0"/>
        <w:tabs>
          <w:tab w:leader="none" w:pos="1380" w:val="left"/>
        </w:tabs>
        <w:numPr>
          <w:ilvl w:val="1"/>
          <w:numId w:val="50"/>
        </w:numPr>
        <w:rPr>
          <w:rFonts w:ascii="Arial" w:cs="Arial" w:eastAsia="Arial" w:hAnsi="Arial"/>
          <w:sz w:val="19"/>
          <w:szCs w:val="19"/>
          <w:color w:val="010000"/>
        </w:rPr>
      </w:pPr>
      <w:r>
        <w:rPr>
          <w:rFonts w:ascii="Arial" w:cs="Arial" w:eastAsia="Arial" w:hAnsi="Arial"/>
          <w:sz w:val="19"/>
          <w:szCs w:val="19"/>
          <w:color w:val="auto"/>
        </w:rPr>
        <w:t>The following defined therein are amended to provide as follows:</w:t>
      </w:r>
    </w:p>
    <w:p>
      <w:pPr>
        <w:spacing w:after="0" w:line="241" w:lineRule="exact"/>
        <w:rPr>
          <w:sz w:val="20"/>
          <w:szCs w:val="20"/>
          <w:color w:val="auto"/>
        </w:rPr>
      </w:pPr>
    </w:p>
    <w:p>
      <w:pPr>
        <w:jc w:val="both"/>
        <w:ind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means (without duplication), for any fiscal period, Cash Flow from Operations before any distributions permitted pursuant to </w:t>
      </w:r>
      <w:r>
        <w:rPr>
          <w:rFonts w:ascii="Arial" w:cs="Arial" w:eastAsia="Arial" w:hAnsi="Arial"/>
          <w:sz w:val="19"/>
          <w:szCs w:val="19"/>
          <w:u w:val="single" w:color="auto"/>
          <w:color w:val="auto"/>
        </w:rPr>
        <w:t>Section 9(h)(iii)</w:t>
      </w:r>
      <w:r>
        <w:rPr>
          <w:rFonts w:ascii="Arial" w:cs="Arial" w:eastAsia="Arial" w:hAnsi="Arial"/>
          <w:sz w:val="19"/>
          <w:szCs w:val="19"/>
          <w:color w:val="auto"/>
        </w:rPr>
        <w:t xml:space="preserve"> for such period less (a) Capital Expenditures not made through the incurrence of Indebtedness less (b) all cash principal (including Indebtedness owed to Lenders) paid or payable during such period less (c) all Pass Thru Distributions made during such period less (d) the proceeds (or forgiveness) from SBA PPP Loans but only to the extent such proceeds (or forgiveness) are included in Cash Flow from Operations in accordance with GAAP.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Charges</w:t>
      </w:r>
      <w:r>
        <w:rPr>
          <w:rFonts w:ascii="Arial" w:cs="Arial" w:eastAsia="Arial" w:hAnsi="Arial"/>
          <w:sz w:val="19"/>
          <w:szCs w:val="19"/>
          <w:color w:val="auto"/>
        </w:rPr>
        <w:t>” means for any period, as respects any Person, the sum of</w:t>
      </w:r>
    </w:p>
    <w:p>
      <w:pPr>
        <w:spacing w:after="0" w:line="43" w:lineRule="exact"/>
        <w:rPr>
          <w:sz w:val="20"/>
          <w:szCs w:val="20"/>
          <w:color w:val="auto"/>
        </w:rPr>
      </w:pPr>
    </w:p>
    <w:p>
      <w:pPr>
        <w:jc w:val="both"/>
        <w:ind w:right="219" w:firstLine="5"/>
        <w:spacing w:after="0" w:line="243" w:lineRule="auto"/>
        <w:tabs>
          <w:tab w:leader="none" w:pos="318"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cash interest expense on Indebtedness (other than the SBA PPP Loans) of such Person for such period, (b) the principal amount of total Indebtedness (other than the SBA PPP Loans) of such Person having a scheduled due date during such period other than any such amounts payable in Equity Interests, (c) unfinanced Capital Expenditures, (d) all federal, state, local and foreign taxes paid during such period, (e) all other cash distributions or dividends made by such Person and (e) the net amounts paid for redemptions of Equity Interests after giving effect to tax benefits.</w:t>
      </w:r>
    </w:p>
    <w:p>
      <w:pPr>
        <w:spacing w:after="0" w:line="186" w:lineRule="exact"/>
        <w:rPr>
          <w:sz w:val="20"/>
          <w:szCs w:val="20"/>
          <w:color w:val="auto"/>
        </w:rPr>
      </w:pPr>
    </w:p>
    <w:p>
      <w:pPr>
        <w:jc w:val="both"/>
        <w:ind w:right="23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Leverage Ratio</w:t>
      </w:r>
      <w:r>
        <w:rPr>
          <w:rFonts w:ascii="Arial" w:cs="Arial" w:eastAsia="Arial" w:hAnsi="Arial"/>
          <w:sz w:val="22"/>
          <w:szCs w:val="22"/>
          <w:color w:val="auto"/>
        </w:rPr>
        <w:t>” means at the date of determination thereof, the ratio of (a) Indebtedness excluding the JR Indebtedness and the SBA PPP Loans to (b) EBITDA for the twelve month period then ended.</w:t>
      </w:r>
    </w:p>
    <w:p>
      <w:pPr>
        <w:spacing w:after="0" w:line="186" w:lineRule="exact"/>
        <w:rPr>
          <w:sz w:val="20"/>
          <w:szCs w:val="20"/>
          <w:color w:val="auto"/>
        </w:rPr>
      </w:pPr>
    </w:p>
    <w:p>
      <w:pPr>
        <w:jc w:val="both"/>
        <w:ind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 the declaration or payment of any dividend or the incurrence of any liability to make any other payment or distribution of cash or other property or assets on or in respect of Credit Party’s Equity Interests;</w:t>
      </w:r>
    </w:p>
    <w:p>
      <w:pPr>
        <w:spacing w:after="0" w:line="1" w:lineRule="exact"/>
        <w:rPr>
          <w:sz w:val="20"/>
          <w:szCs w:val="20"/>
          <w:color w:val="auto"/>
        </w:rPr>
      </w:pPr>
    </w:p>
    <w:p>
      <w:pPr>
        <w:jc w:val="both"/>
        <w:ind w:right="219" w:firstLine="5"/>
        <w:spacing w:after="0" w:line="270" w:lineRule="auto"/>
        <w:tabs>
          <w:tab w:leader="none" w:pos="329"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payment or distribution made in respect of any Subordinated Debt of any Credit Party in violation of any subordination or other agreement made in favor of Lenders; (c) any payment on account of the purchase, redemption, defeasance or other retirement of any Credit Party’s Equity Interests or Indebtedness or any other payment or distribution made in respect of any thereof, either directly or indirectly; or (d) any payment, loan, contribution, or other transfer of funds or other property to any Equity Interests Holder of such Person which is not expressly and specifically permitted in this Agreement; provided, that no payment to Agent or any Lender shall constitute a Restricted Payment; provided that any payments of the principal amount of, and regularly scheduled interest accrued on the SBA PPP Loans at a per annum rate not to exceed 1.00%, to the extent such payments are not deferred or forgiven, shall not be Restricted Payments.</w:t>
      </w:r>
    </w:p>
    <w:p>
      <w:pPr>
        <w:spacing w:after="0" w:line="16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478790</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2">
            <w:col w:w="1140" w:space="360"/>
            <w:col w:w="7519"/>
          </w:cols>
          <w:pgMar w:left="1440" w:top="118" w:right="1440" w:bottom="1440" w:gutter="0" w:footer="0" w:header="0"/>
          <w:type w:val="continuous"/>
        </w:sectPr>
      </w:pPr>
    </w:p>
    <w:bookmarkStart w:id="110" w:name="page111"/>
    <w:bookmarkEnd w:id="110"/>
    <w:p>
      <w:pPr>
        <w:jc w:val="both"/>
        <w:ind w:left="2160"/>
        <w:spacing w:after="0"/>
        <w:tabs>
          <w:tab w:leader="none" w:pos="2960" w:val="left"/>
        </w:tabs>
        <w:rPr>
          <w:sz w:val="20"/>
          <w:szCs w:val="20"/>
          <w:color w:val="auto"/>
        </w:rPr>
      </w:pPr>
      <w:r>
        <w:rPr>
          <w:rFonts w:ascii="Arial" w:cs="Arial" w:eastAsia="Arial" w:hAnsi="Arial"/>
          <w:sz w:val="22"/>
          <w:szCs w:val="22"/>
          <w:color w:val="010000"/>
        </w:rPr>
        <w:t>(ii)</w:t>
      </w:r>
      <w:r>
        <w:rPr>
          <w:sz w:val="20"/>
          <w:szCs w:val="20"/>
          <w:color w:val="auto"/>
        </w:rPr>
        <w:tab/>
      </w:r>
      <w:r>
        <w:rPr>
          <w:rFonts w:ascii="Arial" w:cs="Arial" w:eastAsia="Arial" w:hAnsi="Arial"/>
          <w:sz w:val="22"/>
          <w:szCs w:val="22"/>
          <w:color w:val="auto"/>
        </w:rPr>
        <w:t>The  following  defined  terms  are  inserted  in  the  appropriate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alphabetical order:</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3"/>
          <w:szCs w:val="13"/>
          <w:color w:val="auto"/>
        </w:rPr>
        <w:t>220846-10005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1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$750,000 Prepayment</w:t>
      </w:r>
      <w:r>
        <w:rPr>
          <w:rFonts w:ascii="Arial" w:cs="Arial" w:eastAsia="Arial" w:hAnsi="Arial"/>
          <w:sz w:val="19"/>
          <w:szCs w:val="19"/>
          <w:color w:val="auto"/>
        </w:rPr>
        <w:t>” means the prepayment by Borrowers of the Term Loan in the principal amount up to $750,000 on or prior to December 31, 2020.</w:t>
      </w:r>
    </w:p>
    <w:p>
      <w:pPr>
        <w:spacing w:after="0" w:line="105" w:lineRule="exact"/>
        <w:rPr>
          <w:sz w:val="20"/>
          <w:szCs w:val="20"/>
          <w:color w:val="auto"/>
        </w:rPr>
      </w:pPr>
    </w:p>
    <w:p>
      <w:pPr>
        <w:jc w:val="both"/>
        <w:ind w:right="219" w:firstLine="8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 Paycheck Protection Loan Program”</w:t>
      </w:r>
      <w:r>
        <w:rPr>
          <w:rFonts w:ascii="Arial" w:cs="Arial" w:eastAsia="Arial" w:hAnsi="Arial"/>
          <w:sz w:val="22"/>
          <w:szCs w:val="22"/>
          <w:color w:val="auto"/>
        </w:rPr>
        <w:t xml:space="preserve"> the Small Business Administration’s Paycheck Protection Program pursuant to the Coronavirus Aid, Relief, and Economic Security Act, as the same may be amended, supplemented or modified from time to time.</w:t>
      </w:r>
    </w:p>
    <w:p>
      <w:pPr>
        <w:spacing w:after="0" w:line="185" w:lineRule="exact"/>
        <w:rPr>
          <w:sz w:val="20"/>
          <w:szCs w:val="20"/>
          <w:color w:val="auto"/>
        </w:rPr>
      </w:pPr>
    </w:p>
    <w:p>
      <w:pPr>
        <w:jc w:val="both"/>
        <w:ind w:right="21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 PPP Loans</w:t>
      </w:r>
      <w:r>
        <w:rPr>
          <w:rFonts w:ascii="Arial" w:cs="Arial" w:eastAsia="Arial" w:hAnsi="Arial"/>
          <w:sz w:val="22"/>
          <w:szCs w:val="22"/>
          <w:color w:val="auto"/>
        </w:rPr>
        <w:t>” means unsecured Indebtedness incurred by Borrower under the SBA Paycheck Protection Loan Program.</w:t>
      </w:r>
    </w:p>
    <w:p>
      <w:pPr>
        <w:spacing w:after="0" w:line="175" w:lineRule="exact"/>
        <w:rPr>
          <w:sz w:val="20"/>
          <w:szCs w:val="20"/>
          <w:color w:val="auto"/>
        </w:rPr>
      </w:pPr>
    </w:p>
    <w:p>
      <w:pPr>
        <w:ind w:left="700" w:hanging="695"/>
        <w:spacing w:after="0"/>
        <w:tabs>
          <w:tab w:leader="none" w:pos="70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Section 3.6 is amended in its entirety to provide as follows:</w:t>
      </w:r>
    </w:p>
    <w:p>
      <w:pPr>
        <w:spacing w:after="0" w:line="206" w:lineRule="exact"/>
        <w:rPr>
          <w:sz w:val="20"/>
          <w:szCs w:val="20"/>
          <w:color w:val="auto"/>
        </w:rPr>
      </w:pPr>
    </w:p>
    <w:p>
      <w:pPr>
        <w:jc w:val="both"/>
        <w:ind w:right="219"/>
        <w:spacing w:after="0" w:line="271"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Voluntary Prepayments</w:t>
      </w:r>
      <w:r>
        <w:rPr>
          <w:rFonts w:ascii="Arial" w:cs="Arial" w:eastAsia="Arial" w:hAnsi="Arial"/>
          <w:sz w:val="19"/>
          <w:szCs w:val="19"/>
          <w:color w:val="auto"/>
        </w:rPr>
        <w:t>. Borrowing Representative shall have the right, at any time upon thirty (30) day’s prior written notice to Agent to (a) terminate voluntarily Borrowers’ right to receive or benefit from, and Revolving Lenders’ obligation to make and to incur, Revolving Loans and Letter of Credit Obligations,</w:t>
      </w:r>
    </w:p>
    <w:p>
      <w:pPr>
        <w:spacing w:after="0" w:line="3" w:lineRule="exact"/>
        <w:rPr>
          <w:sz w:val="20"/>
          <w:szCs w:val="20"/>
          <w:color w:val="auto"/>
        </w:rPr>
      </w:pPr>
    </w:p>
    <w:p>
      <w:pPr>
        <w:jc w:val="both"/>
        <w:ind w:right="219" w:firstLine="5"/>
        <w:spacing w:after="0" w:line="269" w:lineRule="auto"/>
        <w:tabs>
          <w:tab w:leader="none" w:pos="308"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repay all outstanding Revolving Loans, Letter of Credit Obligations and accrued and unpaid interest thereon or (c) cause Borrowers to prepay all or a portion of the Term Loans or Incremental Term Loans, provided that any prepayment of less than all of the outstanding balance of the Term Loans or Incremental Term Loans shall be applied to the remaining installments of the Term Loans or Incremental Term Loan pro rata in the inverse order of their maturity. If any Term Loan or any Incremental Term Loan is prepaid on or prior to the third anniversary of the Effective Date (including as a result of the occurrence of an Event of Default), Borrowers shall pay to such Lenders the applicable Early Termination Fee. Each Borrower acknowledges and agrees that (i) it would be difficult or impractical to calculate Lenders’ actual damages from early repayment of any Term Loan or Incremental Term Loan, (ii) the Early Termination Fee is intended to be fair and reasonable approximations of such damages, and (iii) the Early Termination Fee is not intended to be a penalty. Notwithstanding the foregoing, in the event that Borrowers make the $750,000 Prepayment, such prepayment shall be applied to installment of the Term Loan due and payable on April 30, 2021 and no Early Termination Fee shall be due and payable in connection therewith.”</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700" w:hanging="695"/>
        <w:spacing w:after="0"/>
        <w:tabs>
          <w:tab w:leader="none" w:pos="70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Section 3.7(a) is amended in its entirety to provide as follows:</w:t>
      </w:r>
    </w:p>
    <w:p>
      <w:pPr>
        <w:spacing w:after="0" w:line="206" w:lineRule="exact"/>
        <w:rPr>
          <w:sz w:val="20"/>
          <w:szCs w:val="20"/>
          <w:color w:val="auto"/>
        </w:rPr>
      </w:pPr>
    </w:p>
    <w:p>
      <w:pPr>
        <w:jc w:val="both"/>
        <w:ind w:right="219"/>
        <w:spacing w:after="0" w:line="277" w:lineRule="auto"/>
        <w:rPr>
          <w:sz w:val="20"/>
          <w:szCs w:val="20"/>
          <w:color w:val="auto"/>
        </w:rPr>
      </w:pPr>
      <w:r>
        <w:rPr>
          <w:rFonts w:ascii="Arial" w:cs="Arial" w:eastAsia="Arial" w:hAnsi="Arial"/>
          <w:sz w:val="19"/>
          <w:szCs w:val="19"/>
          <w:color w:val="auto"/>
        </w:rPr>
        <w:t>“(a) If for any Fiscal Quarter, commencing with Fiscal Quarter ending on March 31, 2021, there shall be Excess Cash Flow for such Fiscal Quarter, then Borrowers shall pay to Agent for the benefit of Lenders holding a portion of the Term Loans an amount equal to fifty percent (50%) of such Excess Cash Flow until the aggregate amount paid for all such Fiscal Quarters equals $2,000,000 (the “</w:t>
      </w:r>
      <w:r>
        <w:rPr>
          <w:rFonts w:ascii="Arial" w:cs="Arial" w:eastAsia="Arial" w:hAnsi="Arial"/>
          <w:sz w:val="19"/>
          <w:szCs w:val="19"/>
          <w:u w:val="single" w:color="auto"/>
          <w:color w:val="auto"/>
        </w:rPr>
        <w:t>$2,000,000 Amount</w:t>
      </w:r>
      <w:r>
        <w:rPr>
          <w:rFonts w:ascii="Arial" w:cs="Arial" w:eastAsia="Arial" w:hAnsi="Arial"/>
          <w:sz w:val="19"/>
          <w:szCs w:val="19"/>
          <w:color w:val="auto"/>
        </w:rPr>
        <w:t>”). If for any Fiscal Year commencing with the Fiscal Year Borrowers paid to Agent the entire , $2,000,000 Amount, there shall be Excess</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478790</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2">
            <w:col w:w="1140" w:space="360"/>
            <w:col w:w="7519"/>
          </w:cols>
          <w:pgMar w:left="1440" w:top="118" w:right="1440" w:bottom="144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3"/>
          <w:szCs w:val="13"/>
          <w:color w:val="auto"/>
        </w:rPr>
        <w:t>220846-10005</w:t>
      </w:r>
    </w:p>
    <w:p>
      <w:pPr>
        <w:spacing w:after="0" w:line="20" w:lineRule="exact"/>
        <w:rPr>
          <w:sz w:val="20"/>
          <w:szCs w:val="20"/>
          <w:color w:val="auto"/>
        </w:rPr>
      </w:pPr>
      <w:r>
        <w:rPr>
          <w:sz w:val="20"/>
          <w:szCs w:val="20"/>
          <w:color w:val="auto"/>
        </w:rPr>
        <w:br w:type="column"/>
      </w:r>
    </w:p>
    <w:p>
      <w:pPr>
        <w:jc w:val="both"/>
        <w:ind w:right="219"/>
        <w:spacing w:after="0" w:line="269" w:lineRule="auto"/>
        <w:rPr>
          <w:sz w:val="20"/>
          <w:szCs w:val="20"/>
          <w:color w:val="auto"/>
        </w:rPr>
      </w:pPr>
      <w:r>
        <w:rPr>
          <w:rFonts w:ascii="Arial" w:cs="Arial" w:eastAsia="Arial" w:hAnsi="Arial"/>
          <w:sz w:val="19"/>
          <w:szCs w:val="19"/>
          <w:color w:val="auto"/>
        </w:rPr>
        <w:t>Cash Flow for such Fiscal Year, then Borrowers shall pay to Agent for the benefit of such Lenders an amount equal to ten percent (10%) of Excess Cash Flow at the end of each Fiscal Year (collectively with the $2,000,000 Amount, the “</w:t>
      </w:r>
      <w:r>
        <w:rPr>
          <w:rFonts w:ascii="Arial" w:cs="Arial" w:eastAsia="Arial" w:hAnsi="Arial"/>
          <w:sz w:val="19"/>
          <w:szCs w:val="19"/>
          <w:u w:val="single" w:color="auto"/>
          <w:color w:val="auto"/>
        </w:rPr>
        <w:t>Cash Flow</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Recapture Requirement</w:t>
      </w:r>
      <w:r>
        <w:rPr>
          <w:rFonts w:ascii="Arial" w:cs="Arial" w:eastAsia="Arial" w:hAnsi="Arial"/>
          <w:sz w:val="19"/>
          <w:szCs w:val="19"/>
          <w:color w:val="auto"/>
        </w:rPr>
        <w:t>”). The Cash Flow Recapture Requirement for any such Fiscal Quarter or Fiscal Year, as applicable, shall be received by Agent no later than the date that is seven (7) days after the delivery of the Financial Statements for such Fiscal Quarter or Fiscal Year, as applicable, required pursuant to Section 8.1 and, in the event that the Cash Flow Recapture Requirement paid to the Agent for all Fiscal Quarters commencing with the Fiscal Quarter ending on March 31, 2021 and ending with the Fiscal Quarter ending on March 31, 2022 is less than the $2,000,000 Amount, then Borrower shall pay to Agent the shortfall no later than the date that is seven (7) days after the delivery of the Financial Statements for the Fiscal Quarter ending on March 31, 2022 required pursuant to Section 8.1. The Cash Flow Recapture requirement shall be applied to the principal amount of the Term Loan B first in the reverse order of maturity, then to the principal amount of Term Loan A in the reverse order of maturity and after the Term Loans have been paid in full, to the outstanding principal balance of the Incremental Term Loans pro rata with any balance going to pay the outstanding principal balance of the Revolving Loan. Borrowers shall not be required to pay an Early Termination Fee on any amount repaid due to the Cash Flow Recapture Requirement. To the extent applicable, amounts prepaid shall be applied first to any Base Rate Loans then outstanding and then to outstanding LIBOR Rate Loans with the shortest Interest Periods remaining. Together with each prepayment of a LIBOR Rate Loan or a Fixed Rate Loan, Borrowers shall pay any amounts due and payable pursuant to Section 3.12.”</w:t>
      </w:r>
    </w:p>
    <w:p>
      <w:pPr>
        <w:spacing w:after="0" w:line="200" w:lineRule="exact"/>
        <w:rPr>
          <w:sz w:val="20"/>
          <w:szCs w:val="20"/>
          <w:color w:val="auto"/>
        </w:rPr>
      </w:pPr>
    </w:p>
    <w:p>
      <w:pPr>
        <w:spacing w:after="0" w:line="214" w:lineRule="exact"/>
        <w:rPr>
          <w:sz w:val="20"/>
          <w:szCs w:val="20"/>
          <w:color w:val="auto"/>
        </w:rPr>
      </w:pPr>
    </w:p>
    <w:p>
      <w:pPr>
        <w:ind w:left="700" w:hanging="695"/>
        <w:spacing w:after="0"/>
        <w:tabs>
          <w:tab w:leader="none" w:pos="70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Section 8.3 is amended in its entirety to provide as follows:</w:t>
      </w:r>
    </w:p>
    <w:p>
      <w:pPr>
        <w:spacing w:after="0" w:line="206" w:lineRule="exact"/>
        <w:rPr>
          <w:sz w:val="20"/>
          <w:szCs w:val="20"/>
          <w:color w:val="auto"/>
        </w:rPr>
      </w:pPr>
    </w:p>
    <w:p>
      <w:pPr>
        <w:jc w:val="both"/>
        <w:ind w:right="219"/>
        <w:spacing w:after="0" w:line="243"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Other Reports and Information</w:t>
      </w:r>
      <w:r>
        <w:rPr>
          <w:rFonts w:ascii="Arial" w:cs="Arial" w:eastAsia="Arial" w:hAnsi="Arial"/>
          <w:sz w:val="21"/>
          <w:szCs w:val="21"/>
          <w:color w:val="auto"/>
        </w:rPr>
        <w:t>. Each Credit Party shall advise Agent promptly, in reasonable detail, of: (a) any Lien, other than Permitted Liens, attaching to or asserted against any of the Collateral or any occurrence causing a material loss or decline in value of any Collateral and the estimated (or actual, if available) amount of such loss or decline; (b) any material change in the composition of the Collateral; (c) the occurrence of any Default, Event of Default or other event which has had or could reasonably be expected to have a Material Adverse Effect; and (d) any actual or alleged breaches of any Material Contract or termination or threat to terminate any Material Contract or any amendment to or modification of a Material Contract, in each case which affect in a material respect the amount payable to a Credit Party thereunder or could otherwise reasonably be expected to have a Material Adverse Effect, or the execution of any new Material Contract by any Credit Party. Each Credit Party shall, upon request of Agent, furnish to Agent such other reports and information in connection with the affairs, business, financial condition, operations, prospects or management of such Credit Party or the Collateral as Agent may request, all in reasonable detail. Borrowers shall promptly (and in any event within two (2) Business Days or such longer period as the Lender may agree) provide Agent with (a) notice of (i) Borrowers’ receipt of proceeds of any SBA PPP Loan and (ii) the forgiveness of any portion of any SBA</w:t>
      </w:r>
    </w:p>
    <w:p>
      <w:pPr>
        <w:spacing w:after="0" w:line="186"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478790</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1140" w:space="360"/>
            <w:col w:w="7519"/>
          </w:cols>
          <w:pgMar w:left="1440" w:top="118" w:right="1440" w:bottom="1440" w:gutter="0" w:footer="0" w:header="0"/>
        </w:sectPr>
      </w:pPr>
    </w:p>
    <w:bookmarkStart w:id="112" w:name="page113"/>
    <w:bookmarkEnd w:id="112"/>
    <w:p>
      <w:pPr>
        <w:jc w:val="both"/>
        <w:ind w:left="1500" w:right="219" w:firstLine="5"/>
        <w:spacing w:after="0" w:line="258" w:lineRule="auto"/>
        <w:tabs>
          <w:tab w:leader="none" w:pos="1928" w:val="left"/>
        </w:tabs>
        <w:numPr>
          <w:ilvl w:val="0"/>
          <w:numId w:val="56"/>
        </w:numPr>
        <w:rPr>
          <w:rFonts w:ascii="Arial" w:cs="Arial" w:eastAsia="Arial" w:hAnsi="Arial"/>
          <w:sz w:val="21"/>
          <w:szCs w:val="21"/>
          <w:color w:val="auto"/>
        </w:rPr>
      </w:pPr>
      <w:r>
        <w:rPr>
          <w:rFonts w:ascii="Arial" w:cs="Arial" w:eastAsia="Arial" w:hAnsi="Arial"/>
          <w:sz w:val="21"/>
          <w:szCs w:val="21"/>
          <w:color w:val="auto"/>
        </w:rPr>
        <w:t>Loan, (b) the final executed agreements governing the terms of any SBA PPP Loan and (c) any other documents or information related to the SBA PPP Loans reasonably requested by Agent.”</w:t>
      </w:r>
    </w:p>
    <w:p>
      <w:pPr>
        <w:spacing w:after="0" w:line="167" w:lineRule="exact"/>
        <w:rPr>
          <w:sz w:val="20"/>
          <w:szCs w:val="20"/>
          <w:color w:val="auto"/>
        </w:rPr>
      </w:pPr>
    </w:p>
    <w:p>
      <w:pPr>
        <w:ind w:left="2200" w:hanging="695"/>
        <w:spacing w:after="0"/>
        <w:tabs>
          <w:tab w:leader="none" w:pos="220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Section 9(b) is amended to provide as follows:</w:t>
      </w:r>
    </w:p>
    <w:p>
      <w:pPr>
        <w:spacing w:after="0" w:line="206" w:lineRule="exact"/>
        <w:rPr>
          <w:sz w:val="20"/>
          <w:szCs w:val="20"/>
          <w:color w:val="auto"/>
        </w:rPr>
      </w:pPr>
    </w:p>
    <w:p>
      <w:pPr>
        <w:jc w:val="both"/>
        <w:ind w:left="1500" w:right="219"/>
        <w:spacing w:after="0" w:line="269" w:lineRule="auto"/>
        <w:rPr>
          <w:sz w:val="20"/>
          <w:szCs w:val="20"/>
          <w:color w:val="auto"/>
        </w:rPr>
      </w:pPr>
      <w:r>
        <w:rPr>
          <w:rFonts w:ascii="Arial" w:cs="Arial" w:eastAsia="Arial" w:hAnsi="Arial"/>
          <w:sz w:val="19"/>
          <w:szCs w:val="19"/>
          <w:color w:val="auto"/>
        </w:rPr>
        <w:t xml:space="preserve">“(b) cancel any debt owing to it or create, incur, assume or permit to exist any Indebtedness, except: (i) the Obligations, (ii) Indebtedness existing as of the Effective Date set forth on </w:t>
      </w:r>
      <w:r>
        <w:rPr>
          <w:rFonts w:ascii="Arial" w:cs="Arial" w:eastAsia="Arial" w:hAnsi="Arial"/>
          <w:sz w:val="19"/>
          <w:szCs w:val="19"/>
          <w:u w:val="single" w:color="auto"/>
          <w:color w:val="auto"/>
        </w:rPr>
        <w:t>Disclosure Schedule 9(b)</w:t>
      </w:r>
      <w:r>
        <w:rPr>
          <w:rFonts w:ascii="Arial" w:cs="Arial" w:eastAsia="Arial" w:hAnsi="Arial"/>
          <w:sz w:val="19"/>
          <w:szCs w:val="19"/>
          <w:color w:val="auto"/>
        </w:rPr>
        <w:t xml:space="preserve"> , and any refinancings, refundings, renewals or extensions thereof (without any increase in the principal amount thereof and any shortening of the maturity of any principal amount thereof) except that any Credit Party may amend </w:t>
      </w:r>
      <w:r>
        <w:rPr>
          <w:rFonts w:ascii="Arial" w:cs="Arial" w:eastAsia="Arial" w:hAnsi="Arial"/>
          <w:sz w:val="19"/>
          <w:szCs w:val="19"/>
          <w:u w:val="single" w:color="auto"/>
          <w:color w:val="auto"/>
        </w:rPr>
        <w:t>Disclosure Schedule 9(b</w:t>
      </w:r>
      <w:r>
        <w:rPr>
          <w:rFonts w:ascii="Arial" w:cs="Arial" w:eastAsia="Arial" w:hAnsi="Arial"/>
          <w:sz w:val="19"/>
          <w:szCs w:val="19"/>
          <w:color w:val="auto"/>
        </w:rPr>
        <w:t>) to (A) modify the manner, calculations or mechanics by which amounts thereunder are payable in Equity Interests of Initial Borrower and (B) extend the maturity of all or any portion of the Indebtedness evidenced thereby; (iii) deferred taxes, (iv) by endorsement of instruments or items of payment for deposit to the general account of such Credit Party, (v) for Guaranteed Indebtedness incurred for the benefit of a Borrower if the primary obligation is permitted by this Agreement; (vi) additional Indebtedness (including Purchase Money Indebtedness) incurred after the Effective Date in an aggregate outstanding amount for Credit Parties not exceeding the $750,000; (vii) unsecured indebtedness (other than the SBA PPP Loans) not to exceed $500,000 in the aggregate at any time outstanding; (viii) indebtedness under Rate Contracts entered in the ordinary course of business in order to mitigate interest rate, currency or similar risks and not for speculative purposes with respect to the Term Loans; and (ix) SBA PPP Loans provided that Borrowers shall use commercially reasonable efforts to (a) comply with all requirements to ensure the SBA PPP Loans are forgiven to the maximum extent permitted by the SBA Paycheck Protection Loan Program and (b) cause all payments of principal and interest in respect of the SBA PPP Loans to be deferred to the maximum extent permitted by the SBA Paycheck Protection Loan Program.”</w:t>
      </w:r>
    </w:p>
    <w:p>
      <w:pPr>
        <w:spacing w:after="0" w:line="171" w:lineRule="exact"/>
        <w:rPr>
          <w:sz w:val="20"/>
          <w:szCs w:val="20"/>
          <w:color w:val="auto"/>
        </w:rPr>
      </w:pPr>
    </w:p>
    <w:p>
      <w:pPr>
        <w:ind w:left="2220" w:hanging="715"/>
        <w:spacing w:after="0"/>
        <w:tabs>
          <w:tab w:leader="none" w:pos="2220"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(Form of Term Loan Note A) is replaced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Amendment.</w:t>
      </w:r>
    </w:p>
    <w:p>
      <w:pPr>
        <w:spacing w:after="0" w:line="188" w:lineRule="exact"/>
        <w:rPr>
          <w:sz w:val="20"/>
          <w:szCs w:val="20"/>
          <w:color w:val="auto"/>
        </w:rPr>
      </w:pPr>
    </w:p>
    <w:p>
      <w:pPr>
        <w:ind w:left="2220" w:hanging="715"/>
        <w:spacing w:after="0"/>
        <w:tabs>
          <w:tab w:leader="none" w:pos="2220" w:val="left"/>
        </w:tabs>
        <w:numPr>
          <w:ilvl w:val="1"/>
          <w:numId w:val="59"/>
        </w:numPr>
        <w:rPr>
          <w:rFonts w:ascii="Arial" w:cs="Arial" w:eastAsia="Arial" w:hAnsi="Arial"/>
          <w:sz w:val="21"/>
          <w:szCs w:val="21"/>
          <w:color w:val="010000"/>
        </w:rPr>
      </w:pPr>
      <w:r>
        <w:rPr>
          <w:rFonts w:ascii="Arial" w:cs="Arial" w:eastAsia="Arial" w:hAnsi="Arial"/>
          <w:sz w:val="21"/>
          <w:szCs w:val="21"/>
          <w:u w:val="single" w:color="auto"/>
          <w:color w:val="auto"/>
        </w:rPr>
        <w:t>Exhibit B-2</w:t>
      </w:r>
      <w:r>
        <w:rPr>
          <w:rFonts w:ascii="Arial" w:cs="Arial" w:eastAsia="Arial" w:hAnsi="Arial"/>
          <w:sz w:val="21"/>
          <w:szCs w:val="21"/>
          <w:color w:val="auto"/>
        </w:rPr>
        <w:t xml:space="preserve"> (Form of Term Loan Note B) is replaced with </w:t>
      </w:r>
      <w:r>
        <w:rPr>
          <w:rFonts w:ascii="Arial" w:cs="Arial" w:eastAsia="Arial" w:hAnsi="Arial"/>
          <w:sz w:val="21"/>
          <w:szCs w:val="21"/>
          <w:u w:val="single" w:color="auto"/>
          <w:color w:val="auto"/>
        </w:rPr>
        <w:t>Exhibit B-2</w:t>
      </w:r>
      <w:r>
        <w:rPr>
          <w:rFonts w:ascii="Arial" w:cs="Arial" w:eastAsia="Arial" w:hAnsi="Arial"/>
          <w:sz w:val="21"/>
          <w:szCs w:val="21"/>
          <w:color w:val="auto"/>
        </w:rPr>
        <w:t xml:space="preserve"> to</w:t>
      </w:r>
    </w:p>
    <w:p>
      <w:pPr>
        <w:spacing w:after="0" w:line="19" w:lineRule="exact"/>
        <w:rPr>
          <w:rFonts w:ascii="Arial" w:cs="Arial" w:eastAsia="Arial" w:hAnsi="Arial"/>
          <w:sz w:val="21"/>
          <w:szCs w:val="21"/>
          <w:color w:val="010000"/>
        </w:rPr>
      </w:pPr>
    </w:p>
    <w:p>
      <w:pPr>
        <w:ind w:left="200"/>
        <w:spacing w:after="0"/>
        <w:rPr>
          <w:rFonts w:ascii="Arial" w:cs="Arial" w:eastAsia="Arial" w:hAnsi="Arial"/>
          <w:sz w:val="21"/>
          <w:szCs w:val="21"/>
          <w:color w:val="010000"/>
        </w:rPr>
      </w:pPr>
      <w:r>
        <w:rPr>
          <w:rFonts w:ascii="Arial" w:cs="Arial" w:eastAsia="Arial" w:hAnsi="Arial"/>
          <w:sz w:val="22"/>
          <w:szCs w:val="22"/>
          <w:color w:val="auto"/>
        </w:rPr>
        <w:t>this Amendment.</w:t>
      </w:r>
    </w:p>
    <w:p>
      <w:pPr>
        <w:spacing w:after="0" w:line="188" w:lineRule="exact"/>
        <w:rPr>
          <w:rFonts w:ascii="Arial" w:cs="Arial" w:eastAsia="Arial" w:hAnsi="Arial"/>
          <w:sz w:val="21"/>
          <w:szCs w:val="21"/>
          <w:color w:val="010000"/>
        </w:rPr>
      </w:pPr>
    </w:p>
    <w:p>
      <w:pPr>
        <w:ind w:left="2220" w:hanging="715"/>
        <w:spacing w:after="0"/>
        <w:tabs>
          <w:tab w:leader="none" w:pos="2220"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(Financial Covenants) is replaced with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to</w:t>
      </w:r>
    </w:p>
    <w:p>
      <w:pPr>
        <w:spacing w:after="0" w:line="42"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this Amendment.</w:t>
      </w:r>
    </w:p>
    <w:p>
      <w:pPr>
        <w:spacing w:after="0" w:line="188" w:lineRule="exact"/>
        <w:rPr>
          <w:rFonts w:ascii="Arial" w:cs="Arial" w:eastAsia="Arial" w:hAnsi="Arial"/>
          <w:sz w:val="19"/>
          <w:szCs w:val="19"/>
          <w:color w:val="010000"/>
        </w:rPr>
      </w:pPr>
    </w:p>
    <w:p>
      <w:pPr>
        <w:jc w:val="both"/>
        <w:ind w:left="200" w:right="219" w:firstLine="657"/>
        <w:spacing w:after="0" w:line="238" w:lineRule="auto"/>
        <w:tabs>
          <w:tab w:leader="none" w:pos="1550"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This Amendment shall become effective upon (a) Agent’s receipt of this Amendment duly executed by each Credit Party and each Lender and (b) Agent’s receipt of Term Loan Note A and Term Loan Note B in the form attached to this Amendment duly executed by each Borrower.</w:t>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18858918.12</w:t>
            </w:r>
          </w:p>
        </w:tc>
        <w:tc>
          <w:tcPr>
            <w:tcW w:w="6000" w:type="dxa"/>
            <w:vAlign w:val="bottom"/>
          </w:tcPr>
          <w:p>
            <w:pPr>
              <w:jc w:val="right"/>
              <w:ind w:right="4132"/>
              <w:spacing w:after="0"/>
              <w:rPr>
                <w:sz w:val="20"/>
                <w:szCs w:val="20"/>
                <w:color w:val="auto"/>
              </w:rPr>
            </w:pPr>
            <w:r>
              <w:rPr>
                <w:rFonts w:ascii="Arial" w:cs="Arial" w:eastAsia="Arial" w:hAnsi="Arial"/>
                <w:sz w:val="22"/>
                <w:szCs w:val="22"/>
                <w:color w:val="auto"/>
              </w:rPr>
              <w:t>5</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682"/>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13" w:name="page114"/>
    <w:bookmarkEnd w:id="113"/>
    <w:p>
      <w:pPr>
        <w:ind w:left="1540" w:hanging="683"/>
        <w:spacing w:after="0"/>
        <w:tabs>
          <w:tab w:leader="none" w:pos="1540"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Credit Party hereby represents and warrants</w:t>
      </w:r>
    </w:p>
    <w:p>
      <w:pPr>
        <w:spacing w:after="0" w:line="43"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as follows:</w:t>
      </w:r>
    </w:p>
    <w:p>
      <w:pPr>
        <w:spacing w:after="0" w:line="188" w:lineRule="exact"/>
        <w:rPr>
          <w:rFonts w:ascii="Arial" w:cs="Arial" w:eastAsia="Arial" w:hAnsi="Arial"/>
          <w:sz w:val="19"/>
          <w:szCs w:val="19"/>
          <w:color w:val="010000"/>
        </w:rPr>
      </w:pPr>
    </w:p>
    <w:p>
      <w:pPr>
        <w:jc w:val="both"/>
        <w:ind w:left="200" w:right="219" w:firstLine="1305"/>
        <w:spacing w:after="0" w:line="236" w:lineRule="auto"/>
        <w:tabs>
          <w:tab w:leader="none" w:pos="2181"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This Amendment constitutes the legal, valid and binding obligation of such Credit Party and is enforceable against such Credit Party in accordance with its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187" w:lineRule="exact"/>
        <w:rPr>
          <w:rFonts w:ascii="Arial" w:cs="Arial" w:eastAsia="Arial" w:hAnsi="Arial"/>
          <w:sz w:val="22"/>
          <w:szCs w:val="22"/>
          <w:color w:val="010000"/>
        </w:rPr>
      </w:pPr>
    </w:p>
    <w:p>
      <w:pPr>
        <w:jc w:val="both"/>
        <w:ind w:left="200" w:right="219" w:firstLine="1305"/>
        <w:spacing w:after="0" w:line="236" w:lineRule="auto"/>
        <w:tabs>
          <w:tab w:leader="none" w:pos="2274"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Upon the effectiveness of this Amendment, all representations and warranties of such Credit Party contained in the Loan Documents to which it is a party continue to be true and correct in all material respects as of the date hereof, as if repeated as of the date hereof, except for such representations and warranties which, by their terms, are expressly made only as of a previous date.</w:t>
      </w:r>
    </w:p>
    <w:p>
      <w:pPr>
        <w:spacing w:after="0" w:line="187" w:lineRule="exact"/>
        <w:rPr>
          <w:rFonts w:ascii="Arial" w:cs="Arial" w:eastAsia="Arial" w:hAnsi="Arial"/>
          <w:sz w:val="22"/>
          <w:szCs w:val="22"/>
          <w:color w:val="010000"/>
        </w:rPr>
      </w:pPr>
    </w:p>
    <w:p>
      <w:pPr>
        <w:ind w:left="200" w:right="239" w:firstLine="1305"/>
        <w:spacing w:after="0" w:line="250" w:lineRule="auto"/>
        <w:tabs>
          <w:tab w:leader="none" w:pos="2222"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No Event of Default has occurred and is continuing or would exist after giving effect to this Amendment.</w:t>
      </w:r>
    </w:p>
    <w:p>
      <w:pPr>
        <w:spacing w:after="0" w:line="174" w:lineRule="exact"/>
        <w:rPr>
          <w:rFonts w:ascii="Arial" w:cs="Arial" w:eastAsia="Arial" w:hAnsi="Arial"/>
          <w:sz w:val="22"/>
          <w:szCs w:val="22"/>
          <w:color w:val="010000"/>
        </w:rPr>
      </w:pPr>
    </w:p>
    <w:p>
      <w:pPr>
        <w:ind w:left="200" w:right="239" w:firstLine="1305"/>
        <w:spacing w:after="0" w:line="250" w:lineRule="auto"/>
        <w:tabs>
          <w:tab w:leader="none" w:pos="2193"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No Credit Party has any defense, counterclaim or offset with respect to any of the Loan Documents.</w:t>
      </w:r>
    </w:p>
    <w:p>
      <w:pPr>
        <w:spacing w:after="0" w:line="174" w:lineRule="exact"/>
        <w:rPr>
          <w:rFonts w:ascii="Arial" w:cs="Arial" w:eastAsia="Arial" w:hAnsi="Arial"/>
          <w:sz w:val="22"/>
          <w:szCs w:val="22"/>
          <w:color w:val="010000"/>
        </w:rPr>
      </w:pPr>
    </w:p>
    <w:p>
      <w:pPr>
        <w:ind w:left="1540" w:hanging="683"/>
        <w:spacing w:after="0"/>
        <w:tabs>
          <w:tab w:leader="none" w:pos="154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Effect on the Loan Documents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200" w:right="239" w:firstLine="1305"/>
        <w:spacing w:after="0" w:line="328" w:lineRule="auto"/>
        <w:tabs>
          <w:tab w:leader="none" w:pos="2181" w:val="left"/>
        </w:tabs>
        <w:numPr>
          <w:ilvl w:val="1"/>
          <w:numId w:val="61"/>
        </w:numPr>
        <w:rPr>
          <w:rFonts w:ascii="Arial" w:cs="Arial" w:eastAsia="Arial" w:hAnsi="Arial"/>
          <w:sz w:val="19"/>
          <w:szCs w:val="19"/>
          <w:color w:val="010000"/>
        </w:rPr>
      </w:pPr>
      <w:r>
        <w:rPr>
          <w:rFonts w:ascii="Arial" w:cs="Arial" w:eastAsia="Arial" w:hAnsi="Arial"/>
          <w:sz w:val="19"/>
          <w:szCs w:val="19"/>
          <w:color w:val="auto"/>
        </w:rPr>
        <w:t>Except as specifically set forth herein, the Loan Documents shall remain in full force and effect, and are hereby ratified and confirmed by each Credit Party a party thereto.</w:t>
      </w:r>
    </w:p>
    <w:p>
      <w:pPr>
        <w:spacing w:after="0" w:line="104" w:lineRule="exact"/>
        <w:rPr>
          <w:rFonts w:ascii="Arial" w:cs="Arial" w:eastAsia="Arial" w:hAnsi="Arial"/>
          <w:sz w:val="19"/>
          <w:szCs w:val="19"/>
          <w:color w:val="010000"/>
        </w:rPr>
      </w:pPr>
    </w:p>
    <w:p>
      <w:pPr>
        <w:jc w:val="both"/>
        <w:ind w:left="200" w:right="219" w:firstLine="1305"/>
        <w:spacing w:after="0" w:line="257" w:lineRule="auto"/>
        <w:tabs>
          <w:tab w:leader="none" w:pos="2274" w:val="left"/>
        </w:tabs>
        <w:numPr>
          <w:ilvl w:val="1"/>
          <w:numId w:val="61"/>
        </w:numPr>
        <w:rPr>
          <w:rFonts w:ascii="Arial" w:cs="Arial" w:eastAsia="Arial" w:hAnsi="Arial"/>
          <w:sz w:val="21"/>
          <w:szCs w:val="21"/>
          <w:color w:val="010000"/>
        </w:rPr>
      </w:pPr>
      <w:r>
        <w:rPr>
          <w:rFonts w:ascii="Arial" w:cs="Arial" w:eastAsia="Arial" w:hAnsi="Arial"/>
          <w:sz w:val="21"/>
          <w:szCs w:val="21"/>
          <w:color w:val="auto"/>
        </w:rPr>
        <w:t>Except as specifically set forth herein, the execution, delivery and effectiveness of this Amendment shall not operate as a waiver of any right, power or remedy of Agent or any Lender nor constitute a waiver of any provision of any Loan Document.</w:t>
      </w:r>
    </w:p>
    <w:p>
      <w:pPr>
        <w:spacing w:after="0" w:line="169" w:lineRule="exact"/>
        <w:rPr>
          <w:rFonts w:ascii="Arial" w:cs="Arial" w:eastAsia="Arial" w:hAnsi="Arial"/>
          <w:sz w:val="21"/>
          <w:szCs w:val="21"/>
          <w:color w:val="010000"/>
        </w:rPr>
      </w:pPr>
    </w:p>
    <w:p>
      <w:pPr>
        <w:jc w:val="both"/>
        <w:ind w:left="200" w:right="239" w:firstLine="657"/>
        <w:spacing w:after="0"/>
        <w:tabs>
          <w:tab w:leader="none" w:pos="1523"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binding upon and inure to the benefit of the parties hereto and their respective successors and assigns and shall be governed by and construed in accordance with the laws of the State of New York.</w:t>
      </w:r>
    </w:p>
    <w:p>
      <w:pPr>
        <w:spacing w:after="0" w:line="186" w:lineRule="exact"/>
        <w:rPr>
          <w:rFonts w:ascii="Arial" w:cs="Arial" w:eastAsia="Arial" w:hAnsi="Arial"/>
          <w:sz w:val="22"/>
          <w:szCs w:val="22"/>
          <w:color w:val="010000"/>
        </w:rPr>
      </w:pPr>
    </w:p>
    <w:p>
      <w:pPr>
        <w:jc w:val="both"/>
        <w:ind w:left="200" w:right="239" w:firstLine="657"/>
        <w:spacing w:after="0"/>
        <w:tabs>
          <w:tab w:leader="none" w:pos="1617"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186" w:lineRule="exact"/>
        <w:rPr>
          <w:rFonts w:ascii="Arial" w:cs="Arial" w:eastAsia="Arial" w:hAnsi="Arial"/>
          <w:sz w:val="22"/>
          <w:szCs w:val="22"/>
          <w:color w:val="010000"/>
        </w:rPr>
      </w:pPr>
    </w:p>
    <w:p>
      <w:pPr>
        <w:jc w:val="both"/>
        <w:ind w:left="200" w:right="219" w:firstLine="657"/>
        <w:spacing w:after="0" w:line="236" w:lineRule="auto"/>
        <w:tabs>
          <w:tab w:leader="none" w:pos="1536"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Counterparts; Electronic Transmission</w:t>
      </w:r>
      <w:r>
        <w:rPr>
          <w:rFonts w:ascii="Arial" w:cs="Arial" w:eastAsia="Arial" w:hAnsi="Arial"/>
          <w:sz w:val="22"/>
          <w:szCs w:val="22"/>
          <w:color w:val="auto"/>
        </w:rPr>
        <w:t>. This Amendment may be executed by the parties hereto in one or more counterparts, each of which shall be deemed an original and all of which when taken together shall constitute one and the same agreement. Any signature delivered by a party by facsimile or other electronic transmission shall be deemed to be an original signature hereto.</w:t>
      </w:r>
    </w:p>
    <w:p>
      <w:pPr>
        <w:spacing w:after="0" w:line="200" w:lineRule="exact"/>
        <w:rPr>
          <w:sz w:val="20"/>
          <w:szCs w:val="20"/>
          <w:color w:val="auto"/>
        </w:rPr>
      </w:pPr>
    </w:p>
    <w:p>
      <w:pPr>
        <w:spacing w:after="0" w:line="35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18858918.12</w:t>
            </w:r>
          </w:p>
        </w:tc>
        <w:tc>
          <w:tcPr>
            <w:tcW w:w="6000" w:type="dxa"/>
            <w:vAlign w:val="bottom"/>
          </w:tcPr>
          <w:p>
            <w:pPr>
              <w:jc w:val="right"/>
              <w:ind w:right="4132"/>
              <w:spacing w:after="0"/>
              <w:rPr>
                <w:sz w:val="20"/>
                <w:szCs w:val="20"/>
                <w:color w:val="auto"/>
              </w:rPr>
            </w:pPr>
            <w:r>
              <w:rPr>
                <w:rFonts w:ascii="Arial" w:cs="Arial" w:eastAsia="Arial" w:hAnsi="Arial"/>
                <w:sz w:val="22"/>
                <w:szCs w:val="22"/>
                <w:color w:val="auto"/>
              </w:rPr>
              <w:t>6</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682"/>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14" w:name="page115"/>
    <w:bookmarkEnd w:id="114"/>
    <w:p>
      <w:pPr>
        <w:ind w:left="200" w:right="219" w:firstLine="648"/>
        <w:spacing w:after="0" w:line="250" w:lineRule="auto"/>
        <w:rPr>
          <w:sz w:val="20"/>
          <w:szCs w:val="20"/>
          <w:color w:val="auto"/>
        </w:rPr>
      </w:pPr>
      <w:r>
        <w:rPr>
          <w:rFonts w:ascii="Arial" w:cs="Arial" w:eastAsia="Arial" w:hAnsi="Arial"/>
          <w:sz w:val="22"/>
          <w:szCs w:val="22"/>
          <w:color w:val="auto"/>
        </w:rPr>
        <w:t>IN WITNESS WHEREOF, this Amendment has been duly executed as of the day and year first written above.</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IM BRANDS, LLC</w:t>
      </w:r>
    </w:p>
    <w:p>
      <w:pPr>
        <w:sectPr>
          <w:pgSz w:w="11900" w:h="16838" w:orient="portrait"/>
          <w:cols w:equalWidth="0" w:num="1">
            <w:col w:w="9019"/>
          </w:cols>
          <w:pgMar w:left="1440" w:top="577" w:right="1440" w:bottom="1440" w:gutter="0" w:footer="0" w:header="0"/>
        </w:sect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577"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James Haran</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JR LICENSING, LLC</w:t>
      </w:r>
    </w:p>
    <w:p>
      <w:pPr>
        <w:sectPr>
          <w:pgSz w:w="11900" w:h="16838" w:orient="portrait"/>
          <w:cols w:equalWidth="0" w:num="1">
            <w:col w:w="9019"/>
          </w:cols>
          <w:pgMar w:left="1440" w:top="577" w:right="1440" w:bottom="1440" w:gutter="0" w:footer="0" w:header="0"/>
          <w:type w:val="continuous"/>
        </w:sect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577"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James Haran</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H LICENSING, LLC</w:t>
      </w:r>
    </w:p>
    <w:p>
      <w:pPr>
        <w:sectPr>
          <w:pgSz w:w="11900" w:h="16838" w:orient="portrait"/>
          <w:cols w:equalWidth="0" w:num="1">
            <w:col w:w="9019"/>
          </w:cols>
          <w:pgMar w:left="1440" w:top="577" w:right="1440" w:bottom="1440" w:gutter="0" w:footer="0" w:header="0"/>
          <w:type w:val="continuous"/>
        </w:sect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577"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James Haran</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784225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115" w:name="page116"/>
    <w:bookmarkEnd w:id="115"/>
    <w:p>
      <w:pPr>
        <w:ind w:left="4100"/>
        <w:spacing w:after="0"/>
        <w:rPr>
          <w:sz w:val="20"/>
          <w:szCs w:val="20"/>
          <w:color w:val="auto"/>
        </w:rPr>
      </w:pPr>
      <w:r>
        <w:rPr>
          <w:rFonts w:ascii="Arial" w:cs="Arial" w:eastAsia="Arial" w:hAnsi="Arial"/>
          <w:sz w:val="21"/>
          <w:szCs w:val="21"/>
          <w:color w:val="auto"/>
        </w:rPr>
        <w:t>C WONDER LICENSING, LLC</w:t>
      </w:r>
    </w:p>
    <w:p>
      <w:pPr>
        <w:sectPr>
          <w:pgSz w:w="11900" w:h="16838" w:orient="portrait"/>
          <w:cols w:equalWidth="0" w:num="1">
            <w:col w:w="9019"/>
          </w:cols>
          <w:pgMar w:left="1440" w:top="793" w:right="1440" w:bottom="1440" w:gutter="0" w:footer="0" w:header="0"/>
        </w:sect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793"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XCEL DESIGN GROUP, LLC</w:t>
      </w:r>
    </w:p>
    <w:p>
      <w:pPr>
        <w:sectPr>
          <w:pgSz w:w="11900" w:h="16838" w:orient="portrait"/>
          <w:cols w:equalWidth="0" w:num="1">
            <w:col w:w="9019"/>
          </w:cols>
          <w:pgMar w:left="1440" w:top="793" w:right="1440" w:bottom="1440" w:gutter="0" w:footer="0" w:header="0"/>
          <w:type w:val="continuous"/>
        </w:sect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793"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JUDITH RIPKA FINE JEWELRY, LLC</w:t>
      </w:r>
    </w:p>
    <w:p>
      <w:pPr>
        <w:sectPr>
          <w:pgSz w:w="11900" w:h="16838" w:orient="portrait"/>
          <w:cols w:equalWidth="0" w:num="1">
            <w:col w:w="9019"/>
          </w:cols>
          <w:pgMar w:left="1440" w:top="793" w:right="1440" w:bottom="1440" w:gutter="0" w:footer="0" w:header="0"/>
          <w:type w:val="continuous"/>
        </w:sect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793"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H HERITAGE LICENSING, LLC</w:t>
      </w:r>
    </w:p>
    <w:p>
      <w:pPr>
        <w:sectPr>
          <w:pgSz w:w="11900" w:h="16838" w:orient="portrait"/>
          <w:cols w:equalWidth="0" w:num="1">
            <w:col w:w="9019"/>
          </w:cols>
          <w:pgMar w:left="1440" w:top="793" w:right="1440" w:bottom="1440" w:gutter="0" w:footer="0" w:header="0"/>
          <w:type w:val="continuous"/>
        </w:sect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793"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James Haran</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784225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93" w:right="1440" w:bottom="1440" w:gutter="0" w:footer="0" w:header="0"/>
          <w:type w:val="continuous"/>
        </w:sectPr>
      </w:pPr>
    </w:p>
    <w:bookmarkStart w:id="116" w:name="page117"/>
    <w:bookmarkEnd w:id="116"/>
    <w:p>
      <w:pPr>
        <w:ind w:left="4100"/>
        <w:spacing w:after="0"/>
        <w:rPr>
          <w:sz w:val="20"/>
          <w:szCs w:val="20"/>
          <w:color w:val="auto"/>
        </w:rPr>
      </w:pPr>
      <w:r>
        <w:rPr>
          <w:rFonts w:ascii="Arial" w:cs="Arial" w:eastAsia="Arial" w:hAnsi="Arial"/>
          <w:sz w:val="21"/>
          <w:szCs w:val="21"/>
          <w:color w:val="auto"/>
        </w:rPr>
        <w:t>XCEL-CT MFG, LLC</w:t>
      </w:r>
    </w:p>
    <w:p>
      <w:pPr>
        <w:sectPr>
          <w:pgSz w:w="11900" w:h="16838" w:orient="portrait"/>
          <w:cols w:equalWidth="0" w:num="1">
            <w:col w:w="9019"/>
          </w:cols>
          <w:pgMar w:left="1440" w:top="793" w:right="1440" w:bottom="1440" w:gutter="0" w:footer="0" w:header="0"/>
        </w:sect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879" w:firstLine="312"/>
        <w:spacing w:after="0" w:line="250" w:lineRule="auto"/>
        <w:rPr>
          <w:sz w:val="20"/>
          <w:szCs w:val="20"/>
          <w:color w:val="auto"/>
        </w:rPr>
      </w:pPr>
      <w:r>
        <w:rPr>
          <w:rFonts w:ascii="Arial" w:cs="Arial" w:eastAsia="Arial" w:hAnsi="Arial"/>
          <w:sz w:val="22"/>
          <w:szCs w:val="22"/>
          <w:color w:val="auto"/>
        </w:rPr>
        <w:t>XCEL BRANDS, INC., Its Manager</w:t>
      </w:r>
    </w:p>
    <w:p>
      <w:pPr>
        <w:spacing w:after="0" w:line="200" w:lineRule="exact"/>
        <w:rPr>
          <w:sz w:val="20"/>
          <w:szCs w:val="20"/>
          <w:color w:val="auto"/>
        </w:rPr>
      </w:pPr>
    </w:p>
    <w:p>
      <w:pPr>
        <w:sectPr>
          <w:pgSz w:w="11900" w:h="16838" w:orient="portrait"/>
          <w:cols w:equalWidth="0" w:num="2">
            <w:col w:w="4400" w:space="340"/>
            <w:col w:w="4279"/>
          </w:cols>
          <w:pgMar w:left="1440" w:top="793" w:right="1440" w:bottom="1440" w:gutter="0" w:footer="0" w:header="0"/>
          <w:type w:val="continuous"/>
        </w:sectPr>
      </w:pPr>
    </w:p>
    <w:p>
      <w:pPr>
        <w:spacing w:after="0" w:line="1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James Haran</w:t>
      </w:r>
    </w:p>
    <w:p>
      <w:pPr>
        <w:spacing w:after="0" w:line="3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1212850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93" w:right="1440" w:bottom="1440" w:gutter="0" w:footer="0" w:header="0"/>
          <w:type w:val="continuous"/>
        </w:sectPr>
      </w:pPr>
    </w:p>
    <w:bookmarkStart w:id="117" w:name="page118"/>
    <w:bookmarkEnd w:id="117"/>
    <w:p>
      <w:pPr>
        <w:ind w:left="4100"/>
        <w:spacing w:after="0"/>
        <w:rPr>
          <w:sz w:val="20"/>
          <w:szCs w:val="20"/>
          <w:color w:val="auto"/>
        </w:rPr>
      </w:pPr>
      <w:r>
        <w:rPr>
          <w:rFonts w:ascii="Arial" w:cs="Arial" w:eastAsia="Arial" w:hAnsi="Arial"/>
          <w:sz w:val="22"/>
          <w:szCs w:val="22"/>
          <w:color w:val="auto"/>
        </w:rPr>
        <w:t>BANK HAPOALIM B.M., a Lender and as Agent</w:t>
      </w: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Louis Barone</w:t>
      </w:r>
    </w:p>
    <w:tbl>
      <w:tblPr>
        <w:tblLayout w:type="fixed"/>
        <w:tblInd w:w="22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4380" w:type="dxa"/>
            <w:vAlign w:val="bottom"/>
            <w:gridSpan w:val="3"/>
          </w:tcPr>
          <w:p>
            <w:pPr>
              <w:spacing w:after="0" w:line="233" w:lineRule="exact"/>
              <w:rPr>
                <w:sz w:val="20"/>
                <w:szCs w:val="20"/>
                <w:color w:val="auto"/>
              </w:rPr>
            </w:pPr>
            <w:r>
              <w:rPr>
                <w:rFonts w:ascii="Arial" w:cs="Arial" w:eastAsia="Arial" w:hAnsi="Arial"/>
                <w:sz w:val="22"/>
                <w:szCs w:val="22"/>
                <w:color w:val="auto"/>
              </w:rPr>
              <w:t>Name: Louis Barone</w:t>
            </w:r>
          </w:p>
        </w:tc>
      </w:tr>
      <w:tr>
        <w:trPr>
          <w:trHeight w:val="274"/>
        </w:trPr>
        <w:tc>
          <w:tcPr>
            <w:tcW w:w="4200" w:type="dxa"/>
            <w:vAlign w:val="bottom"/>
          </w:tcPr>
          <w:p>
            <w:pPr>
              <w:spacing w:after="0"/>
              <w:rPr>
                <w:sz w:val="23"/>
                <w:szCs w:val="23"/>
                <w:color w:val="auto"/>
              </w:rPr>
            </w:pPr>
          </w:p>
        </w:tc>
        <w:tc>
          <w:tcPr>
            <w:tcW w:w="4380" w:type="dxa"/>
            <w:vAlign w:val="bottom"/>
            <w:gridSpan w:val="3"/>
          </w:tcPr>
          <w:p>
            <w:pPr>
              <w:spacing w:after="0"/>
              <w:rPr>
                <w:sz w:val="20"/>
                <w:szCs w:val="20"/>
                <w:color w:val="auto"/>
              </w:rPr>
            </w:pPr>
            <w:r>
              <w:rPr>
                <w:rFonts w:ascii="Arial" w:cs="Arial" w:eastAsia="Arial" w:hAnsi="Arial"/>
                <w:sz w:val="22"/>
                <w:szCs w:val="22"/>
                <w:color w:val="auto"/>
              </w:rPr>
              <w:t>Title: Senior Vice President</w:t>
            </w:r>
          </w:p>
        </w:tc>
      </w:tr>
      <w:tr>
        <w:trPr>
          <w:trHeight w:val="624"/>
        </w:trPr>
        <w:tc>
          <w:tcPr>
            <w:tcW w:w="4200" w:type="dxa"/>
            <w:vAlign w:val="bottom"/>
          </w:tcPr>
          <w:p>
            <w:pPr>
              <w:ind w:left="3880"/>
              <w:spacing w:after="0"/>
              <w:rPr>
                <w:sz w:val="20"/>
                <w:szCs w:val="20"/>
                <w:color w:val="auto"/>
              </w:rPr>
            </w:pPr>
            <w:r>
              <w:rPr>
                <w:rFonts w:ascii="Arial" w:cs="Arial" w:eastAsia="Arial" w:hAnsi="Arial"/>
                <w:sz w:val="22"/>
                <w:szCs w:val="22"/>
                <w:color w:val="auto"/>
                <w:w w:val="94"/>
              </w:rPr>
              <w:t>By:</w:t>
            </w:r>
          </w:p>
        </w:tc>
        <w:tc>
          <w:tcPr>
            <w:tcW w:w="64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Marline Alexander</w:t>
            </w:r>
          </w:p>
        </w:tc>
        <w:tc>
          <w:tcPr>
            <w:tcW w:w="1840" w:type="dxa"/>
            <w:vAlign w:val="bottom"/>
          </w:tcPr>
          <w:p>
            <w:pPr>
              <w:spacing w:after="0"/>
              <w:rPr>
                <w:sz w:val="24"/>
                <w:szCs w:val="24"/>
                <w:color w:val="auto"/>
              </w:rPr>
            </w:pPr>
          </w:p>
        </w:tc>
      </w:tr>
      <w:tr>
        <w:trPr>
          <w:trHeight w:val="242"/>
        </w:trPr>
        <w:tc>
          <w:tcPr>
            <w:tcW w:w="4200" w:type="dxa"/>
            <w:vAlign w:val="bottom"/>
          </w:tcPr>
          <w:p>
            <w:pPr>
              <w:spacing w:after="0"/>
              <w:rPr>
                <w:sz w:val="21"/>
                <w:szCs w:val="21"/>
                <w:color w:val="auto"/>
              </w:rPr>
            </w:pPr>
          </w:p>
        </w:tc>
        <w:tc>
          <w:tcPr>
            <w:tcW w:w="4380" w:type="dxa"/>
            <w:vAlign w:val="bottom"/>
            <w:gridSpan w:val="3"/>
          </w:tcPr>
          <w:p>
            <w:pPr>
              <w:spacing w:after="0" w:line="242" w:lineRule="exact"/>
              <w:rPr>
                <w:sz w:val="20"/>
                <w:szCs w:val="20"/>
                <w:color w:val="auto"/>
              </w:rPr>
            </w:pPr>
            <w:r>
              <w:rPr>
                <w:rFonts w:ascii="Arial" w:cs="Arial" w:eastAsia="Arial" w:hAnsi="Arial"/>
                <w:sz w:val="22"/>
                <w:szCs w:val="22"/>
                <w:color w:val="auto"/>
              </w:rPr>
              <w:t>Name: Marline Alexander</w:t>
            </w:r>
          </w:p>
        </w:tc>
      </w:tr>
      <w:tr>
        <w:trPr>
          <w:trHeight w:val="274"/>
        </w:trPr>
        <w:tc>
          <w:tcPr>
            <w:tcW w:w="4200" w:type="dxa"/>
            <w:vAlign w:val="bottom"/>
          </w:tcPr>
          <w:p>
            <w:pPr>
              <w:spacing w:after="0"/>
              <w:rPr>
                <w:sz w:val="23"/>
                <w:szCs w:val="23"/>
                <w:color w:val="auto"/>
              </w:rPr>
            </w:pPr>
          </w:p>
        </w:tc>
        <w:tc>
          <w:tcPr>
            <w:tcW w:w="4380" w:type="dxa"/>
            <w:vAlign w:val="bottom"/>
            <w:gridSpan w:val="3"/>
          </w:tcPr>
          <w:p>
            <w:pPr>
              <w:spacing w:after="0"/>
              <w:rPr>
                <w:sz w:val="20"/>
                <w:szCs w:val="20"/>
                <w:color w:val="auto"/>
              </w:rPr>
            </w:pPr>
            <w:r>
              <w:rPr>
                <w:rFonts w:ascii="Arial" w:cs="Arial" w:eastAsia="Arial" w:hAnsi="Arial"/>
                <w:sz w:val="22"/>
                <w:szCs w:val="22"/>
                <w:color w:val="auto"/>
              </w:rPr>
              <w:t>Title: Senior Vice President</w:t>
            </w:r>
          </w:p>
        </w:tc>
      </w:tr>
      <w:tr>
        <w:trPr>
          <w:trHeight w:val="1158"/>
        </w:trPr>
        <w:tc>
          <w:tcPr>
            <w:tcW w:w="4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93" w:right="1440" w:bottom="1440" w:gutter="0" w:footer="0" w:header="0"/>
        </w:sectPr>
      </w:pPr>
    </w:p>
    <w:bookmarkStart w:id="118" w:name="page119"/>
    <w:bookmarkEnd w:id="118"/>
    <w:p>
      <w:pPr>
        <w:ind w:left="3860"/>
        <w:spacing w:after="0"/>
        <w:rPr>
          <w:sz w:val="20"/>
          <w:szCs w:val="20"/>
          <w:color w:val="auto"/>
        </w:rPr>
      </w:pPr>
      <w:r>
        <w:rPr>
          <w:rFonts w:ascii="Arial" w:cs="Arial" w:eastAsia="Arial" w:hAnsi="Arial"/>
          <w:sz w:val="22"/>
          <w:szCs w:val="22"/>
          <w:b w:val="1"/>
          <w:bCs w:val="1"/>
          <w:u w:val="single" w:color="auto"/>
          <w:color w:val="auto"/>
        </w:rPr>
        <w:t>EXHIBIT B-1</w:t>
      </w:r>
    </w:p>
    <w:p>
      <w:pPr>
        <w:spacing w:after="0" w:line="206"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LOAN NOTE 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$7,250,000April 13, 2020</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This Amended and Restated Term Loan Note A (this “</w:t>
      </w:r>
      <w:r>
        <w:rPr>
          <w:rFonts w:ascii="Arial" w:cs="Arial" w:eastAsia="Arial" w:hAnsi="Arial"/>
          <w:sz w:val="19"/>
          <w:szCs w:val="19"/>
          <w:u w:val="single" w:color="auto"/>
          <w:color w:val="auto"/>
        </w:rPr>
        <w:t>Note</w:t>
      </w:r>
      <w:r>
        <w:rPr>
          <w:rFonts w:ascii="Arial" w:cs="Arial" w:eastAsia="Arial" w:hAnsi="Arial"/>
          <w:sz w:val="19"/>
          <w:szCs w:val="19"/>
          <w:color w:val="auto"/>
        </w:rPr>
        <w:t>”) is executed and delivered under and pursuant to the terms of that certain Second Amended and Restated Loan and Security Agreement dated as of February 11, 2019 (as amended, modified, supplemented or restated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by and among BANK HAPOALIM B.M. (“</w:t>
      </w:r>
      <w:r>
        <w:rPr>
          <w:rFonts w:ascii="Arial" w:cs="Arial" w:eastAsia="Arial" w:hAnsi="Arial"/>
          <w:sz w:val="19"/>
          <w:szCs w:val="19"/>
          <w:u w:val="single" w:color="auto"/>
          <w:color w:val="auto"/>
        </w:rPr>
        <w:t>Lender</w:t>
      </w:r>
      <w:r>
        <w:rPr>
          <w:rFonts w:ascii="Arial" w:cs="Arial" w:eastAsia="Arial" w:hAnsi="Arial"/>
          <w:sz w:val="19"/>
          <w:szCs w:val="19"/>
          <w:color w:val="auto"/>
        </w:rPr>
        <w:t>”), XCEL BRANDS, INC. (“</w:t>
      </w:r>
      <w:r>
        <w:rPr>
          <w:rFonts w:ascii="Arial" w:cs="Arial" w:eastAsia="Arial" w:hAnsi="Arial"/>
          <w:sz w:val="19"/>
          <w:szCs w:val="19"/>
          <w:u w:val="single" w:color="auto"/>
          <w:color w:val="auto"/>
        </w:rPr>
        <w:t>Initial Borrower</w:t>
      </w:r>
      <w:r>
        <w:rPr>
          <w:rFonts w:ascii="Arial" w:cs="Arial" w:eastAsia="Arial" w:hAnsi="Arial"/>
          <w:sz w:val="19"/>
          <w:szCs w:val="19"/>
          <w:color w:val="auto"/>
        </w:rPr>
        <w:t>” and together with each Person who hereafter becomes a Borrower, collectively “</w:t>
      </w:r>
      <w:r>
        <w:rPr>
          <w:rFonts w:ascii="Arial" w:cs="Arial" w:eastAsia="Arial" w:hAnsi="Arial"/>
          <w:sz w:val="19"/>
          <w:szCs w:val="19"/>
          <w:u w:val="single" w:color="auto"/>
          <w:color w:val="auto"/>
        </w:rPr>
        <w:t>Borrowers</w:t>
      </w:r>
      <w:r>
        <w:rPr>
          <w:rFonts w:ascii="Arial" w:cs="Arial" w:eastAsia="Arial" w:hAnsi="Arial"/>
          <w:sz w:val="19"/>
          <w:szCs w:val="19"/>
          <w:color w:val="auto"/>
        </w:rPr>
        <w:t>”), and any other Credit Party executing or becoming a party to the Loan Agreement, the financial institutions party thereto as Lenders and BANK HAPOALIM B.M., as agent for Lenders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 Capitalized terms not otherwise defined herein shall have the meanings ascribed thereto in the Loan Agreement.</w:t>
      </w:r>
    </w:p>
    <w:p>
      <w:pPr>
        <w:spacing w:after="0" w:line="15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FOR VALUE RECEIVED, Borrower promises to pay to the order of Lender at the offices of Agent located at 1120 Avenue of the Americas, New York, New York 10036 or at such other place as the holder hereof may from time to time designate to Borrower in writing:</w:t>
      </w:r>
    </w:p>
    <w:p>
      <w:pPr>
        <w:spacing w:after="0" w:line="134" w:lineRule="exact"/>
        <w:rPr>
          <w:sz w:val="20"/>
          <w:szCs w:val="20"/>
          <w:color w:val="auto"/>
        </w:rPr>
      </w:pPr>
    </w:p>
    <w:p>
      <w:pPr>
        <w:jc w:val="both"/>
        <w:ind w:left="200" w:right="219" w:firstLine="657"/>
        <w:spacing w:after="0" w:line="279" w:lineRule="auto"/>
        <w:tabs>
          <w:tab w:leader="none" w:pos="1632"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the principal sum of Seven Million Two Hundred Fifty Thousand Dollars ($7,250,000), payable, subject to acceleration upon the occurrence of an Event of Default under the Loan Agreement, or earlier termination of the Loan Agreement pursuant to the terms thereof, in quarterly installments commencing on June 30, 2019 and on each March 31, June 30, September 30 and December 31 thereafter in the amounts set forth below for the corresponding period, with the entire unpaid balance due and payable on the Term Loan Maturity Date:</w:t>
      </w:r>
    </w:p>
    <w:p>
      <w:pPr>
        <w:spacing w:after="0" w:line="152" w:lineRule="exact"/>
        <w:rPr>
          <w:sz w:val="20"/>
          <w:szCs w:val="20"/>
          <w:color w:val="auto"/>
        </w:rPr>
      </w:pPr>
    </w:p>
    <w:tbl>
      <w:tblPr>
        <w:tblLayout w:type="fixed"/>
        <w:tblInd w:w="1530" w:type="dxa"/>
        <w:tblCellMar>
          <w:top w:w="0" w:type="dxa"/>
          <w:left w:w="0" w:type="dxa"/>
          <w:bottom w:w="0" w:type="dxa"/>
          <w:right w:w="0" w:type="dxa"/>
        </w:tblCellMar>
      </w:tblPr>
      <w:tr>
        <w:trPr>
          <w:trHeight w:val="324"/>
        </w:trPr>
        <w:tc>
          <w:tcPr>
            <w:tcW w:w="140" w:type="dxa"/>
            <w:vAlign w:val="bottom"/>
            <w:tcBorders>
              <w:top w:val="single" w:sz="8" w:color="auto"/>
              <w:left w:val="single" w:sz="8" w:color="auto"/>
            </w:tcBorders>
          </w:tcPr>
          <w:p>
            <w:pPr>
              <w:spacing w:after="0"/>
              <w:rPr>
                <w:sz w:val="24"/>
                <w:szCs w:val="24"/>
                <w:color w:val="auto"/>
              </w:rPr>
            </w:pPr>
          </w:p>
        </w:tc>
        <w:tc>
          <w:tcPr>
            <w:tcW w:w="38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Period</w:t>
            </w:r>
          </w:p>
        </w:tc>
        <w:tc>
          <w:tcPr>
            <w:tcW w:w="328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22"/>
                <w:szCs w:val="22"/>
                <w:color w:val="auto"/>
              </w:rPr>
              <w:t>Amount</w:t>
            </w:r>
          </w:p>
        </w:tc>
      </w:tr>
      <w:tr>
        <w:trPr>
          <w:trHeight w:val="129"/>
        </w:trPr>
        <w:tc>
          <w:tcPr>
            <w:tcW w:w="140" w:type="dxa"/>
            <w:vAlign w:val="bottom"/>
            <w:tcBorders>
              <w:left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33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r>
      <w:tr>
        <w:trPr>
          <w:trHeight w:val="236"/>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June 30, 2019 – December 31, 2019</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$1,000,000</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June 30, 2020 – December 31, 2020</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$750,000</w:t>
            </w:r>
          </w:p>
        </w:tc>
      </w:tr>
      <w:tr>
        <w:trPr>
          <w:trHeight w:val="236"/>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March 31, 2021</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$1,125,000</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April 30, 2021</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$750,000</w:t>
            </w:r>
          </w:p>
        </w:tc>
      </w:tr>
      <w:tr>
        <w:trPr>
          <w:trHeight w:val="236"/>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June 30, 2021</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$125,000</w:t>
            </w:r>
          </w:p>
        </w:tc>
      </w:tr>
    </w:tbl>
    <w:p>
      <w:pPr>
        <w:spacing w:after="0" w:line="19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both"/>
        <w:ind w:left="200" w:right="219" w:firstLine="657"/>
        <w:spacing w:after="0" w:line="234" w:lineRule="auto"/>
        <w:tabs>
          <w:tab w:leader="none" w:pos="1619"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interest on the principal amount of this Note from time to time outstanding, payable at the applicable interest rate set forth in the Loan Agreement commencing on March 31, 2019 and on each March 31, June 30, September 30 and December 31 thereafter and upon payment in full of the principal amount of this Note. Upon and after the occurrence of an Event of Default, and during the continuation thereof, interest shall be payable at the applicable Default Rate. In no event, however, shall interest hereunder exceed the maximum interest rate permitted by law.</w:t>
      </w:r>
    </w:p>
    <w:p>
      <w:pPr>
        <w:spacing w:after="0" w:line="19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 xml:space="preserve">This Note is the Term Loan Note A referred to in the Loan Agreement and is secured, </w:t>
      </w:r>
      <w:r>
        <w:rPr>
          <w:rFonts w:ascii="Arial" w:cs="Arial" w:eastAsia="Arial" w:hAnsi="Arial"/>
          <w:sz w:val="22"/>
          <w:szCs w:val="22"/>
          <w:u w:val="single" w:color="auto"/>
          <w:color w:val="auto"/>
        </w:rPr>
        <w:t>inter alia</w:t>
      </w:r>
      <w:r>
        <w:rPr>
          <w:rFonts w:ascii="Arial" w:cs="Arial" w:eastAsia="Arial" w:hAnsi="Arial"/>
          <w:sz w:val="22"/>
          <w:szCs w:val="22"/>
          <w:color w:val="auto"/>
        </w:rPr>
        <w:t>, by the liens granted pursuant to the Loan Agreement and the other Loan Documents,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791845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19" w:name="page120"/>
    <w:bookmarkEnd w:id="119"/>
    <w:p>
      <w:pPr>
        <w:jc w:val="both"/>
        <w:ind w:left="200" w:right="219"/>
        <w:spacing w:after="0" w:line="250" w:lineRule="auto"/>
        <w:rPr>
          <w:sz w:val="20"/>
          <w:szCs w:val="20"/>
          <w:color w:val="auto"/>
        </w:rPr>
      </w:pPr>
      <w:r>
        <w:rPr>
          <w:rFonts w:ascii="Arial" w:cs="Arial" w:eastAsia="Arial" w:hAnsi="Arial"/>
          <w:sz w:val="22"/>
          <w:szCs w:val="22"/>
          <w:color w:val="auto"/>
        </w:rPr>
        <w:t>to the benefits of the Loan Agreement and the other Loan Documents, and is subject to all of the agreements, terms and conditions therein contained.</w:t>
      </w:r>
    </w:p>
    <w:p>
      <w:pPr>
        <w:spacing w:after="0" w:line="175"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Payments received by Lender shall be applied against principal and interest as provided for in the Loan Agreement. This Note may be voluntarily prepaid, in whole or in part, on the terms and conditions set forth in the Loan Agreement.</w:t>
      </w:r>
    </w:p>
    <w:p>
      <w:pPr>
        <w:spacing w:after="0" w:line="18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If an Event of Default under Section 12.1(f) of the Loan Agreement shall occur, then this Note shall immediately become due and payable, without notice, together with attorneys’ fees if the collection hereof is placed in the hands of an attorney to obtain or enforce payment hereof. If any other Event of Default shall occur under the Loan Agreement or any of the other Loan Documents which is not cured within any applicable grace period, then this Note may, as provided in the Loan Agreement, be declared to be immediately due and payable, without notice, together with attorneys’ fees, if the collection hereof is placed in the hands of an attorney to obtain or enforce payment hereof.</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175"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To the fullest extent permitted by applicable law, Borrower waives: (a) presentment, demand and protest, and notice of presentment, dishonor, intent to accelerate, acceleration, protest, default, nonpayment, maturity, release, compromise, settlement, extension or renewal of any or all of the Obligations, the Loan Agreement, this Note or any other Loan Documents;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and exemption laws.</w:t>
      </w:r>
    </w:p>
    <w:p>
      <w:pPr>
        <w:spacing w:after="0" w:line="180"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Borrower acknowledges that this Note is executed as part of a commercial transaction and that the proceeds of this Note will not be used for any personal or consumer purpose.</w:t>
      </w:r>
    </w:p>
    <w:p>
      <w:pPr>
        <w:spacing w:after="0" w:line="10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This Note amends and restates and is given in partial substitution for but not in satisfaction of the Amended and Restated Term Loan Note A dated February 11, 2019 executed by Borrower in favor of Lender, in the original principal amount of $7,250,000.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791845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0" w:name="page121"/>
    <w:bookmarkEnd w:id="120"/>
    <w:p>
      <w:pPr>
        <w:ind w:left="200" w:right="219" w:firstLine="648"/>
        <w:spacing w:after="0" w:line="250" w:lineRule="auto"/>
        <w:rPr>
          <w:sz w:val="20"/>
          <w:szCs w:val="20"/>
          <w:color w:val="auto"/>
        </w:rPr>
      </w:pPr>
      <w:r>
        <w:rPr>
          <w:rFonts w:ascii="Arial" w:cs="Arial" w:eastAsia="Arial" w:hAnsi="Arial"/>
          <w:sz w:val="22"/>
          <w:szCs w:val="22"/>
          <w:color w:val="auto"/>
        </w:rPr>
        <w:t>Borrower agrees to pay to Agent all fees and expenses described in the Loan Agreement and the other Loan Documents.</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2250440</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1" w:name="page122"/>
    <w:bookmarkEnd w:id="121"/>
    <w:p>
      <w:pPr>
        <w:ind w:left="3860"/>
        <w:spacing w:after="0"/>
        <w:rPr>
          <w:sz w:val="20"/>
          <w:szCs w:val="20"/>
          <w:color w:val="auto"/>
        </w:rPr>
      </w:pPr>
      <w:r>
        <w:rPr>
          <w:rFonts w:ascii="Arial" w:cs="Arial" w:eastAsia="Arial" w:hAnsi="Arial"/>
          <w:sz w:val="22"/>
          <w:szCs w:val="22"/>
          <w:b w:val="1"/>
          <w:bCs w:val="1"/>
          <w:u w:val="single" w:color="auto"/>
          <w:color w:val="auto"/>
        </w:rPr>
        <w:t>EXHIBIT B-2</w:t>
      </w:r>
    </w:p>
    <w:p>
      <w:pPr>
        <w:spacing w:after="0" w:line="206"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LOAN NOTE B</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$14,750,000April 13, 2020</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This Amended and Restated Term Loan Note B (this “</w:t>
      </w:r>
      <w:r>
        <w:rPr>
          <w:rFonts w:ascii="Arial" w:cs="Arial" w:eastAsia="Arial" w:hAnsi="Arial"/>
          <w:sz w:val="19"/>
          <w:szCs w:val="19"/>
          <w:u w:val="single" w:color="auto"/>
          <w:color w:val="auto"/>
        </w:rPr>
        <w:t>Note</w:t>
      </w:r>
      <w:r>
        <w:rPr>
          <w:rFonts w:ascii="Arial" w:cs="Arial" w:eastAsia="Arial" w:hAnsi="Arial"/>
          <w:sz w:val="19"/>
          <w:szCs w:val="19"/>
          <w:color w:val="auto"/>
        </w:rPr>
        <w:t>”) is executed and delivered under and pursuant to the terms of that certain Second Amended and Restated Loan and Security Agreement dated as of February 11, 2019 (as amended, modified, supplemented or restated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by and among BANK HAPOALIM B.M. (“</w:t>
      </w:r>
      <w:r>
        <w:rPr>
          <w:rFonts w:ascii="Arial" w:cs="Arial" w:eastAsia="Arial" w:hAnsi="Arial"/>
          <w:sz w:val="19"/>
          <w:szCs w:val="19"/>
          <w:u w:val="single" w:color="auto"/>
          <w:color w:val="auto"/>
        </w:rPr>
        <w:t>Lender</w:t>
      </w:r>
      <w:r>
        <w:rPr>
          <w:rFonts w:ascii="Arial" w:cs="Arial" w:eastAsia="Arial" w:hAnsi="Arial"/>
          <w:sz w:val="19"/>
          <w:szCs w:val="19"/>
          <w:color w:val="auto"/>
        </w:rPr>
        <w:t>”), XCEL BRANDS, INC. (“</w:t>
      </w:r>
      <w:r>
        <w:rPr>
          <w:rFonts w:ascii="Arial" w:cs="Arial" w:eastAsia="Arial" w:hAnsi="Arial"/>
          <w:sz w:val="19"/>
          <w:szCs w:val="19"/>
          <w:u w:val="single" w:color="auto"/>
          <w:color w:val="auto"/>
        </w:rPr>
        <w:t>Initial Borrower</w:t>
      </w:r>
      <w:r>
        <w:rPr>
          <w:rFonts w:ascii="Arial" w:cs="Arial" w:eastAsia="Arial" w:hAnsi="Arial"/>
          <w:sz w:val="19"/>
          <w:szCs w:val="19"/>
          <w:color w:val="auto"/>
        </w:rPr>
        <w:t>” and together with each Person who hereafter becomes a Borrower, collectively “</w:t>
      </w:r>
      <w:r>
        <w:rPr>
          <w:rFonts w:ascii="Arial" w:cs="Arial" w:eastAsia="Arial" w:hAnsi="Arial"/>
          <w:sz w:val="19"/>
          <w:szCs w:val="19"/>
          <w:u w:val="single" w:color="auto"/>
          <w:color w:val="auto"/>
        </w:rPr>
        <w:t>Borrowers</w:t>
      </w:r>
      <w:r>
        <w:rPr>
          <w:rFonts w:ascii="Arial" w:cs="Arial" w:eastAsia="Arial" w:hAnsi="Arial"/>
          <w:sz w:val="19"/>
          <w:szCs w:val="19"/>
          <w:color w:val="auto"/>
        </w:rPr>
        <w:t>”), and any other Credit Party executing or becoming a party to the Loan Agreement, the financial institutions party thereto as Lenders and BANK HAPOALIM B.M., as agent for Lenders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 Capitalized terms not otherwise defined herein shall have the meanings ascribed thereto in the Loan Agreement.</w:t>
      </w:r>
    </w:p>
    <w:p>
      <w:pPr>
        <w:spacing w:after="0" w:line="15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FOR VALUE RECEIVED, Borrower promises to pay to the order of Lender at the offices of Agent located at 1120 Avenue of the Americas, New York, New York 10036 or at such other place as the holder hereof may from time to time designate to Borrower in writing:</w:t>
      </w:r>
    </w:p>
    <w:p>
      <w:pPr>
        <w:spacing w:after="0" w:line="134" w:lineRule="exact"/>
        <w:rPr>
          <w:sz w:val="20"/>
          <w:szCs w:val="20"/>
          <w:color w:val="auto"/>
        </w:rPr>
      </w:pPr>
    </w:p>
    <w:p>
      <w:pPr>
        <w:jc w:val="both"/>
        <w:ind w:left="200" w:right="219" w:firstLine="657"/>
        <w:spacing w:after="0" w:line="279" w:lineRule="auto"/>
        <w:tabs>
          <w:tab w:leader="none" w:pos="1605"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the principal sum of Fourteen Million Seven Hundred Fifty Thousand Dollars ($14,750,000), payable, subject to acceleration upon the occurrence of an Event of Default under the Loan Agreement, or earlier termination of the Loan Agreement pursuant to the terms thereof, in quarterly installments commencing on June 30, 2021 and on each March 31, June 30, September 30 and December 31 thereafter in the amounts set forth below for the corresponding period, with the entire unpaid balance due and payable on the Term Loan Maturity Date:</w:t>
      </w:r>
    </w:p>
    <w:p>
      <w:pPr>
        <w:spacing w:after="0" w:line="152" w:lineRule="exact"/>
        <w:rPr>
          <w:sz w:val="20"/>
          <w:szCs w:val="20"/>
          <w:color w:val="auto"/>
        </w:rPr>
      </w:pPr>
    </w:p>
    <w:tbl>
      <w:tblPr>
        <w:tblLayout w:type="fixed"/>
        <w:tblInd w:w="1530" w:type="dxa"/>
        <w:tblCellMar>
          <w:top w:w="0" w:type="dxa"/>
          <w:left w:w="0" w:type="dxa"/>
          <w:bottom w:w="0" w:type="dxa"/>
          <w:right w:w="0" w:type="dxa"/>
        </w:tblCellMar>
      </w:tblPr>
      <w:tr>
        <w:trPr>
          <w:trHeight w:val="324"/>
        </w:trPr>
        <w:tc>
          <w:tcPr>
            <w:tcW w:w="140" w:type="dxa"/>
            <w:vAlign w:val="bottom"/>
            <w:tcBorders>
              <w:top w:val="single" w:sz="8" w:color="auto"/>
              <w:left w:val="single" w:sz="8" w:color="auto"/>
            </w:tcBorders>
          </w:tcPr>
          <w:p>
            <w:pPr>
              <w:spacing w:after="0"/>
              <w:rPr>
                <w:sz w:val="24"/>
                <w:szCs w:val="24"/>
                <w:color w:val="auto"/>
              </w:rPr>
            </w:pPr>
          </w:p>
        </w:tc>
        <w:tc>
          <w:tcPr>
            <w:tcW w:w="38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Period</w:t>
            </w:r>
          </w:p>
        </w:tc>
        <w:tc>
          <w:tcPr>
            <w:tcW w:w="328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22"/>
                <w:szCs w:val="22"/>
                <w:color w:val="auto"/>
              </w:rPr>
              <w:t>Amount</w:t>
            </w:r>
          </w:p>
        </w:tc>
      </w:tr>
      <w:tr>
        <w:trPr>
          <w:trHeight w:val="128"/>
        </w:trPr>
        <w:tc>
          <w:tcPr>
            <w:tcW w:w="140" w:type="dxa"/>
            <w:vAlign w:val="bottom"/>
            <w:tcBorders>
              <w:left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33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June 30, 2021</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$1,000,000</w:t>
            </w:r>
          </w:p>
        </w:tc>
      </w:tr>
      <w:tr>
        <w:trPr>
          <w:trHeight w:val="236"/>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w w:val="91"/>
              </w:rPr>
              <w:t>September 30, 2021 – December 31, 2022</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$1,125,000</w:t>
            </w:r>
          </w:p>
        </w:tc>
      </w:tr>
      <w:tr>
        <w:trPr>
          <w:trHeight w:val="237"/>
        </w:trPr>
        <w:tc>
          <w:tcPr>
            <w:tcW w:w="140" w:type="dxa"/>
            <w:vAlign w:val="bottom"/>
            <w:tcBorders>
              <w:left w:val="single" w:sz="8" w:color="auto"/>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March 31, 2023 – December 31, 2023</w:t>
            </w:r>
          </w:p>
        </w:tc>
        <w:tc>
          <w:tcPr>
            <w:tcW w:w="3280" w:type="dxa"/>
            <w:vAlign w:val="bottom"/>
            <w:tcBorders>
              <w:bottom w:val="single" w:sz="8" w:color="auto"/>
              <w:right w:val="single" w:sz="8" w:color="auto"/>
            </w:tcBorders>
            <w:gridSpan w:val="3"/>
          </w:tcPr>
          <w:p>
            <w:pPr>
              <w:ind w:left="120"/>
              <w:spacing w:after="0" w:line="237" w:lineRule="exact"/>
              <w:rPr>
                <w:sz w:val="20"/>
                <w:szCs w:val="20"/>
                <w:color w:val="auto"/>
              </w:rPr>
            </w:pPr>
            <w:r>
              <w:rPr>
                <w:rFonts w:ascii="Arial" w:cs="Arial" w:eastAsia="Arial" w:hAnsi="Arial"/>
                <w:sz w:val="22"/>
                <w:szCs w:val="22"/>
                <w:color w:val="auto"/>
              </w:rPr>
              <w:t>$1,250,000</w:t>
            </w:r>
          </w:p>
        </w:tc>
      </w:tr>
    </w:tbl>
    <w:p>
      <w:pPr>
        <w:spacing w:after="0" w:line="19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both"/>
        <w:ind w:left="200" w:right="219" w:firstLine="657"/>
        <w:spacing w:after="0" w:line="234" w:lineRule="auto"/>
        <w:tabs>
          <w:tab w:leader="none" w:pos="1619"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interest on the principal amount of this Note from time to time outstanding, payable at the applicable interest rate set forth in the Loan Agreement commencing on March 31, 2019 and on each March 31, June 30, September 30 and December 31 thereafter and upon payment in full of the principal amount of this Note. Upon and after the occurrence of an Event of Default, and during the continuation thereof, interest shall be payable at the applicable Default Rate. In no event, however, shall interest hereunder exceed the maximum interest rate permitted by law.</w:t>
      </w:r>
    </w:p>
    <w:p>
      <w:pPr>
        <w:spacing w:after="0" w:line="19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 xml:space="preserve">This Note is the Term Loan Note B referred to in the Loan Agreement and is secured, </w:t>
      </w:r>
      <w:r>
        <w:rPr>
          <w:rFonts w:ascii="Arial" w:cs="Arial" w:eastAsia="Arial" w:hAnsi="Arial"/>
          <w:sz w:val="22"/>
          <w:szCs w:val="22"/>
          <w:u w:val="single" w:color="auto"/>
          <w:color w:val="auto"/>
        </w:rPr>
        <w:t>inter alia</w:t>
      </w:r>
      <w:r>
        <w:rPr>
          <w:rFonts w:ascii="Arial" w:cs="Arial" w:eastAsia="Arial" w:hAnsi="Arial"/>
          <w:sz w:val="22"/>
          <w:szCs w:val="22"/>
          <w:color w:val="auto"/>
        </w:rPr>
        <w:t>, by the liens granted pursuant to the Loan Agreement and the other Loan Documents, is entitled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122" w:name="page123"/>
    <w:bookmarkEnd w:id="122"/>
    <w:p>
      <w:pPr>
        <w:jc w:val="both"/>
        <w:ind w:left="200" w:right="219"/>
        <w:spacing w:after="0" w:line="250" w:lineRule="auto"/>
        <w:rPr>
          <w:sz w:val="20"/>
          <w:szCs w:val="20"/>
          <w:color w:val="auto"/>
        </w:rPr>
      </w:pPr>
      <w:r>
        <w:rPr>
          <w:rFonts w:ascii="Arial" w:cs="Arial" w:eastAsia="Arial" w:hAnsi="Arial"/>
          <w:sz w:val="22"/>
          <w:szCs w:val="22"/>
          <w:color w:val="auto"/>
        </w:rPr>
        <w:t>to the benefits of the Loan Agreement and the other Loan Documents, and is subject to all of the agreements, terms and conditions therein contained.</w:t>
      </w:r>
    </w:p>
    <w:p>
      <w:pPr>
        <w:spacing w:after="0" w:line="175"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Payments received by Lender shall be applied against principal and interest as provided for in the Loan Agreement. This Note may be voluntarily prepaid, in whole or in part, on the terms and conditions set forth in the Loan Agreement.</w:t>
      </w:r>
    </w:p>
    <w:p>
      <w:pPr>
        <w:spacing w:after="0" w:line="18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If an Event of Default under Section 12.1(f) of the Loan Agreement shall occur, then this Note shall immediately become due and payable, without notice, together with attorneys’ fees if the collection hereof is placed in the hands of an attorney to obtain or enforce payment hereof. If any other Event of Default shall occur under the Loan Agreement or any of the other Loan Documents which is not cured within any applicable grace period, then this Note may, as provided in the Loan Agreement, be declared to be immediately due and payable, without notice, together with attorneys’ fees, if the collection hereof is placed in the hands of an attorney to obtain or enforce payment hereof.</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175"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To the fullest extent permitted by applicable law, Borrower waives: (a) presentment, demand and protest, and notice of presentment, dishonor, intent to accelerate, acceleration, protest, default, nonpayment, maturity, release, compromise, settlement, extension or renewal of any or all of the Obligations, the Loan Agreement, this Note or any other Loan Documents;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and exemption laws.</w:t>
      </w:r>
    </w:p>
    <w:p>
      <w:pPr>
        <w:spacing w:after="0" w:line="180"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Borrower acknowledges that this Note is executed as part of a commercial transaction and that the proceeds of this Note will not be used for any personal or consumer purpose.</w:t>
      </w:r>
    </w:p>
    <w:p>
      <w:pPr>
        <w:spacing w:after="0" w:line="10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This Note amends and restates and is given in partial substitution for but not in satisfaction of the Amended and Restated Term Loan Note B dated February 11, 2019 executed by Borrower in favor of Lender, in the original principal amount of $14,750,000.</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3" w:name="page124"/>
    <w:bookmarkEnd w:id="123"/>
    <w:p>
      <w:pPr>
        <w:ind w:left="200" w:right="219" w:firstLine="648"/>
        <w:spacing w:after="0" w:line="250" w:lineRule="auto"/>
        <w:rPr>
          <w:sz w:val="20"/>
          <w:szCs w:val="20"/>
          <w:color w:val="auto"/>
        </w:rPr>
      </w:pPr>
      <w:r>
        <w:rPr>
          <w:rFonts w:ascii="Arial" w:cs="Arial" w:eastAsia="Arial" w:hAnsi="Arial"/>
          <w:sz w:val="22"/>
          <w:szCs w:val="22"/>
          <w:color w:val="auto"/>
        </w:rPr>
        <w:t>Borrower agrees to pay to Agent all fees and expenses described in the Loan Agreement and the other Loan Documents.</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Haran</w:t>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18858918.12</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COVENANTS</w:t>
      </w:r>
    </w:p>
    <w:p>
      <w:pPr>
        <w:spacing w:after="0" w:line="212" w:lineRule="exact"/>
        <w:rPr>
          <w:sz w:val="20"/>
          <w:szCs w:val="20"/>
          <w:color w:val="auto"/>
        </w:rPr>
      </w:pPr>
    </w:p>
    <w:p>
      <w:pPr>
        <w:ind w:left="200" w:right="239" w:firstLine="657"/>
        <w:spacing w:after="0" w:line="328" w:lineRule="auto"/>
        <w:tabs>
          <w:tab w:leader="none" w:pos="1523"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Minimum Net Worth</w:t>
      </w:r>
      <w:r>
        <w:rPr>
          <w:rFonts w:ascii="Arial" w:cs="Arial" w:eastAsia="Arial" w:hAnsi="Arial"/>
          <w:sz w:val="19"/>
          <w:szCs w:val="19"/>
          <w:color w:val="auto"/>
        </w:rPr>
        <w:t>. Net Worth of Initial Borrower and the Included Subsidiaries on a consolidated basis shall not be less than $90,000,000 at the end of each Fiscal Quarter.</w:t>
      </w:r>
    </w:p>
    <w:p>
      <w:pPr>
        <w:spacing w:after="0" w:line="104" w:lineRule="exact"/>
        <w:rPr>
          <w:rFonts w:ascii="Arial" w:cs="Arial" w:eastAsia="Arial" w:hAnsi="Arial"/>
          <w:sz w:val="19"/>
          <w:szCs w:val="19"/>
          <w:color w:val="010000"/>
        </w:rPr>
      </w:pPr>
    </w:p>
    <w:p>
      <w:pPr>
        <w:jc w:val="both"/>
        <w:ind w:left="200" w:right="239" w:firstLine="657"/>
        <w:spacing w:after="0"/>
        <w:tabs>
          <w:tab w:leader="none" w:pos="1563"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Minimum Liquid Assets</w:t>
      </w:r>
      <w:r>
        <w:rPr>
          <w:rFonts w:ascii="Arial" w:cs="Arial" w:eastAsia="Arial" w:hAnsi="Arial"/>
          <w:sz w:val="22"/>
          <w:szCs w:val="22"/>
          <w:color w:val="auto"/>
        </w:rPr>
        <w:t>. Liquid Assets of Initial Borrower and the Included Subsidiaries on a consolidated basis shall not be less than the amount set forth below at all times during the applicable Fiscal Quarter:</w:t>
      </w:r>
    </w:p>
    <w:p>
      <w:pPr>
        <w:spacing w:after="0" w:line="157"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3880" w:type="dxa"/>
            <w:vAlign w:val="bottom"/>
            <w:gridSpan w:val="2"/>
          </w:tcPr>
          <w:p>
            <w:pPr>
              <w:spacing w:after="0"/>
              <w:rPr>
                <w:sz w:val="20"/>
                <w:szCs w:val="20"/>
                <w:color w:val="auto"/>
              </w:rPr>
            </w:pPr>
            <w:r>
              <w:rPr>
                <w:rFonts w:ascii="Arial" w:cs="Arial" w:eastAsia="Arial" w:hAnsi="Arial"/>
                <w:sz w:val="22"/>
                <w:szCs w:val="22"/>
                <w:color w:val="auto"/>
              </w:rPr>
              <w:t>Fiscal Quarter End</w:t>
            </w:r>
          </w:p>
        </w:tc>
        <w:tc>
          <w:tcPr>
            <w:tcW w:w="2880" w:type="dxa"/>
            <w:vAlign w:val="bottom"/>
            <w:gridSpan w:val="3"/>
          </w:tcPr>
          <w:p>
            <w:pPr>
              <w:ind w:left="160"/>
              <w:spacing w:after="0"/>
              <w:rPr>
                <w:sz w:val="20"/>
                <w:szCs w:val="20"/>
                <w:color w:val="auto"/>
              </w:rPr>
            </w:pPr>
            <w:r>
              <w:rPr>
                <w:rFonts w:ascii="Arial" w:cs="Arial" w:eastAsia="Arial" w:hAnsi="Arial"/>
                <w:sz w:val="22"/>
                <w:szCs w:val="22"/>
                <w:color w:val="auto"/>
              </w:rPr>
              <w:t>Minimum Liquid Assets</w:t>
            </w:r>
          </w:p>
        </w:tc>
      </w:tr>
      <w:tr>
        <w:trPr>
          <w:trHeight w:val="20"/>
        </w:trPr>
        <w:tc>
          <w:tcPr>
            <w:tcW w:w="16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73"/>
        </w:trPr>
        <w:tc>
          <w:tcPr>
            <w:tcW w:w="3880" w:type="dxa"/>
            <w:vAlign w:val="bottom"/>
            <w:gridSpan w:val="2"/>
          </w:tcPr>
          <w:p>
            <w:pPr>
              <w:spacing w:after="0"/>
              <w:rPr>
                <w:sz w:val="20"/>
                <w:szCs w:val="20"/>
                <w:color w:val="auto"/>
              </w:rPr>
            </w:pPr>
            <w:r>
              <w:rPr>
                <w:rFonts w:ascii="Arial" w:cs="Arial" w:eastAsia="Arial" w:hAnsi="Arial"/>
                <w:sz w:val="22"/>
                <w:szCs w:val="22"/>
                <w:color w:val="auto"/>
              </w:rPr>
              <w:t>December 31, 2019</w:t>
            </w:r>
          </w:p>
        </w:tc>
        <w:tc>
          <w:tcPr>
            <w:tcW w:w="2280" w:type="dxa"/>
            <w:vAlign w:val="bottom"/>
            <w:gridSpan w:val="2"/>
          </w:tcPr>
          <w:p>
            <w:pPr>
              <w:ind w:left="160"/>
              <w:spacing w:after="0"/>
              <w:rPr>
                <w:sz w:val="20"/>
                <w:szCs w:val="20"/>
                <w:color w:val="auto"/>
              </w:rPr>
            </w:pPr>
            <w:r>
              <w:rPr>
                <w:rFonts w:ascii="Arial" w:cs="Arial" w:eastAsia="Arial" w:hAnsi="Arial"/>
                <w:sz w:val="22"/>
                <w:szCs w:val="22"/>
                <w:color w:val="auto"/>
              </w:rPr>
              <w:t>$4,000,000</w:t>
            </w:r>
          </w:p>
        </w:tc>
        <w:tc>
          <w:tcPr>
            <w:tcW w:w="600" w:type="dxa"/>
            <w:vAlign w:val="bottom"/>
          </w:tcPr>
          <w:p>
            <w:pPr>
              <w:spacing w:after="0"/>
              <w:rPr>
                <w:sz w:val="23"/>
                <w:szCs w:val="23"/>
                <w:color w:val="auto"/>
              </w:rPr>
            </w:pPr>
          </w:p>
        </w:tc>
      </w:tr>
      <w:tr>
        <w:trPr>
          <w:trHeight w:val="455"/>
        </w:trPr>
        <w:tc>
          <w:tcPr>
            <w:tcW w:w="3880" w:type="dxa"/>
            <w:vAlign w:val="bottom"/>
            <w:gridSpan w:val="2"/>
          </w:tcPr>
          <w:p>
            <w:pPr>
              <w:spacing w:after="0"/>
              <w:rPr>
                <w:sz w:val="20"/>
                <w:szCs w:val="20"/>
                <w:color w:val="auto"/>
              </w:rPr>
            </w:pPr>
            <w:r>
              <w:rPr>
                <w:rFonts w:ascii="Arial" w:cs="Arial" w:eastAsia="Arial" w:hAnsi="Arial"/>
                <w:sz w:val="22"/>
                <w:szCs w:val="22"/>
                <w:color w:val="auto"/>
                <w:w w:val="90"/>
              </w:rPr>
              <w:t>March 31, 2020, June 30, 2020, September</w:t>
            </w:r>
          </w:p>
        </w:tc>
        <w:tc>
          <w:tcPr>
            <w:tcW w:w="2880" w:type="dxa"/>
            <w:vAlign w:val="bottom"/>
            <w:gridSpan w:val="3"/>
          </w:tcPr>
          <w:p>
            <w:pPr>
              <w:ind w:left="160"/>
              <w:spacing w:after="0"/>
              <w:rPr>
                <w:sz w:val="20"/>
                <w:szCs w:val="20"/>
                <w:color w:val="auto"/>
              </w:rPr>
            </w:pPr>
            <w:r>
              <w:rPr>
                <w:rFonts w:ascii="Arial" w:cs="Arial" w:eastAsia="Arial" w:hAnsi="Arial"/>
                <w:sz w:val="22"/>
                <w:szCs w:val="22"/>
                <w:color w:val="auto"/>
                <w:w w:val="91"/>
              </w:rPr>
              <w:t>$3,250,000 prior to the receipt</w:t>
            </w:r>
          </w:p>
        </w:tc>
      </w:tr>
      <w:tr>
        <w:trPr>
          <w:trHeight w:val="243"/>
        </w:trPr>
        <w:tc>
          <w:tcPr>
            <w:tcW w:w="3880" w:type="dxa"/>
            <w:vAlign w:val="bottom"/>
            <w:gridSpan w:val="2"/>
          </w:tcPr>
          <w:p>
            <w:pPr>
              <w:spacing w:after="0" w:line="243" w:lineRule="exact"/>
              <w:rPr>
                <w:sz w:val="20"/>
                <w:szCs w:val="20"/>
                <w:color w:val="auto"/>
              </w:rPr>
            </w:pPr>
            <w:r>
              <w:rPr>
                <w:rFonts w:ascii="Arial" w:cs="Arial" w:eastAsia="Arial" w:hAnsi="Arial"/>
                <w:sz w:val="22"/>
                <w:szCs w:val="22"/>
                <w:color w:val="auto"/>
              </w:rPr>
              <w:t>30, 2020 and December 31, 2020</w:t>
            </w:r>
          </w:p>
        </w:tc>
        <w:tc>
          <w:tcPr>
            <w:tcW w:w="288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89"/>
              </w:rPr>
              <w:t>of the proceeds by Borrower of</w:t>
            </w:r>
          </w:p>
        </w:tc>
      </w:tr>
      <w:tr>
        <w:trPr>
          <w:trHeight w:val="243"/>
        </w:trPr>
        <w:tc>
          <w:tcPr>
            <w:tcW w:w="1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the SBA PPP Loans and</w:t>
            </w:r>
          </w:p>
        </w:tc>
      </w:tr>
      <w:tr>
        <w:trPr>
          <w:trHeight w:val="243"/>
        </w:trPr>
        <w:tc>
          <w:tcPr>
            <w:tcW w:w="1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88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1"/>
              </w:rPr>
              <w:t>$4,000,000 after receipt of the</w:t>
            </w:r>
          </w:p>
        </w:tc>
      </w:tr>
      <w:tr>
        <w:trPr>
          <w:trHeight w:val="243"/>
        </w:trPr>
        <w:tc>
          <w:tcPr>
            <w:tcW w:w="1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88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7"/>
              </w:rPr>
              <w:t>proceeds by Borrower of the</w:t>
            </w:r>
          </w:p>
        </w:tc>
      </w:tr>
      <w:tr>
        <w:trPr>
          <w:trHeight w:val="274"/>
        </w:trPr>
        <w:tc>
          <w:tcPr>
            <w:tcW w:w="16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880" w:type="dxa"/>
            <w:vAlign w:val="bottom"/>
            <w:gridSpan w:val="3"/>
          </w:tcPr>
          <w:p>
            <w:pPr>
              <w:ind w:left="160"/>
              <w:spacing w:after="0"/>
              <w:rPr>
                <w:sz w:val="20"/>
                <w:szCs w:val="20"/>
                <w:color w:val="auto"/>
              </w:rPr>
            </w:pPr>
            <w:r>
              <w:rPr>
                <w:rFonts w:ascii="Arial" w:cs="Arial" w:eastAsia="Arial" w:hAnsi="Arial"/>
                <w:sz w:val="22"/>
                <w:szCs w:val="22"/>
                <w:color w:val="auto"/>
              </w:rPr>
              <w:t>SBA PPP Loans</w:t>
            </w:r>
          </w:p>
        </w:tc>
      </w:tr>
      <w:tr>
        <w:trPr>
          <w:trHeight w:val="455"/>
        </w:trPr>
        <w:tc>
          <w:tcPr>
            <w:tcW w:w="3880" w:type="dxa"/>
            <w:vAlign w:val="bottom"/>
            <w:gridSpan w:val="2"/>
          </w:tcPr>
          <w:p>
            <w:pPr>
              <w:spacing w:after="0"/>
              <w:rPr>
                <w:sz w:val="20"/>
                <w:szCs w:val="20"/>
                <w:color w:val="auto"/>
              </w:rPr>
            </w:pPr>
            <w:r>
              <w:rPr>
                <w:rFonts w:ascii="Arial" w:cs="Arial" w:eastAsia="Arial" w:hAnsi="Arial"/>
                <w:sz w:val="22"/>
                <w:szCs w:val="22"/>
                <w:color w:val="auto"/>
                <w:w w:val="99"/>
              </w:rPr>
              <w:t>Each Fiscal Quarter after December 31,</w:t>
            </w: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4"/>
        </w:trPr>
        <w:tc>
          <w:tcPr>
            <w:tcW w:w="1620" w:type="dxa"/>
            <w:vAlign w:val="bottom"/>
          </w:tcPr>
          <w:p>
            <w:pPr>
              <w:spacing w:after="0"/>
              <w:rPr>
                <w:sz w:val="20"/>
                <w:szCs w:val="20"/>
                <w:color w:val="auto"/>
              </w:rPr>
            </w:pPr>
            <w:r>
              <w:rPr>
                <w:rFonts w:ascii="Arial" w:cs="Arial" w:eastAsia="Arial" w:hAnsi="Arial"/>
                <w:sz w:val="22"/>
                <w:szCs w:val="22"/>
                <w:color w:val="auto"/>
              </w:rPr>
              <w:t>2020</w:t>
            </w:r>
          </w:p>
        </w:tc>
        <w:tc>
          <w:tcPr>
            <w:tcW w:w="2260" w:type="dxa"/>
            <w:vAlign w:val="bottom"/>
          </w:tcPr>
          <w:p>
            <w:pPr>
              <w:spacing w:after="0"/>
              <w:rPr>
                <w:sz w:val="23"/>
                <w:szCs w:val="23"/>
                <w:color w:val="auto"/>
              </w:rPr>
            </w:pPr>
          </w:p>
        </w:tc>
        <w:tc>
          <w:tcPr>
            <w:tcW w:w="2280" w:type="dxa"/>
            <w:vAlign w:val="bottom"/>
            <w:gridSpan w:val="2"/>
          </w:tcPr>
          <w:p>
            <w:pPr>
              <w:ind w:left="160"/>
              <w:spacing w:after="0"/>
              <w:rPr>
                <w:sz w:val="20"/>
                <w:szCs w:val="20"/>
                <w:color w:val="auto"/>
              </w:rPr>
            </w:pPr>
            <w:r>
              <w:rPr>
                <w:rFonts w:ascii="Arial" w:cs="Arial" w:eastAsia="Arial" w:hAnsi="Arial"/>
                <w:sz w:val="22"/>
                <w:szCs w:val="22"/>
                <w:color w:val="auto"/>
              </w:rPr>
              <w:t>$5,000,000</w:t>
            </w:r>
          </w:p>
        </w:tc>
        <w:tc>
          <w:tcPr>
            <w:tcW w:w="600" w:type="dxa"/>
            <w:vAlign w:val="bottom"/>
          </w:tcPr>
          <w:p>
            <w:pPr>
              <w:spacing w:after="0"/>
              <w:rPr>
                <w:sz w:val="23"/>
                <w:szCs w:val="23"/>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left="200" w:right="239" w:firstLine="657"/>
        <w:spacing w:after="0" w:line="238" w:lineRule="auto"/>
        <w:tabs>
          <w:tab w:leader="none" w:pos="1523"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Fixed Charge Ratio of Initial Borrower and the Included Subsidiaries on a consolidated basis for the twelve Fiscal Month period ending at the end of each Fiscal Quarter set forth below shall not be less than the ratio set forth below for such Fiscal Quarter below:</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3920" w:type="dxa"/>
            <w:vAlign w:val="bottom"/>
            <w:gridSpan w:val="2"/>
          </w:tcPr>
          <w:p>
            <w:pPr>
              <w:spacing w:after="0"/>
              <w:rPr>
                <w:sz w:val="20"/>
                <w:szCs w:val="20"/>
                <w:color w:val="auto"/>
              </w:rPr>
            </w:pPr>
            <w:r>
              <w:rPr>
                <w:rFonts w:ascii="Arial" w:cs="Arial" w:eastAsia="Arial" w:hAnsi="Arial"/>
                <w:sz w:val="22"/>
                <w:szCs w:val="22"/>
                <w:color w:val="auto"/>
              </w:rPr>
              <w:t>Fiscal Quarter</w:t>
            </w:r>
          </w:p>
        </w:tc>
        <w:tc>
          <w:tcPr>
            <w:tcW w:w="2700" w:type="dxa"/>
            <w:vAlign w:val="bottom"/>
            <w:gridSpan w:val="2"/>
          </w:tcPr>
          <w:p>
            <w:pPr>
              <w:ind w:left="120"/>
              <w:spacing w:after="0"/>
              <w:rPr>
                <w:sz w:val="20"/>
                <w:szCs w:val="20"/>
                <w:color w:val="auto"/>
              </w:rPr>
            </w:pPr>
            <w:r>
              <w:rPr>
                <w:rFonts w:ascii="Arial" w:cs="Arial" w:eastAsia="Arial" w:hAnsi="Arial"/>
                <w:sz w:val="22"/>
                <w:szCs w:val="22"/>
                <w:color w:val="auto"/>
                <w:w w:val="87"/>
              </w:rPr>
              <w:t>Fixed Charge Coverage Ratio</w:t>
            </w:r>
          </w:p>
        </w:tc>
      </w:tr>
      <w:tr>
        <w:trPr>
          <w:trHeight w:val="20"/>
        </w:trPr>
        <w:tc>
          <w:tcPr>
            <w:tcW w:w="12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490"/>
        </w:trPr>
        <w:tc>
          <w:tcPr>
            <w:tcW w:w="3920" w:type="dxa"/>
            <w:vAlign w:val="bottom"/>
            <w:gridSpan w:val="2"/>
          </w:tcPr>
          <w:p>
            <w:pPr>
              <w:spacing w:after="0"/>
              <w:rPr>
                <w:sz w:val="20"/>
                <w:szCs w:val="20"/>
                <w:color w:val="auto"/>
              </w:rPr>
            </w:pPr>
            <w:r>
              <w:rPr>
                <w:rFonts w:ascii="Arial" w:cs="Arial" w:eastAsia="Arial" w:hAnsi="Arial"/>
                <w:sz w:val="22"/>
                <w:szCs w:val="22"/>
                <w:color w:val="auto"/>
              </w:rPr>
              <w:t>September 30, 2020</w:t>
            </w:r>
          </w:p>
        </w:tc>
        <w:tc>
          <w:tcPr>
            <w:tcW w:w="2700" w:type="dxa"/>
            <w:vAlign w:val="bottom"/>
            <w:gridSpan w:val="2"/>
          </w:tcPr>
          <w:p>
            <w:pPr>
              <w:ind w:left="120"/>
              <w:spacing w:after="0"/>
              <w:rPr>
                <w:sz w:val="20"/>
                <w:szCs w:val="20"/>
                <w:color w:val="auto"/>
              </w:rPr>
            </w:pPr>
            <w:r>
              <w:rPr>
                <w:rFonts w:ascii="Arial" w:cs="Arial" w:eastAsia="Arial" w:hAnsi="Arial"/>
                <w:sz w:val="22"/>
                <w:szCs w:val="22"/>
                <w:color w:val="auto"/>
              </w:rPr>
              <w:t>1.00 to 1.00</w:t>
            </w:r>
          </w:p>
        </w:tc>
      </w:tr>
      <w:tr>
        <w:trPr>
          <w:trHeight w:val="671"/>
        </w:trPr>
        <w:tc>
          <w:tcPr>
            <w:tcW w:w="3920" w:type="dxa"/>
            <w:vAlign w:val="bottom"/>
            <w:gridSpan w:val="2"/>
          </w:tcPr>
          <w:p>
            <w:pPr>
              <w:spacing w:after="0"/>
              <w:rPr>
                <w:sz w:val="20"/>
                <w:szCs w:val="20"/>
                <w:color w:val="auto"/>
              </w:rPr>
            </w:pPr>
            <w:r>
              <w:rPr>
                <w:rFonts w:ascii="Arial" w:cs="Arial" w:eastAsia="Arial" w:hAnsi="Arial"/>
                <w:sz w:val="22"/>
                <w:szCs w:val="22"/>
                <w:color w:val="auto"/>
                <w:w w:val="89"/>
              </w:rPr>
              <w:t>December 31, 2020 and each Fiscal Quarter</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74"/>
        </w:trPr>
        <w:tc>
          <w:tcPr>
            <w:tcW w:w="3920" w:type="dxa"/>
            <w:vAlign w:val="bottom"/>
            <w:gridSpan w:val="2"/>
          </w:tcPr>
          <w:p>
            <w:pPr>
              <w:spacing w:after="0"/>
              <w:rPr>
                <w:sz w:val="20"/>
                <w:szCs w:val="20"/>
                <w:color w:val="auto"/>
              </w:rPr>
            </w:pPr>
            <w:r>
              <w:rPr>
                <w:rFonts w:ascii="Arial" w:cs="Arial" w:eastAsia="Arial" w:hAnsi="Arial"/>
                <w:sz w:val="22"/>
                <w:szCs w:val="22"/>
                <w:color w:val="auto"/>
              </w:rPr>
              <w:t>thereafter</w:t>
            </w:r>
          </w:p>
        </w:tc>
        <w:tc>
          <w:tcPr>
            <w:tcW w:w="2700" w:type="dxa"/>
            <w:vAlign w:val="bottom"/>
            <w:gridSpan w:val="2"/>
          </w:tcPr>
          <w:p>
            <w:pPr>
              <w:ind w:left="120"/>
              <w:spacing w:after="0"/>
              <w:rPr>
                <w:sz w:val="20"/>
                <w:szCs w:val="20"/>
                <w:color w:val="auto"/>
              </w:rPr>
            </w:pPr>
            <w:r>
              <w:rPr>
                <w:rFonts w:ascii="Arial" w:cs="Arial" w:eastAsia="Arial" w:hAnsi="Arial"/>
                <w:sz w:val="22"/>
                <w:szCs w:val="22"/>
                <w:color w:val="auto"/>
              </w:rPr>
              <w:t>1.10 to 1.00</w:t>
            </w:r>
          </w:p>
        </w:tc>
      </w:tr>
    </w:tbl>
    <w:p>
      <w:pPr>
        <w:spacing w:after="0" w:line="200" w:lineRule="exact"/>
        <w:rPr>
          <w:sz w:val="20"/>
          <w:szCs w:val="20"/>
          <w:color w:val="auto"/>
        </w:rPr>
      </w:pPr>
    </w:p>
    <w:p>
      <w:pPr>
        <w:spacing w:after="0" w:line="228" w:lineRule="exact"/>
        <w:rPr>
          <w:sz w:val="20"/>
          <w:szCs w:val="20"/>
          <w:color w:val="auto"/>
        </w:rPr>
      </w:pPr>
    </w:p>
    <w:p>
      <w:pPr>
        <w:jc w:val="both"/>
        <w:ind w:left="200" w:right="219" w:firstLine="657"/>
        <w:spacing w:after="0"/>
        <w:tabs>
          <w:tab w:leader="none" w:pos="1536"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Capital Expenditures</w:t>
      </w:r>
      <w:r>
        <w:rPr>
          <w:rFonts w:ascii="Arial" w:cs="Arial" w:eastAsia="Arial" w:hAnsi="Arial"/>
          <w:sz w:val="22"/>
          <w:szCs w:val="22"/>
          <w:color w:val="auto"/>
        </w:rPr>
        <w:t>. Capital Expenditures of Initial Borrower and the Included Subsidiaries on a consolidated basis in any Fiscal Year shall not exceed the amount set forth below for such Fiscal Year:</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Fiscal Year End</w:t>
            </w:r>
          </w:p>
        </w:tc>
        <w:tc>
          <w:tcPr>
            <w:tcW w:w="4360" w:type="dxa"/>
            <w:vAlign w:val="bottom"/>
            <w:gridSpan w:val="3"/>
          </w:tcPr>
          <w:p>
            <w:pPr>
              <w:ind w:left="1160"/>
              <w:spacing w:after="0"/>
              <w:rPr>
                <w:sz w:val="20"/>
                <w:szCs w:val="20"/>
                <w:color w:val="auto"/>
              </w:rPr>
            </w:pPr>
            <w:r>
              <w:rPr>
                <w:rFonts w:ascii="Arial" w:cs="Arial" w:eastAsia="Arial" w:hAnsi="Arial"/>
                <w:sz w:val="22"/>
                <w:szCs w:val="22"/>
                <w:color w:val="auto"/>
              </w:rPr>
              <w:t>Capital Expenditures</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42"/>
        </w:trPr>
        <w:tc>
          <w:tcPr>
            <w:tcW w:w="1340" w:type="dxa"/>
            <w:vAlign w:val="bottom"/>
          </w:tcPr>
          <w:p>
            <w:pPr>
              <w:spacing w:after="0"/>
              <w:rPr>
                <w:sz w:val="21"/>
                <w:szCs w:val="21"/>
                <w:color w:val="auto"/>
              </w:rPr>
            </w:pPr>
          </w:p>
        </w:tc>
        <w:tc>
          <w:tcPr>
            <w:tcW w:w="2880" w:type="dxa"/>
            <w:vAlign w:val="bottom"/>
            <w:gridSpan w:val="2"/>
          </w:tcPr>
          <w:p>
            <w:pPr>
              <w:spacing w:after="0" w:line="242" w:lineRule="exact"/>
              <w:rPr>
                <w:sz w:val="20"/>
                <w:szCs w:val="20"/>
                <w:color w:val="auto"/>
              </w:rPr>
            </w:pPr>
            <w:r>
              <w:rPr>
                <w:rFonts w:ascii="Arial" w:cs="Arial" w:eastAsia="Arial" w:hAnsi="Arial"/>
                <w:sz w:val="22"/>
                <w:szCs w:val="22"/>
                <w:color w:val="auto"/>
              </w:rPr>
              <w:t>December 31, 2019</w:t>
            </w:r>
          </w:p>
        </w:tc>
        <w:tc>
          <w:tcPr>
            <w:tcW w:w="2980" w:type="dxa"/>
            <w:vAlign w:val="bottom"/>
            <w:gridSpan w:val="2"/>
          </w:tcPr>
          <w:p>
            <w:pPr>
              <w:ind w:left="1160"/>
              <w:spacing w:after="0" w:line="242" w:lineRule="exact"/>
              <w:rPr>
                <w:sz w:val="20"/>
                <w:szCs w:val="20"/>
                <w:color w:val="auto"/>
              </w:rPr>
            </w:pPr>
            <w:r>
              <w:rPr>
                <w:rFonts w:ascii="Arial" w:cs="Arial" w:eastAsia="Arial" w:hAnsi="Arial"/>
                <w:sz w:val="22"/>
                <w:szCs w:val="22"/>
                <w:color w:val="auto"/>
              </w:rPr>
              <w:t>$700,000</w:t>
            </w:r>
          </w:p>
        </w:tc>
        <w:tc>
          <w:tcPr>
            <w:tcW w:w="138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2880" w:type="dxa"/>
            <w:vAlign w:val="bottom"/>
            <w:gridSpan w:val="2"/>
          </w:tcPr>
          <w:p>
            <w:pPr>
              <w:spacing w:after="0" w:line="243" w:lineRule="exact"/>
              <w:rPr>
                <w:sz w:val="20"/>
                <w:szCs w:val="20"/>
                <w:color w:val="auto"/>
              </w:rPr>
            </w:pPr>
            <w:r>
              <w:rPr>
                <w:rFonts w:ascii="Arial" w:cs="Arial" w:eastAsia="Arial" w:hAnsi="Arial"/>
                <w:sz w:val="22"/>
                <w:szCs w:val="22"/>
                <w:color w:val="auto"/>
              </w:rPr>
              <w:t>December 31, 2020</w:t>
            </w:r>
          </w:p>
        </w:tc>
        <w:tc>
          <w:tcPr>
            <w:tcW w:w="298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$1,600,000</w:t>
            </w:r>
          </w:p>
        </w:tc>
        <w:tc>
          <w:tcPr>
            <w:tcW w:w="1380" w:type="dxa"/>
            <w:vAlign w:val="bottom"/>
          </w:tcPr>
          <w:p>
            <w:pPr>
              <w:spacing w:after="0"/>
              <w:rPr>
                <w:sz w:val="21"/>
                <w:szCs w:val="21"/>
                <w:color w:val="auto"/>
              </w:rPr>
            </w:pPr>
          </w:p>
        </w:tc>
      </w:tr>
      <w:tr>
        <w:trPr>
          <w:trHeight w:val="274"/>
        </w:trPr>
        <w:tc>
          <w:tcPr>
            <w:tcW w:w="134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All other times</w:t>
            </w:r>
          </w:p>
        </w:tc>
        <w:tc>
          <w:tcPr>
            <w:tcW w:w="2980" w:type="dxa"/>
            <w:vAlign w:val="bottom"/>
            <w:gridSpan w:val="2"/>
          </w:tcPr>
          <w:p>
            <w:pPr>
              <w:ind w:left="1160"/>
              <w:spacing w:after="0"/>
              <w:rPr>
                <w:sz w:val="20"/>
                <w:szCs w:val="20"/>
                <w:color w:val="auto"/>
              </w:rPr>
            </w:pPr>
            <w:r>
              <w:rPr>
                <w:rFonts w:ascii="Arial" w:cs="Arial" w:eastAsia="Arial" w:hAnsi="Arial"/>
                <w:sz w:val="22"/>
                <w:szCs w:val="22"/>
                <w:color w:val="auto"/>
              </w:rPr>
              <w:t>$700,000</w:t>
            </w:r>
          </w:p>
        </w:tc>
        <w:tc>
          <w:tcPr>
            <w:tcW w:w="1380" w:type="dxa"/>
            <w:vAlign w:val="bottom"/>
          </w:tcPr>
          <w:p>
            <w:pPr>
              <w:spacing w:after="0"/>
              <w:rPr>
                <w:sz w:val="23"/>
                <w:szCs w:val="23"/>
                <w:color w:val="auto"/>
              </w:rPr>
            </w:pPr>
          </w:p>
        </w:tc>
      </w:tr>
      <w:tr>
        <w:trPr>
          <w:trHeight w:val="1253"/>
        </w:trPr>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1" w:right="1440" w:bottom="1440" w:gutter="0" w:footer="0" w:header="0"/>
        </w:sectPr>
      </w:pPr>
    </w:p>
    <w:bookmarkStart w:id="125" w:name="page126"/>
    <w:bookmarkEnd w:id="125"/>
    <w:p>
      <w:pPr>
        <w:jc w:val="both"/>
        <w:ind w:left="200" w:right="239" w:firstLine="657"/>
        <w:spacing w:after="0" w:line="257" w:lineRule="auto"/>
        <w:tabs>
          <w:tab w:leader="none" w:pos="1577" w:val="left"/>
        </w:tabs>
        <w:numPr>
          <w:ilvl w:val="0"/>
          <w:numId w:val="69"/>
        </w:numPr>
        <w:rPr>
          <w:rFonts w:ascii="Arial" w:cs="Arial" w:eastAsia="Arial" w:hAnsi="Arial"/>
          <w:sz w:val="21"/>
          <w:szCs w:val="21"/>
          <w:color w:val="010000"/>
        </w:rPr>
      </w:pPr>
      <w:r>
        <w:rPr>
          <w:rFonts w:ascii="Arial" w:cs="Arial" w:eastAsia="Arial" w:hAnsi="Arial"/>
          <w:sz w:val="21"/>
          <w:szCs w:val="21"/>
          <w:u w:val="single" w:color="auto"/>
          <w:color w:val="auto"/>
        </w:rPr>
        <w:t>Maximum Leverage Ratio</w:t>
      </w:r>
      <w:r>
        <w:rPr>
          <w:rFonts w:ascii="Arial" w:cs="Arial" w:eastAsia="Arial" w:hAnsi="Arial"/>
          <w:sz w:val="21"/>
          <w:szCs w:val="21"/>
          <w:color w:val="auto"/>
        </w:rPr>
        <w:t>. The Leverage Ratio of Initial Borrower and the Included Subsidiaries on a consolidated basis for the twelve Fiscal Month period ending at the end of each Fiscal Quarter shall not exceed the ratio below for such Fiscal Quarter:</w:t>
      </w:r>
    </w:p>
    <w:p>
      <w:pPr>
        <w:spacing w:after="0" w:line="140"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3920" w:type="dxa"/>
            <w:vAlign w:val="bottom"/>
            <w:gridSpan w:val="2"/>
          </w:tcPr>
          <w:p>
            <w:pPr>
              <w:spacing w:after="0"/>
              <w:rPr>
                <w:sz w:val="20"/>
                <w:szCs w:val="20"/>
                <w:color w:val="auto"/>
              </w:rPr>
            </w:pPr>
            <w:r>
              <w:rPr>
                <w:rFonts w:ascii="Arial" w:cs="Arial" w:eastAsia="Arial" w:hAnsi="Arial"/>
                <w:sz w:val="22"/>
                <w:szCs w:val="22"/>
                <w:color w:val="auto"/>
              </w:rPr>
              <w:t>Fiscal Quarter</w:t>
            </w:r>
          </w:p>
        </w:tc>
        <w:tc>
          <w:tcPr>
            <w:tcW w:w="2400" w:type="dxa"/>
            <w:vAlign w:val="bottom"/>
            <w:gridSpan w:val="2"/>
          </w:tcPr>
          <w:p>
            <w:pPr>
              <w:ind w:left="120"/>
              <w:spacing w:after="0"/>
              <w:rPr>
                <w:sz w:val="20"/>
                <w:szCs w:val="20"/>
                <w:color w:val="auto"/>
              </w:rPr>
            </w:pPr>
            <w:r>
              <w:rPr>
                <w:rFonts w:ascii="Arial" w:cs="Arial" w:eastAsia="Arial" w:hAnsi="Arial"/>
                <w:sz w:val="22"/>
                <w:szCs w:val="22"/>
                <w:color w:val="auto"/>
                <w:w w:val="90"/>
              </w:rPr>
              <w:t>Maximum Leverage Ratio</w:t>
            </w:r>
          </w:p>
        </w:tc>
      </w:tr>
      <w:tr>
        <w:trPr>
          <w:trHeight w:val="242"/>
        </w:trPr>
        <w:tc>
          <w:tcPr>
            <w:tcW w:w="12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86"/>
              </w:rPr>
              <w:t>June 30, 2020</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4.25 to 1.00</w:t>
            </w:r>
          </w:p>
        </w:tc>
      </w:tr>
      <w:tr>
        <w:trPr>
          <w:trHeight w:val="243"/>
        </w:trPr>
        <w:tc>
          <w:tcPr>
            <w:tcW w:w="3920" w:type="dxa"/>
            <w:vAlign w:val="bottom"/>
            <w:gridSpan w:val="2"/>
          </w:tcPr>
          <w:p>
            <w:pPr>
              <w:spacing w:after="0" w:line="243" w:lineRule="exact"/>
              <w:rPr>
                <w:sz w:val="20"/>
                <w:szCs w:val="20"/>
                <w:color w:val="auto"/>
              </w:rPr>
            </w:pPr>
            <w:r>
              <w:rPr>
                <w:rFonts w:ascii="Arial" w:cs="Arial" w:eastAsia="Arial" w:hAnsi="Arial"/>
                <w:sz w:val="22"/>
                <w:szCs w:val="22"/>
                <w:color w:val="auto"/>
              </w:rPr>
              <w:t>September 30, 2020</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3.50 to 1.00</w:t>
            </w:r>
          </w:p>
        </w:tc>
      </w:tr>
      <w:tr>
        <w:trPr>
          <w:trHeight w:val="243"/>
        </w:trPr>
        <w:tc>
          <w:tcPr>
            <w:tcW w:w="3920" w:type="dxa"/>
            <w:vAlign w:val="bottom"/>
            <w:gridSpan w:val="2"/>
          </w:tcPr>
          <w:p>
            <w:pPr>
              <w:spacing w:after="0" w:line="243" w:lineRule="exact"/>
              <w:rPr>
                <w:sz w:val="20"/>
                <w:szCs w:val="20"/>
                <w:color w:val="auto"/>
              </w:rPr>
            </w:pPr>
            <w:r>
              <w:rPr>
                <w:rFonts w:ascii="Arial" w:cs="Arial" w:eastAsia="Arial" w:hAnsi="Arial"/>
                <w:sz w:val="22"/>
                <w:szCs w:val="22"/>
                <w:color w:val="auto"/>
              </w:rPr>
              <w:t>December 31, 2020</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2.75 to 1.00</w:t>
            </w:r>
          </w:p>
        </w:tc>
      </w:tr>
      <w:tr>
        <w:trPr>
          <w:trHeight w:val="243"/>
        </w:trPr>
        <w:tc>
          <w:tcPr>
            <w:tcW w:w="3920" w:type="dxa"/>
            <w:vAlign w:val="bottom"/>
            <w:gridSpan w:val="2"/>
          </w:tcPr>
          <w:p>
            <w:pPr>
              <w:spacing w:after="0" w:line="243" w:lineRule="exact"/>
              <w:rPr>
                <w:sz w:val="20"/>
                <w:szCs w:val="20"/>
                <w:color w:val="auto"/>
              </w:rPr>
            </w:pPr>
            <w:r>
              <w:rPr>
                <w:rFonts w:ascii="Arial" w:cs="Arial" w:eastAsia="Arial" w:hAnsi="Arial"/>
                <w:sz w:val="22"/>
                <w:szCs w:val="22"/>
                <w:color w:val="auto"/>
                <w:w w:val="91"/>
              </w:rPr>
              <w:t>March 31, 2021, June 30, 2021, September</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30, 2021</w:t>
            </w:r>
          </w:p>
        </w:tc>
        <w:tc>
          <w:tcPr>
            <w:tcW w:w="2700" w:type="dxa"/>
            <w:vAlign w:val="bottom"/>
          </w:tcPr>
          <w:p>
            <w:pPr>
              <w:spacing w:after="0"/>
              <w:rPr>
                <w:sz w:val="21"/>
                <w:szCs w:val="21"/>
                <w:color w:val="auto"/>
              </w:rPr>
            </w:pP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1.70 to 1.00</w:t>
            </w:r>
          </w:p>
        </w:tc>
      </w:tr>
      <w:tr>
        <w:trPr>
          <w:trHeight w:val="243"/>
        </w:trPr>
        <w:tc>
          <w:tcPr>
            <w:tcW w:w="3920" w:type="dxa"/>
            <w:vAlign w:val="bottom"/>
            <w:gridSpan w:val="2"/>
          </w:tcPr>
          <w:p>
            <w:pPr>
              <w:spacing w:after="0" w:line="243" w:lineRule="exact"/>
              <w:rPr>
                <w:sz w:val="20"/>
                <w:szCs w:val="20"/>
                <w:color w:val="auto"/>
              </w:rPr>
            </w:pPr>
            <w:r>
              <w:rPr>
                <w:rFonts w:ascii="Arial" w:cs="Arial" w:eastAsia="Arial" w:hAnsi="Arial"/>
                <w:sz w:val="22"/>
                <w:szCs w:val="22"/>
                <w:color w:val="auto"/>
                <w:w w:val="89"/>
              </w:rPr>
              <w:t>December 31, 2021 and each Fiscal Quarter</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4"/>
        </w:trPr>
        <w:tc>
          <w:tcPr>
            <w:tcW w:w="3920" w:type="dxa"/>
            <w:vAlign w:val="bottom"/>
            <w:gridSpan w:val="2"/>
          </w:tcPr>
          <w:p>
            <w:pPr>
              <w:spacing w:after="0"/>
              <w:rPr>
                <w:sz w:val="20"/>
                <w:szCs w:val="20"/>
                <w:color w:val="auto"/>
              </w:rPr>
            </w:pPr>
            <w:r>
              <w:rPr>
                <w:rFonts w:ascii="Arial" w:cs="Arial" w:eastAsia="Arial" w:hAnsi="Arial"/>
                <w:sz w:val="22"/>
                <w:szCs w:val="22"/>
                <w:color w:val="auto"/>
              </w:rPr>
              <w:t>end thereafter</w:t>
            </w:r>
          </w:p>
        </w:tc>
        <w:tc>
          <w:tcPr>
            <w:tcW w:w="2400" w:type="dxa"/>
            <w:vAlign w:val="bottom"/>
            <w:gridSpan w:val="2"/>
          </w:tcPr>
          <w:p>
            <w:pPr>
              <w:ind w:left="120"/>
              <w:spacing w:after="0"/>
              <w:rPr>
                <w:sz w:val="20"/>
                <w:szCs w:val="20"/>
                <w:color w:val="auto"/>
              </w:rPr>
            </w:pPr>
            <w:r>
              <w:rPr>
                <w:rFonts w:ascii="Arial" w:cs="Arial" w:eastAsia="Arial" w:hAnsi="Arial"/>
                <w:sz w:val="22"/>
                <w:szCs w:val="22"/>
                <w:color w:val="auto"/>
              </w:rPr>
              <w:t>1.50 to 1.00</w:t>
            </w:r>
          </w:p>
        </w:tc>
      </w:tr>
    </w:tbl>
    <w:p>
      <w:pPr>
        <w:spacing w:after="0" w:line="185" w:lineRule="exact"/>
        <w:rPr>
          <w:sz w:val="20"/>
          <w:szCs w:val="20"/>
          <w:color w:val="auto"/>
        </w:rPr>
      </w:pPr>
    </w:p>
    <w:p>
      <w:pPr>
        <w:jc w:val="both"/>
        <w:ind w:left="200" w:right="239" w:firstLine="657"/>
        <w:spacing w:after="0" w:line="257" w:lineRule="auto"/>
        <w:tabs>
          <w:tab w:leader="none" w:pos="1604" w:val="left"/>
        </w:tabs>
        <w:numPr>
          <w:ilvl w:val="0"/>
          <w:numId w:val="70"/>
        </w:numPr>
        <w:rPr>
          <w:rFonts w:ascii="Arial" w:cs="Arial" w:eastAsia="Arial" w:hAnsi="Arial"/>
          <w:sz w:val="21"/>
          <w:szCs w:val="21"/>
          <w:color w:val="010000"/>
        </w:rPr>
      </w:pPr>
      <w:r>
        <w:rPr>
          <w:rFonts w:ascii="Arial" w:cs="Arial" w:eastAsia="Arial" w:hAnsi="Arial"/>
          <w:sz w:val="21"/>
          <w:szCs w:val="21"/>
          <w:u w:val="single" w:color="auto"/>
          <w:color w:val="auto"/>
        </w:rPr>
        <w:t>Minimum EBITDA</w:t>
      </w:r>
      <w:r>
        <w:rPr>
          <w:rFonts w:ascii="Arial" w:cs="Arial" w:eastAsia="Arial" w:hAnsi="Arial"/>
          <w:sz w:val="21"/>
          <w:szCs w:val="21"/>
          <w:color w:val="auto"/>
        </w:rPr>
        <w:t>. The EBITDA of Initial Borrower and the Included Subsidiaries on a consolidated basis for the twelve Fiscal Month period ending at the end of each Fiscal Quarter shall be at least the amount set forth below for such Fiscal Quarter:</w:t>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Fiscal Quarter End</w:t>
            </w:r>
          </w:p>
        </w:tc>
        <w:tc>
          <w:tcPr>
            <w:tcW w:w="4360" w:type="dxa"/>
            <w:vAlign w:val="bottom"/>
            <w:gridSpan w:val="3"/>
          </w:tcPr>
          <w:p>
            <w:pPr>
              <w:ind w:left="1160"/>
              <w:spacing w:after="0"/>
              <w:rPr>
                <w:sz w:val="20"/>
                <w:szCs w:val="20"/>
                <w:color w:val="auto"/>
              </w:rPr>
            </w:pPr>
            <w:r>
              <w:rPr>
                <w:rFonts w:ascii="Arial" w:cs="Arial" w:eastAsia="Arial" w:hAnsi="Arial"/>
                <w:sz w:val="22"/>
                <w:szCs w:val="22"/>
                <w:color w:val="auto"/>
              </w:rPr>
              <w:t>Minimum EBITDA</w:t>
            </w: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2"/>
        </w:trPr>
        <w:tc>
          <w:tcPr>
            <w:tcW w:w="1340" w:type="dxa"/>
            <w:vAlign w:val="bottom"/>
          </w:tcPr>
          <w:p>
            <w:pPr>
              <w:spacing w:after="0"/>
              <w:rPr>
                <w:sz w:val="21"/>
                <w:szCs w:val="21"/>
                <w:color w:val="auto"/>
              </w:rPr>
            </w:pPr>
          </w:p>
        </w:tc>
        <w:tc>
          <w:tcPr>
            <w:tcW w:w="2880" w:type="dxa"/>
            <w:vAlign w:val="bottom"/>
            <w:gridSpan w:val="2"/>
          </w:tcPr>
          <w:p>
            <w:pPr>
              <w:spacing w:after="0" w:line="242" w:lineRule="exact"/>
              <w:rPr>
                <w:sz w:val="20"/>
                <w:szCs w:val="20"/>
                <w:color w:val="auto"/>
              </w:rPr>
            </w:pPr>
            <w:r>
              <w:rPr>
                <w:rFonts w:ascii="Arial" w:cs="Arial" w:eastAsia="Arial" w:hAnsi="Arial"/>
                <w:sz w:val="22"/>
                <w:szCs w:val="22"/>
                <w:color w:val="auto"/>
              </w:rPr>
              <w:t>December 31, 2019</w:t>
            </w:r>
          </w:p>
        </w:tc>
        <w:tc>
          <w:tcPr>
            <w:tcW w:w="2880" w:type="dxa"/>
            <w:vAlign w:val="bottom"/>
            <w:gridSpan w:val="2"/>
          </w:tcPr>
          <w:p>
            <w:pPr>
              <w:ind w:left="1160"/>
              <w:spacing w:after="0" w:line="242" w:lineRule="exact"/>
              <w:rPr>
                <w:sz w:val="20"/>
                <w:szCs w:val="20"/>
                <w:color w:val="auto"/>
              </w:rPr>
            </w:pPr>
            <w:r>
              <w:rPr>
                <w:rFonts w:ascii="Arial" w:cs="Arial" w:eastAsia="Arial" w:hAnsi="Arial"/>
                <w:sz w:val="22"/>
                <w:szCs w:val="22"/>
                <w:color w:val="auto"/>
              </w:rPr>
              <w:t>$6,800,000</w:t>
            </w:r>
          </w:p>
        </w:tc>
        <w:tc>
          <w:tcPr>
            <w:tcW w:w="148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2880" w:type="dxa"/>
            <w:vAlign w:val="bottom"/>
            <w:gridSpan w:val="2"/>
          </w:tcPr>
          <w:p>
            <w:pPr>
              <w:spacing w:after="0" w:line="243" w:lineRule="exact"/>
              <w:rPr>
                <w:sz w:val="20"/>
                <w:szCs w:val="20"/>
                <w:color w:val="auto"/>
              </w:rPr>
            </w:pPr>
            <w:r>
              <w:rPr>
                <w:rFonts w:ascii="Arial" w:cs="Arial" w:eastAsia="Arial" w:hAnsi="Arial"/>
                <w:sz w:val="22"/>
                <w:szCs w:val="22"/>
                <w:color w:val="auto"/>
              </w:rPr>
              <w:t>March 31, 2020</w:t>
            </w:r>
          </w:p>
        </w:tc>
        <w:tc>
          <w:tcPr>
            <w:tcW w:w="288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$5,000,000</w:t>
            </w:r>
          </w:p>
        </w:tc>
        <w:tc>
          <w:tcPr>
            <w:tcW w:w="1480" w:type="dxa"/>
            <w:vAlign w:val="bottom"/>
          </w:tcPr>
          <w:p>
            <w:pPr>
              <w:spacing w:after="0"/>
              <w:rPr>
                <w:sz w:val="21"/>
                <w:szCs w:val="21"/>
                <w:color w:val="auto"/>
              </w:rPr>
            </w:pPr>
          </w:p>
        </w:tc>
      </w:tr>
      <w:tr>
        <w:trPr>
          <w:trHeight w:val="274"/>
        </w:trPr>
        <w:tc>
          <w:tcPr>
            <w:tcW w:w="134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June 30, 2020</w:t>
            </w:r>
          </w:p>
        </w:tc>
        <w:tc>
          <w:tcPr>
            <w:tcW w:w="2880" w:type="dxa"/>
            <w:vAlign w:val="bottom"/>
            <w:gridSpan w:val="2"/>
          </w:tcPr>
          <w:p>
            <w:pPr>
              <w:ind w:left="1160"/>
              <w:spacing w:after="0"/>
              <w:rPr>
                <w:sz w:val="20"/>
                <w:szCs w:val="20"/>
                <w:color w:val="auto"/>
              </w:rPr>
            </w:pPr>
            <w:r>
              <w:rPr>
                <w:rFonts w:ascii="Arial" w:cs="Arial" w:eastAsia="Arial" w:hAnsi="Arial"/>
                <w:sz w:val="22"/>
                <w:szCs w:val="22"/>
                <w:color w:val="auto"/>
              </w:rPr>
              <w:t>$4,800,000</w:t>
            </w:r>
          </w:p>
        </w:tc>
        <w:tc>
          <w:tcPr>
            <w:tcW w:w="1480" w:type="dxa"/>
            <w:vAlign w:val="bottom"/>
          </w:tcPr>
          <w:p>
            <w:pPr>
              <w:spacing w:after="0"/>
              <w:rPr>
                <w:sz w:val="23"/>
                <w:szCs w:val="23"/>
                <w:color w:val="auto"/>
              </w:rPr>
            </w:pPr>
          </w:p>
        </w:tc>
      </w:tr>
      <w:tr>
        <w:trPr>
          <w:trHeight w:val="2386"/>
        </w:trPr>
        <w:tc>
          <w:tcPr>
            <w:tcW w:w="1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20"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and Jurisdiction of Incorporation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IM Brands,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Judith Ripka Fine Jewelry,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JR Licensing,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 Licensing,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 Wonder Licensing,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Xcel Design Group,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Beauty Solution,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Tribe Cosmetics,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Xcel Acquisition Co.,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XCEL-CT MFG,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 Heritage Licensing, LLC, a Delaware limited liability company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Longaberger Licensing,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S-3 (333-216009) and on Form S-8 (File Nos. 333-188985, 333-201252, and 333-214150) of Xcel Brands, Inc. of our report dated April 14, 2020 on our audits of the consolidated financial statements of Xcel Brands, Inc. and Subsidiaries as of December 31, 2019 and 2018 and for the years then ended, included in this Annual Report on Form 10-K of Xcel Brands, Inc.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ind w:left="8620"/>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320" w:hanging="311"/>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Xcel Brands, Inc. (the "registrant") for the year ended December 31, 2019.</w:t>
      </w:r>
    </w:p>
    <w:p>
      <w:pPr>
        <w:spacing w:after="0" w:line="169" w:lineRule="exact"/>
        <w:rPr>
          <w:rFonts w:ascii="Arial" w:cs="Arial" w:eastAsia="Arial" w:hAnsi="Arial"/>
          <w:sz w:val="17"/>
          <w:szCs w:val="17"/>
          <w:color w:val="auto"/>
        </w:rPr>
      </w:pPr>
    </w:p>
    <w:p>
      <w:pPr>
        <w:ind w:left="340" w:right="20" w:hanging="331"/>
        <w:spacing w:after="0" w:line="263" w:lineRule="auto"/>
        <w:tabs>
          <w:tab w:leader="none" w:pos="3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80" w:hanging="331"/>
        <w:spacing w:after="0" w:line="263" w:lineRule="auto"/>
        <w:tabs>
          <w:tab w:leader="none" w:pos="3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60" w:hanging="331"/>
        <w:spacing w:after="0" w:line="263" w:lineRule="auto"/>
        <w:tabs>
          <w:tab w:leader="none" w:pos="3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660" w:right="60" w:hanging="327"/>
        <w:spacing w:after="0" w:line="286" w:lineRule="auto"/>
        <w:tabs>
          <w:tab w:leader="none" w:pos="641"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660" w:right="200" w:hanging="327"/>
        <w:spacing w:after="0" w:line="286" w:lineRule="auto"/>
        <w:tabs>
          <w:tab w:leader="none" w:pos="651"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660" w:right="300" w:hanging="327"/>
        <w:spacing w:after="0" w:line="263" w:lineRule="auto"/>
        <w:tabs>
          <w:tab w:leader="none" w:pos="6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300" w:hanging="327"/>
        <w:spacing w:after="0" w:line="311" w:lineRule="auto"/>
        <w:tabs>
          <w:tab w:leader="none" w:pos="6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hanging="331"/>
        <w:spacing w:after="0" w:line="263" w:lineRule="auto"/>
        <w:tabs>
          <w:tab w:leader="none" w:pos="3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80" w:hanging="327"/>
        <w:spacing w:after="0" w:line="263" w:lineRule="auto"/>
        <w:tabs>
          <w:tab w:leader="none" w:pos="63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80" w:hanging="327"/>
        <w:spacing w:after="0" w:line="277" w:lineRule="auto"/>
        <w:tabs>
          <w:tab w:leader="none" w:pos="6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Chairman, President, Chief Executive Officer and Director</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ind w:left="8620"/>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158" w:lineRule="exact"/>
        <w:rPr>
          <w:sz w:val="20"/>
          <w:szCs w:val="20"/>
          <w:color w:val="auto"/>
        </w:rPr>
      </w:pPr>
    </w:p>
    <w:p>
      <w:pPr>
        <w:ind w:left="320" w:hanging="311"/>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Xcel Brands, Inc. (the "registrant") for the year ended December 31, 2019.</w:t>
      </w:r>
    </w:p>
    <w:p>
      <w:pPr>
        <w:spacing w:after="0" w:line="169" w:lineRule="exact"/>
        <w:rPr>
          <w:rFonts w:ascii="Arial" w:cs="Arial" w:eastAsia="Arial" w:hAnsi="Arial"/>
          <w:sz w:val="17"/>
          <w:szCs w:val="17"/>
          <w:color w:val="auto"/>
        </w:rPr>
      </w:pPr>
    </w:p>
    <w:p>
      <w:pPr>
        <w:ind w:left="340" w:right="20" w:hanging="331"/>
        <w:spacing w:after="0" w:line="263" w:lineRule="auto"/>
        <w:tabs>
          <w:tab w:leader="none" w:pos="3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80" w:hanging="331"/>
        <w:spacing w:after="0" w:line="263" w:lineRule="auto"/>
        <w:tabs>
          <w:tab w:leader="none" w:pos="3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60" w:hanging="331"/>
        <w:spacing w:after="0" w:line="263"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660" w:right="60" w:hanging="327"/>
        <w:spacing w:after="0" w:line="286" w:lineRule="auto"/>
        <w:tabs>
          <w:tab w:leader="none" w:pos="641"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660" w:right="200" w:hanging="327"/>
        <w:spacing w:after="0" w:line="286" w:lineRule="auto"/>
        <w:tabs>
          <w:tab w:leader="none" w:pos="651"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660" w:right="300" w:hanging="327"/>
        <w:spacing w:after="0" w:line="263" w:lineRule="auto"/>
        <w:tabs>
          <w:tab w:leader="none" w:pos="641"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300" w:hanging="327"/>
        <w:spacing w:after="0" w:line="311" w:lineRule="auto"/>
        <w:tabs>
          <w:tab w:leader="none" w:pos="651"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hanging="331"/>
        <w:spacing w:after="0" w:line="263" w:lineRule="auto"/>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80" w:hanging="327"/>
        <w:spacing w:after="0" w:line="263" w:lineRule="auto"/>
        <w:tabs>
          <w:tab w:leader="none" w:pos="631"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80" w:hanging="327"/>
        <w:spacing w:after="0" w:line="277" w:lineRule="auto"/>
        <w:tabs>
          <w:tab w:leader="none" w:pos="641"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Chairman, Chief Financial Officer (Principal Financial and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2019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Chairman, President, Chief Executive Officer 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Director (Principal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2019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Chief Financial Officer (Principal Financial and Accounting</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
      <w:numFmt w:val="bullet"/>
      <w:start w:val="1"/>
    </w:lvl>
  </w:abstractNum>
  <w:abstractNum w:abstractNumId="1">
    <w:nsid w:val="77465F01"/>
    <w:multiLevelType w:val="hybridMultilevel"/>
    <w:lvl w:ilvl="0">
      <w:lvlJc w:val="left"/>
      <w:lvlText w:val=" "/>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lowerRoman"/>
      <w:start w:val="2"/>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Roman"/>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Roman"/>
      <w:start w:val="1"/>
    </w:lvl>
  </w:abstractNum>
  <w:abstractNum w:abstractNumId="21">
    <w:nsid w:val="6DE91B18"/>
    <w:multiLevelType w:val="hybridMultilevel"/>
    <w:lvl w:ilvl="0">
      <w:lvlJc w:val="left"/>
      <w:lvlText w:val="(%1)"/>
      <w:numFmt w:val="lowerRoman"/>
      <w:start w:val="2"/>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1"/>
    </w:lvl>
  </w:abstractNum>
  <w:abstractNum w:abstractNumId="29">
    <w:nsid w:val="1BA026FA"/>
    <w:multiLevelType w:val="hybridMultilevel"/>
    <w:lvl w:ilvl="0">
      <w:lvlJc w:val="left"/>
      <w:lvlText w:val="(%1)"/>
      <w:numFmt w:val="decimal"/>
      <w:start w:val="2"/>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Roman"/>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lowerRoman"/>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lowerRoman"/>
      <w:start w:val="2"/>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7"/>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3"/>
    </w:lvl>
  </w:abstractNum>
  <w:abstractNum w:abstractNumId="49">
    <w:nsid w:val="10233C99"/>
    <w:multiLevelType w:val="hybridMultilevel"/>
    <w:lvl w:ilvl="0">
      <w:lvlJc w:val="left"/>
      <w:lvlText w:val="(%1)"/>
      <w:numFmt w:val="lowerLetter"/>
      <w:start w:val="1"/>
    </w:lvl>
    <w:lvl w:ilvl="1">
      <w:lvlJc w:val="left"/>
      <w:lvlText w:val="(%2)"/>
      <w:numFmt w:val="lowerLetter"/>
      <w:start w:val="9"/>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2"/>
    </w:lvl>
  </w:abstractNum>
  <w:abstractNum w:abstractNumId="52">
    <w:nsid w:val="7E0C57B1"/>
    <w:multiLevelType w:val="hybridMultilevel"/>
    <w:lvl w:ilvl="0">
      <w:lvlJc w:val="left"/>
      <w:lvlText w:val="(%1)"/>
      <w:numFmt w:val="lowerLetter"/>
      <w:start w:val="2"/>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1)"/>
      <w:numFmt w:val="lowerLetter"/>
      <w:start w:val="4"/>
    </w:lvl>
  </w:abstractNum>
  <w:abstractNum w:abstractNumId="55">
    <w:nsid w:val="310C50B3"/>
    <w:multiLevelType w:val="hybridMultilevel"/>
    <w:lvl w:ilvl="0">
      <w:lvlJc w:val="left"/>
      <w:lvlText w:val="%1"/>
      <w:numFmt w:val="upperLetter"/>
      <w:start w:val="68"/>
    </w:lvl>
  </w:abstractNum>
  <w:abstractNum w:abstractNumId="56">
    <w:nsid w:val="5FF87E05"/>
    <w:multiLevelType w:val="hybridMultilevel"/>
    <w:lvl w:ilvl="0">
      <w:lvlJc w:val="left"/>
      <w:lvlText w:val="(%1)"/>
      <w:numFmt w:val="lowerLetter"/>
      <w:start w:val="5"/>
    </w:lvl>
  </w:abstractNum>
  <w:abstractNum w:abstractNumId="57">
    <w:nsid w:val="2F305DEF"/>
    <w:multiLevelType w:val="hybridMultilevel"/>
    <w:lvl w:ilvl="0">
      <w:lvlJc w:val="left"/>
      <w:lvlText w:val="(%1)"/>
      <w:numFmt w:val="lowerLetter"/>
      <w:start w:val="6"/>
    </w:lvl>
  </w:abstractNum>
  <w:abstractNum w:abstractNumId="58">
    <w:nsid w:val="25A70BF7"/>
    <w:multiLevelType w:val="hybridMultilevel"/>
    <w:lvl w:ilvl="0">
      <w:lvlJc w:val="left"/>
      <w:lvlText w:val="%1"/>
      <w:numFmt w:val="decimal"/>
      <w:start w:val="1"/>
    </w:lvl>
    <w:lvl w:ilvl="1">
      <w:lvlJc w:val="left"/>
      <w:lvlText w:val="(%2)"/>
      <w:numFmt w:val="lowerLetter"/>
      <w:start w:val="7"/>
    </w:lvl>
  </w:abstractNum>
  <w:abstractNum w:abstractNumId="59">
    <w:nsid w:val="1DBABF00"/>
    <w:multiLevelType w:val="hybridMultilevel"/>
    <w:lvl w:ilvl="0">
      <w:lvlJc w:val="left"/>
      <w:lvlText w:val="%1."/>
      <w:numFmt w:val="decimal"/>
      <w:start w:val="4"/>
    </w:lvl>
    <w:lvl w:ilvl="1">
      <w:lvlJc w:val="left"/>
      <w:lvlText w:val="%2"/>
      <w:numFmt w:val="lowerLetter"/>
      <w:start w:val="1"/>
    </w:lvl>
  </w:abstractNum>
  <w:abstractNum w:abstractNumId="60">
    <w:nsid w:val="4AD084E9"/>
    <w:multiLevelType w:val="hybridMultilevel"/>
    <w:lvl w:ilvl="0">
      <w:lvlJc w:val="left"/>
      <w:lvlText w:val="%1."/>
      <w:numFmt w:val="decimal"/>
      <w:start w:val="5"/>
    </w:lvl>
    <w:lvl w:ilvl="1">
      <w:lvlJc w:val="left"/>
      <w:lvlText w:val="(%2)"/>
      <w:numFmt w:val="lowerLetter"/>
      <w:start w:val="1"/>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1)"/>
      <w:numFmt w:val="lowerRoman"/>
      <w:start w:val="1"/>
    </w:lvl>
  </w:abstractNum>
  <w:abstractNum w:abstractNumId="64">
    <w:nsid w:val="100F8FCA"/>
    <w:multiLevelType w:val="hybridMultilevel"/>
    <w:lvl w:ilvl="0">
      <w:lvlJc w:val="left"/>
      <w:lvlText w:val="(%1)"/>
      <w:numFmt w:val="lowerRoman"/>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3"/>
    </w:lvl>
  </w:abstractNum>
  <w:abstractNum w:abstractNumId="67">
    <w:nsid w:val="5F5E7FD0"/>
    <w:multiLevelType w:val="hybridMultilevel"/>
    <w:lvl w:ilvl="0">
      <w:lvlJc w:val="left"/>
      <w:lvlText w:val="%1."/>
      <w:numFmt w:val="decimal"/>
      <w:start w:val="4"/>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decimal"/>
      <w:start w:val="6"/>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12" Type="http://schemas.openxmlformats.org/officeDocument/2006/relationships/hyperlink" Target="http://www.sec.gov/Archives/edgar/data/1083220/000114420417053726/tv477575_ex3-1.htm" TargetMode="External"/><Relationship Id="rId113" Type="http://schemas.openxmlformats.org/officeDocument/2006/relationships/hyperlink" Target="http://www.sec.gov/Archives/edgar/data/1083220/000114420417063004/tv481032_ex3-2.htm" TargetMode="External"/><Relationship Id="rId114" Type="http://schemas.openxmlformats.org/officeDocument/2006/relationships/hyperlink" Target="http://www.sec.gov/Archives/edgar/data/1083220/000114420416119169/v446751_def14a.htm" TargetMode="External"/><Relationship Id="rId115" Type="http://schemas.openxmlformats.org/officeDocument/2006/relationships/hyperlink" Target="http://www.sec.gov/Archives/edgar/data/1083220/000114420411056582/v236485_ex4-4.htm" TargetMode="External"/><Relationship Id="rId116" Type="http://schemas.openxmlformats.org/officeDocument/2006/relationships/hyperlink" Target="http://www.sec.gov/Archives/edgar/data/1083220/000114420411056582/v236485_ex4-6.htm" TargetMode="External"/><Relationship Id="rId117" Type="http://schemas.openxmlformats.org/officeDocument/2006/relationships/hyperlink" Target="http://www.sec.gov/Archives/edgar/data/1083220/000114420413068859/v363835_ex9-1.htm" TargetMode="External"/><Relationship Id="rId118" Type="http://schemas.openxmlformats.org/officeDocument/2006/relationships/hyperlink" Target="http://www.sec.gov/Archives/edgar/data/1083220/000114420414021516/v374277_ex10-8.htm" TargetMode="External"/><Relationship Id="rId119" Type="http://schemas.openxmlformats.org/officeDocument/2006/relationships/hyperlink" Target="http://www.sec.gov/Archives/edgar/data/1083220/000114420414075828/v397490_ex10-9.htm" TargetMode="External"/><Relationship Id="rId120" Type="http://schemas.openxmlformats.org/officeDocument/2006/relationships/hyperlink" Target="http://www.sec.gov/Archives/edgar/data/1083220/000114420419008652/tv513776_ex10-1.htm" TargetMode="External"/><Relationship Id="rId121" Type="http://schemas.openxmlformats.org/officeDocument/2006/relationships/hyperlink" Target="http://www.sec.gov/Archives/edgar/data/1083220/000114420411056582/v236485_ex10-1.htm" TargetMode="External"/><Relationship Id="rId122" Type="http://schemas.openxmlformats.org/officeDocument/2006/relationships/hyperlink" Target="http://www.sec.gov/Archives/edgar/data/1083220/000114420412006443/v301552_ex10-5.htm" TargetMode="External"/><Relationship Id="rId123" Type="http://schemas.openxmlformats.org/officeDocument/2006/relationships/hyperlink" Target="http://www.sec.gov/Archives/edgar/data/1083220/000114420411056582/v236485_ex10-9.htm" TargetMode="External"/><Relationship Id="rId124" Type="http://schemas.openxmlformats.org/officeDocument/2006/relationships/hyperlink" Target="http://www.sec.gov/Archives/edgar/data/1083220/000155837020001740/ex-99d1.htm" TargetMode="External"/><Relationship Id="rId125" Type="http://schemas.openxmlformats.org/officeDocument/2006/relationships/hyperlink" Target="http://www.sec.gov/Archives/edgar/data/1083220/000114420413045110/v351481_ex10-1.htm" TargetMode="External"/><Relationship Id="rId126" Type="http://schemas.openxmlformats.org/officeDocument/2006/relationships/hyperlink" Target="http://www.sec.gov/Archives/edgar/data/1083220/000114420419011627/tv515202_ex10-1.htm" TargetMode="External"/><Relationship Id="rId127" Type="http://schemas.openxmlformats.org/officeDocument/2006/relationships/hyperlink" Target="http://www.sec.gov/Archives/edgar/data/1083220/000114420419011627/tv515202_ex10-2.htm" TargetMode="External"/><Relationship Id="rId128" Type="http://schemas.openxmlformats.org/officeDocument/2006/relationships/hyperlink" Target="http://www.sec.gov/Archives/edgar/data/1083220/000114420419011627/tv515202_ex10-3.htm" TargetMode="External"/><Relationship Id="rId129" Type="http://schemas.openxmlformats.org/officeDocument/2006/relationships/hyperlink" Target="http://www.sec.gov/Archives/edgar/data/1083220/000114420414016918/v372291_ex10-1.htm" TargetMode="External"/><Relationship Id="rId130" Type="http://schemas.openxmlformats.org/officeDocument/2006/relationships/hyperlink" Target="http://www.sec.gov/Archives/edgar/data/1083220/000114420415042399/v415471_ex10-1.htm" TargetMode="External"/><Relationship Id="rId131" Type="http://schemas.openxmlformats.org/officeDocument/2006/relationships/hyperlink" Target="http://www.sec.gov/Archives/edgar/data/1083220/000114420419008652/tv513776_ex10-2.htm" TargetMode="External"/><Relationship Id="rId132" Type="http://schemas.openxmlformats.org/officeDocument/2006/relationships/hyperlink" Target="http://www.sec.gov/Archives/edgar/data/1083220/000114420419008652/tv51377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2020-04-14T16:05:31Z</dcterms:created>
  <dcterms:modified xsi:type="dcterms:W3CDTF">2020-04-14T16:05:31Z</dcterms:modified>
</cp:coreProperties>
</file>