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368935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257810</wp:posOffset>
            </wp:positionV>
            <wp:extent cx="721233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06" w:lineRule="exact"/>
        <w:rPr>
          <w:sz w:val="24"/>
          <w:szCs w:val="24"/>
          <w:color w:val="auto"/>
        </w:rPr>
      </w:pPr>
    </w:p>
    <w:p>
      <w:pPr>
        <w:ind w:left="3880" w:right="1420" w:hanging="3615"/>
        <w:spacing w:after="0" w:line="425" w:lineRule="auto"/>
        <w:tabs>
          <w:tab w:leader="none" w:pos="8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September 30, 2019</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302" w:lineRule="exact"/>
        <w:rPr>
          <w:sz w:val="24"/>
          <w:szCs w:val="24"/>
          <w:color w:val="auto"/>
        </w:rPr>
      </w:pPr>
    </w:p>
    <w:p>
      <w:pPr>
        <w:ind w:left="4240" w:right="1420" w:hanging="3975"/>
        <w:spacing w:after="0" w:line="423" w:lineRule="auto"/>
        <w:tabs>
          <w:tab w:leader="none" w:pos="84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 to ___</w:t>
      </w:r>
    </w:p>
    <w:p>
      <w:pPr>
        <w:spacing w:after="0" w:line="1"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Commission File Number: 001-37527</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308"/>
        </w:trPr>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80" w:type="dxa"/>
            <w:vAlign w:val="bottom"/>
            <w:gridSpan w:val="4"/>
          </w:tcPr>
          <w:p>
            <w:pPr>
              <w:jc w:val="center"/>
              <w:ind w:right="3740"/>
              <w:spacing w:after="0"/>
              <w:rPr>
                <w:sz w:val="20"/>
                <w:szCs w:val="20"/>
                <w:color w:val="auto"/>
              </w:rPr>
            </w:pPr>
            <w:r>
              <w:rPr>
                <w:rFonts w:ascii="Times New Roman" w:cs="Times New Roman" w:eastAsia="Times New Roman" w:hAnsi="Times New Roman"/>
                <w:sz w:val="25"/>
                <w:szCs w:val="25"/>
                <w:b w:val="1"/>
                <w:bCs w:val="1"/>
                <w:color w:val="auto"/>
              </w:rPr>
              <w:t>XCEL BRANDS, INC.</w:t>
            </w:r>
          </w:p>
        </w:tc>
      </w:tr>
      <w:tr>
        <w:trPr>
          <w:trHeight w:val="234"/>
        </w:trPr>
        <w:tc>
          <w:tcPr>
            <w:tcW w:w="2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80" w:type="dxa"/>
            <w:vAlign w:val="bottom"/>
            <w:gridSpan w:val="4"/>
          </w:tcPr>
          <w:p>
            <w:pPr>
              <w:jc w:val="center"/>
              <w:ind w:right="37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513"/>
        </w:trPr>
        <w:tc>
          <w:tcPr>
            <w:tcW w:w="374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8"/>
              </w:rPr>
              <w:t>Delaware</w:t>
            </w:r>
          </w:p>
        </w:tc>
        <w:tc>
          <w:tcPr>
            <w:tcW w:w="7680" w:type="dxa"/>
            <w:vAlign w:val="bottom"/>
            <w:gridSpan w:val="4"/>
          </w:tcPr>
          <w:p>
            <w:pPr>
              <w:jc w:val="center"/>
              <w:ind w:left="2445"/>
              <w:spacing w:after="0"/>
              <w:rPr>
                <w:sz w:val="20"/>
                <w:szCs w:val="20"/>
                <w:color w:val="auto"/>
              </w:rPr>
            </w:pPr>
            <w:r>
              <w:rPr>
                <w:rFonts w:ascii="Times New Roman" w:cs="Times New Roman" w:eastAsia="Times New Roman" w:hAnsi="Times New Roman"/>
                <w:sz w:val="18"/>
                <w:szCs w:val="18"/>
                <w:color w:val="auto"/>
                <w:w w:val="98"/>
              </w:rPr>
              <w:t>76-0307819</w:t>
            </w:r>
          </w:p>
        </w:tc>
      </w:tr>
      <w:tr>
        <w:trPr>
          <w:trHeight w:val="27"/>
        </w:trPr>
        <w:tc>
          <w:tcPr>
            <w:tcW w:w="2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374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70"/>
        </w:trPr>
        <w:tc>
          <w:tcPr>
            <w:tcW w:w="3740" w:type="dxa"/>
            <w:vAlign w:val="bottom"/>
            <w:gridSpan w:val="2"/>
          </w:tcPr>
          <w:p>
            <w:pPr>
              <w:jc w:val="center"/>
              <w:ind w:left="12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5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0"/>
        </w:trPr>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80" w:type="dxa"/>
            <w:vAlign w:val="bottom"/>
            <w:gridSpan w:val="4"/>
          </w:tcPr>
          <w:p>
            <w:pPr>
              <w:jc w:val="center"/>
              <w:ind w:right="3720"/>
              <w:spacing w:after="0"/>
              <w:rPr>
                <w:sz w:val="20"/>
                <w:szCs w:val="20"/>
                <w:color w:val="auto"/>
              </w:rPr>
            </w:pPr>
            <w:r>
              <w:rPr>
                <w:rFonts w:ascii="Times New Roman" w:cs="Times New Roman" w:eastAsia="Times New Roman" w:hAnsi="Times New Roman"/>
                <w:sz w:val="18"/>
                <w:szCs w:val="18"/>
                <w:color w:val="auto"/>
                <w:w w:val="98"/>
              </w:rPr>
              <w:t>1333 Broadway, 10th Floor, New York, NY 10018</w:t>
            </w:r>
          </w:p>
        </w:tc>
      </w:tr>
      <w:tr>
        <w:trPr>
          <w:trHeight w:val="27"/>
        </w:trPr>
        <w:tc>
          <w:tcPr>
            <w:tcW w:w="24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80" w:type="dxa"/>
            <w:vAlign w:val="bottom"/>
            <w:gridSpan w:val="4"/>
          </w:tcPr>
          <w:p>
            <w:pPr>
              <w:jc w:val="center"/>
              <w:ind w:right="372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r>
      <w:tr>
        <w:trPr>
          <w:trHeight w:val="360"/>
        </w:trPr>
        <w:tc>
          <w:tcPr>
            <w:tcW w:w="2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gridSpan w:val="2"/>
          </w:tcPr>
          <w:p>
            <w:pPr>
              <w:jc w:val="center"/>
              <w:ind w:left="1325"/>
              <w:spacing w:after="0"/>
              <w:rPr>
                <w:sz w:val="20"/>
                <w:szCs w:val="20"/>
                <w:color w:val="auto"/>
              </w:rPr>
            </w:pPr>
            <w:r>
              <w:rPr>
                <w:rFonts w:ascii="Times New Roman" w:cs="Times New Roman" w:eastAsia="Times New Roman" w:hAnsi="Times New Roman"/>
                <w:sz w:val="18"/>
                <w:szCs w:val="18"/>
                <w:color w:val="auto"/>
                <w:w w:val="99"/>
              </w:rPr>
              <w:t>(347) 727-2474</w:t>
            </w:r>
          </w:p>
        </w:tc>
        <w:tc>
          <w:tcPr>
            <w:tcW w:w="27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34"/>
        </w:trPr>
        <w:tc>
          <w:tcPr>
            <w:tcW w:w="2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80" w:type="dxa"/>
            <w:vAlign w:val="bottom"/>
            <w:gridSpan w:val="4"/>
          </w:tcPr>
          <w:p>
            <w:pPr>
              <w:jc w:val="center"/>
              <w:ind w:right="3740"/>
              <w:spacing w:after="0"/>
              <w:rPr>
                <w:sz w:val="20"/>
                <w:szCs w:val="20"/>
                <w:color w:val="auto"/>
              </w:rPr>
            </w:pPr>
            <w:r>
              <w:rPr>
                <w:rFonts w:ascii="Times New Roman" w:cs="Times New Roman" w:eastAsia="Times New Roman" w:hAnsi="Times New Roman"/>
                <w:sz w:val="18"/>
                <w:szCs w:val="18"/>
                <w:color w:val="auto"/>
                <w:w w:val="99"/>
              </w:rPr>
              <w:t>(Issuer's Telephone Number, Including Area Code)</w:t>
            </w:r>
          </w:p>
        </w:tc>
      </w:tr>
    </w:tbl>
    <w:p>
      <w:pPr>
        <w:spacing w:after="0" w:line="11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228" w:lineRule="exact"/>
        <w:rPr>
          <w:sz w:val="24"/>
          <w:szCs w:val="24"/>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426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3" w:lineRule="exact"/>
        <w:rPr>
          <w:sz w:val="24"/>
          <w:szCs w:val="24"/>
          <w:color w:val="auto"/>
        </w:rPr>
      </w:pPr>
    </w:p>
    <w:p>
      <w:pPr>
        <w:sectPr>
          <w:pgSz w:w="11900" w:h="16838" w:orient="portrait"/>
          <w:cols w:equalWidth="0" w:num="2">
            <w:col w:w="5020" w:space="720"/>
            <w:col w:w="5680"/>
          </w:cols>
          <w:pgMar w:left="240" w:top="229"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Non-accelerated filer 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x</w:t>
      </w:r>
    </w:p>
    <w:p>
      <w:pPr>
        <w:spacing w:after="0" w:line="56" w:lineRule="exact"/>
        <w:rPr>
          <w:sz w:val="24"/>
          <w:szCs w:val="24"/>
          <w:color w:val="auto"/>
        </w:rPr>
      </w:pPr>
    </w:p>
    <w:p>
      <w:pPr>
        <w:sectPr>
          <w:pgSz w:w="11900" w:h="16838" w:orient="portrait"/>
          <w:cols w:equalWidth="0" w:num="3">
            <w:col w:w="5020" w:space="720"/>
            <w:col w:w="1980" w:space="140"/>
            <w:col w:w="3560"/>
          </w:cols>
          <w:pgMar w:left="240" w:top="229" w:right="239" w:bottom="1440" w:gutter="0" w:footer="0" w:header="0"/>
          <w:type w:val="continuous"/>
        </w:sectPr>
      </w:pPr>
    </w:p>
    <w:p>
      <w:pPr>
        <w:spacing w:after="0" w:line="29"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6" w:lineRule="exact"/>
        <w:rPr>
          <w:sz w:val="24"/>
          <w:szCs w:val="24"/>
          <w:color w:val="auto"/>
        </w:rPr>
      </w:pPr>
    </w:p>
    <w:p>
      <w:pPr>
        <w:sectPr>
          <w:pgSz w:w="11900" w:h="16838" w:orient="portrait"/>
          <w:cols w:equalWidth="0" w:num="2">
            <w:col w:w="7720" w:space="120"/>
            <w:col w:w="3580"/>
          </w:cols>
          <w:pgMar w:left="240" w:top="229" w:right="239" w:bottom="1440" w:gutter="0" w:footer="0" w:header="0"/>
          <w:type w:val="continuous"/>
        </w:sect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720"/>
        <w:spacing w:after="0" w:line="308" w:lineRule="exact"/>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8, 2019, there were 18,958,247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171450</wp:posOffset>
            </wp:positionV>
            <wp:extent cx="721233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85725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50"/>
        </w:trPr>
        <w:tc>
          <w:tcPr>
            <w:tcW w:w="10180" w:type="dxa"/>
            <w:vAlign w:val="bottom"/>
            <w:gridSpan w:val="22"/>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 FINANCIAL INFORMATION</w:t>
              </w:r>
            </w:hyperlink>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Balance Sheets</w:t>
              </w:r>
            </w:hyperlink>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Operations</w:t>
              </w:r>
            </w:hyperlink>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Unaudited Condensed Consolidated Statements of Stockholders' Equity</w:t>
              </w:r>
            </w:hyperlink>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c>
          <w:tcPr>
            <w:tcW w:w="540" w:type="dxa"/>
            <w:vAlign w:val="bottom"/>
            <w:shd w:val="clear" w:color="auto" w:fill="CCEEFF"/>
          </w:tcPr>
          <w:p>
            <w:pPr>
              <w:spacing w:after="0"/>
              <w:rPr>
                <w:sz w:val="21"/>
                <w:szCs w:val="21"/>
                <w:color w:val="auto"/>
              </w:rPr>
            </w:pPr>
          </w:p>
        </w:tc>
      </w:tr>
      <w:tr>
        <w:trPr>
          <w:trHeight w:val="284"/>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Unaudited Condensed Consolidated Statements of Cash Flows</w:t>
              </w:r>
            </w:hyperlink>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Notes to Unaudited Condensed Consolidated Financial Statements</w:t>
              </w:r>
            </w:hyperlink>
          </w:p>
        </w:tc>
        <w:tc>
          <w:tcPr>
            <w:tcW w:w="700" w:type="dxa"/>
            <w:vAlign w:val="bottom"/>
            <w:gridSpan w:val="4"/>
            <w:shd w:val="clear" w:color="auto" w:fill="CCEEFF"/>
          </w:tcPr>
          <w:p>
            <w:pPr>
              <w:jc w:val="center"/>
              <w:ind w:left="450"/>
              <w:spacing w:after="0" w:line="202" w:lineRule="exact"/>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9</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2.</w:t>
              </w:r>
            </w:hyperlink>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25</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280" w:type="dxa"/>
            <w:vAlign w:val="bottom"/>
            <w:tcBorders>
              <w:top w:val="single" w:sz="8" w:color="0000EE"/>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3.</w:t>
              </w:r>
            </w:hyperlink>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Quantitative and Qualitative Disclosures About Market Risk</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4.</w:t>
              </w:r>
            </w:hyperlink>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Controls and Procedures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33</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0180" w:type="dxa"/>
            <w:vAlign w:val="bottom"/>
            <w:gridSpan w:val="22"/>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PART II - OTHER INFORMATION</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1.</w:t>
              </w:r>
            </w:hyperlink>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Legal Proceedings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1A.</w:t>
              </w:r>
            </w:hyperlink>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Risk Factors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2.</w:t>
              </w:r>
            </w:hyperlink>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Unregistered Sales of Equity Securities and Use of Proceeds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3.</w:t>
              </w:r>
            </w:hyperlink>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Defaults Upon Senior Securities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4.</w:t>
              </w:r>
            </w:hyperlink>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Mine Safety Disclosures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5.</w:t>
              </w:r>
            </w:hyperlink>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Other Information</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34</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1180" w:type="dxa"/>
            <w:vAlign w:val="bottom"/>
            <w:gridSpan w:val="4"/>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Item 6.</w:t>
              </w:r>
            </w:hyperlink>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Exhibits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35</w:t>
              </w:r>
            </w:hyperlink>
          </w:p>
        </w:tc>
        <w:tc>
          <w:tcPr>
            <w:tcW w:w="54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4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80" w:type="dxa"/>
            <w:vAlign w:val="bottom"/>
            <w:tcBorders>
              <w:top w:val="single" w:sz="8" w:color="CCEEFF"/>
            </w:tcBorders>
          </w:tcPr>
          <w:p>
            <w:pPr>
              <w:spacing w:after="0"/>
              <w:rPr>
                <w:sz w:val="23"/>
                <w:szCs w:val="23"/>
                <w:color w:val="auto"/>
              </w:rPr>
            </w:pPr>
          </w:p>
        </w:tc>
        <w:tc>
          <w:tcPr>
            <w:tcW w:w="25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Signatures</w:t>
              </w:r>
            </w:hyperlink>
          </w:p>
        </w:tc>
        <w:tc>
          <w:tcPr>
            <w:tcW w:w="700" w:type="dxa"/>
            <w:vAlign w:val="bottom"/>
            <w:gridSpan w:val="4"/>
            <w:shd w:val="clear" w:color="auto" w:fill="CCEEFF"/>
          </w:tcPr>
          <w:p>
            <w:pPr>
              <w:jc w:val="center"/>
              <w:ind w:left="430"/>
              <w:spacing w:after="0" w:line="202"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36</w:t>
              </w:r>
            </w:hyperlink>
          </w:p>
        </w:tc>
        <w:tc>
          <w:tcPr>
            <w:tcW w:w="540" w:type="dxa"/>
            <w:vAlign w:val="bottom"/>
            <w:shd w:val="clear" w:color="auto" w:fill="CCEEFF"/>
          </w:tcPr>
          <w:p>
            <w:pPr>
              <w:spacing w:after="0"/>
              <w:rPr>
                <w:sz w:val="21"/>
                <w:szCs w:val="21"/>
                <w:color w:val="auto"/>
              </w:rPr>
            </w:pPr>
          </w:p>
        </w:tc>
      </w:tr>
      <w:tr>
        <w:trPr>
          <w:trHeight w:val="459"/>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040" w:type="dxa"/>
            <w:vAlign w:val="bottom"/>
            <w:tcBorders>
              <w:top w:val="single" w:sz="8" w:color="CCEEFF"/>
            </w:tcBorders>
            <w:gridSpan w:val="13"/>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25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3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19"/>
          </w:cols>
          <w:pgMar w:left="240" w:top="12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(Note 1)</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3"/>
        </w:trPr>
        <w:tc>
          <w:tcPr>
            <w:tcW w:w="824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77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r>
      <w:tr>
        <w:trPr>
          <w:trHeight w:val="243"/>
        </w:trPr>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8,837</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1,988</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2,040</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23,875</w:t>
            </w:r>
          </w:p>
        </w:tc>
      </w:tr>
      <w:tr>
        <w:trPr>
          <w:trHeight w:val="237"/>
        </w:trPr>
        <w:tc>
          <w:tcPr>
            <w:tcW w:w="40" w:type="dxa"/>
            <w:vAlign w:val="bottom"/>
          </w:tcPr>
          <w:p>
            <w:pPr>
              <w:spacing w:after="0"/>
              <w:rPr>
                <w:sz w:val="20"/>
                <w:szCs w:val="20"/>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3,202</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Trademarks and other intangibles, net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108,989</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1,482</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132,223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114,184</w:t>
            </w:r>
          </w:p>
        </w:tc>
      </w:tr>
      <w:tr>
        <w:trPr>
          <w:trHeight w:val="297"/>
        </w:trPr>
        <w:tc>
          <w:tcPr>
            <w:tcW w:w="824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151,453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138,059</w:t>
            </w:r>
          </w:p>
        </w:tc>
      </w:tr>
      <w:tr>
        <w:trPr>
          <w:trHeight w:val="271"/>
        </w:trPr>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5,140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payroll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2,011</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portion of accrued rent liability</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5,325</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contingent obligations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2,950</w:t>
            </w:r>
          </w:p>
        </w:tc>
      </w:tr>
      <w:tr>
        <w:trPr>
          <w:trHeight w:val="237"/>
        </w:trPr>
        <w:tc>
          <w:tcPr>
            <w:tcW w:w="40" w:type="dxa"/>
            <w:vAlign w:val="bottom"/>
          </w:tcPr>
          <w:p>
            <w:pPr>
              <w:spacing w:after="0"/>
              <w:rPr>
                <w:sz w:val="20"/>
                <w:szCs w:val="20"/>
                <w:color w:val="auto"/>
              </w:rPr>
            </w:pPr>
          </w:p>
        </w:tc>
        <w:tc>
          <w:tcPr>
            <w:tcW w:w="8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16,116</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portion of accrued rent liability</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2,202</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portion of operating lease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8,139</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22,061</w:t>
            </w:r>
          </w:p>
        </w:tc>
      </w:tr>
      <w:tr>
        <w:trPr>
          <w:trHeight w:val="237"/>
        </w:trPr>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48,044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38,177</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7"/>
        </w:trPr>
        <w:tc>
          <w:tcPr>
            <w:tcW w:w="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 and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0" w:type="dxa"/>
            <w:vAlign w:val="bottom"/>
          </w:tcPr>
          <w:p>
            <w:pPr>
              <w:spacing w:after="0"/>
              <w:rPr>
                <w:sz w:val="19"/>
                <w:szCs w:val="19"/>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 $.001 par value, 50,000,000 shares authorized at September 30, 2019 and December 31, 2018,</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respectively, and 18,958,247 and 18,138,616 shares issued and outstanding at September 30, 2019 and</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2018, respectively</w:t>
            </w:r>
          </w:p>
        </w:tc>
        <w:tc>
          <w:tcPr>
            <w:tcW w:w="2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100,097</w:t>
            </w:r>
          </w:p>
        </w:tc>
      </w:tr>
      <w:tr>
        <w:trPr>
          <w:trHeight w:val="243"/>
        </w:trPr>
        <w:tc>
          <w:tcPr>
            <w:tcW w:w="40" w:type="dxa"/>
            <w:vAlign w:val="bottom"/>
          </w:tcPr>
          <w:p>
            <w:pPr>
              <w:spacing w:after="0"/>
              <w:rPr>
                <w:sz w:val="21"/>
                <w:szCs w:val="21"/>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99,882</w:t>
            </w:r>
          </w:p>
        </w:tc>
      </w:tr>
      <w:tr>
        <w:trPr>
          <w:trHeight w:val="257"/>
        </w:trPr>
        <w:tc>
          <w:tcPr>
            <w:tcW w:w="8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151,453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138,059</w:t>
            </w: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420"/>
          </w:cols>
          <w:pgMar w:left="240" w:top="117"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type w:val="continuous"/>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24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38"/>
        </w:trPr>
        <w:tc>
          <w:tcPr>
            <w:tcW w:w="6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24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0"/>
        </w:trPr>
        <w:tc>
          <w:tcPr>
            <w:tcW w:w="6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licensing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21,094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24,445</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r>
      <w:tr>
        <w:trPr>
          <w:trHeight w:val="237"/>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30,371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25,520</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goods sold (sales)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w:t>
            </w:r>
          </w:p>
        </w:tc>
      </w:tr>
      <w:tr>
        <w:trPr>
          <w:trHeight w:val="237"/>
        </w:trPr>
        <w:tc>
          <w:tcPr>
            <w:tcW w:w="6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24,880</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1"/>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Salaries, benefits and employment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12,361</w:t>
            </w:r>
          </w:p>
        </w:tc>
      </w:tr>
      <w:tr>
        <w:trPr>
          <w:trHeight w:val="243"/>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design and marketing costs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2,194</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3,691</w:t>
            </w:r>
          </w:p>
        </w:tc>
      </w:tr>
      <w:tr>
        <w:trPr>
          <w:trHeight w:val="243"/>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in connection with potential acquisition</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1,415</w:t>
            </w:r>
          </w:p>
        </w:tc>
      </w:tr>
      <w:tr>
        <w:trPr>
          <w:trHeight w:val="243"/>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1,323</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20,984</w:t>
            </w:r>
          </w:p>
        </w:tc>
      </w:tr>
      <w:tr>
        <w:trPr>
          <w:trHeight w:val="291"/>
        </w:trPr>
        <w:tc>
          <w:tcPr>
            <w:tcW w:w="60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91"/>
        </w:trPr>
        <w:tc>
          <w:tcPr>
            <w:tcW w:w="60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70"/>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3,896</w:t>
            </w:r>
          </w:p>
        </w:tc>
      </w:tr>
      <w:tr>
        <w:trPr>
          <w:trHeight w:val="291"/>
        </w:trPr>
        <w:tc>
          <w:tcPr>
            <w:tcW w:w="60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 term debt</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interest and finance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6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and finance expense</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r>
      <w:tr>
        <w:trPr>
          <w:trHeight w:val="291"/>
        </w:trPr>
        <w:tc>
          <w:tcPr>
            <w:tcW w:w="60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3,086</w:t>
            </w:r>
          </w:p>
        </w:tc>
      </w:tr>
      <w:tr>
        <w:trPr>
          <w:trHeight w:val="297"/>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1,717</w:t>
            </w:r>
          </w:p>
        </w:tc>
      </w:tr>
      <w:tr>
        <w:trPr>
          <w:trHeight w:val="291"/>
        </w:trPr>
        <w:tc>
          <w:tcPr>
            <w:tcW w:w="60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6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1,369</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6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18,975,265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18,266,202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18,839,424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18,304,608</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18,975,265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18,267,043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18,840,149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18,310,654</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360"/>
          </w:cols>
          <w:pgMar w:left="280" w:top="117" w:right="259" w:bottom="1440"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80" w:top="117" w:right="2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228600</wp:posOffset>
            </wp:positionV>
            <wp:extent cx="1680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3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r>
      <w:tr>
        <w:trPr>
          <w:trHeight w:val="216"/>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65"/>
        </w:trPr>
        <w:tc>
          <w:tcPr>
            <w:tcW w:w="43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15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18,318,961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98,997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97,694</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expense in connection with stock options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restricted stock</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shares for accrued stock liability</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repurchased including vested restricted stock in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for withholding 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March 31, 2018</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18,367,149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98,892</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expense in connection with stock options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restricted stock</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shares for accrued stock liability</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to employees in connection with restricted</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grants, net of forfeitures</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67,052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repurchased including vested restricted stock in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for withholding 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June 30, 2018</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18,266,202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98,692</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expense in connection with stock options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restricted stock</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97"/>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2018</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18,266,202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100,055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100,121</w:t>
            </w:r>
          </w:p>
        </w:tc>
      </w:tr>
      <w:tr>
        <w:trPr>
          <w:trHeight w:val="28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97"/>
        </w:trPr>
        <w:tc>
          <w:tcPr>
            <w:tcW w:w="4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7"/>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6"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18,138,616</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100,097</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99,882</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 in connection with the</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Halston Heritage</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777,778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expense in connection with stock options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restricted stock</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18,916,394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101,501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101,414</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expense in connection with stock options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restricted stock</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issued to employees in connection with restricted</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grants</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1,852</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18,976,394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101,636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103,401</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expense in connection with stock options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restricted stock</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5"/>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repurchased including vested restricted stock in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 for withholding taxes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3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7"/>
        </w:trPr>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4360" w:type="dxa"/>
            <w:vAlign w:val="bottom"/>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57"/>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18,958,247</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101,739</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103,409</w:t>
            </w: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04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69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Cash Flows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9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6"/>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1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 September</w:t>
            </w:r>
          </w:p>
        </w:tc>
      </w:tr>
      <w:tr>
        <w:trPr>
          <w:trHeight w:val="238"/>
        </w:trPr>
        <w:tc>
          <w:tcPr>
            <w:tcW w:w="12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122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1,323</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deferred finance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1,415</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note discount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28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964</w:t>
            </w: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Cash paid in excess of rent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7"/>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4,713</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280" w:type="dxa"/>
            <w:vAlign w:val="bottom"/>
            <w:shd w:val="clear" w:color="auto" w:fill="CCEEFF"/>
          </w:tcPr>
          <w:p>
            <w:pPr>
              <w:spacing w:after="0"/>
              <w:rPr>
                <w:sz w:val="22"/>
                <w:szCs w:val="22"/>
                <w:color w:val="auto"/>
              </w:rPr>
            </w:pPr>
          </w:p>
        </w:tc>
        <w:tc>
          <w:tcPr>
            <w:tcW w:w="69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consideration for acquisition of Halston Heritage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64"/>
        </w:trPr>
        <w:tc>
          <w:tcPr>
            <w:tcW w:w="128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Shares repurchased including vested restricted stock in exchange for</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withholding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 of deferred finance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 of long-term debt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r>
      <w:tr>
        <w:trPr>
          <w:trHeight w:val="27"/>
        </w:trPr>
        <w:tc>
          <w:tcPr>
            <w:tcW w:w="128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r>
      <w:tr>
        <w:trPr>
          <w:trHeight w:val="264"/>
        </w:trPr>
        <w:tc>
          <w:tcPr>
            <w:tcW w:w="128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70"/>
        </w:trPr>
        <w:tc>
          <w:tcPr>
            <w:tcW w:w="128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11,694</w:t>
            </w:r>
          </w:p>
        </w:tc>
      </w:tr>
      <w:tr>
        <w:trPr>
          <w:trHeight w:val="264"/>
        </w:trPr>
        <w:tc>
          <w:tcPr>
            <w:tcW w:w="128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64"/>
        </w:trPr>
        <w:tc>
          <w:tcPr>
            <w:tcW w:w="8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6,999</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10,147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128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to amounts on consolidated balance sheets: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5,890</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8,638</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1,509</w:t>
            </w:r>
          </w:p>
        </w:tc>
      </w:tr>
      <w:tr>
        <w:trPr>
          <w:trHeight w:val="297"/>
        </w:trPr>
        <w:tc>
          <w:tcPr>
            <w:tcW w:w="8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6,999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10,147</w:t>
            </w:r>
          </w:p>
        </w:tc>
      </w:tr>
      <w:tr>
        <w:trPr>
          <w:trHeight w:val="257"/>
        </w:trPr>
        <w:tc>
          <w:tcPr>
            <w:tcW w:w="1280" w:type="dxa"/>
            <w:vAlign w:val="bottom"/>
            <w:shd w:val="clear" w:color="auto" w:fill="CCEEFF"/>
          </w:tcPr>
          <w:p>
            <w:pPr>
              <w:spacing w:after="0"/>
              <w:rPr>
                <w:sz w:val="22"/>
                <w:szCs w:val="22"/>
                <w:color w:val="auto"/>
              </w:rPr>
            </w:pPr>
          </w:p>
        </w:tc>
        <w:tc>
          <w:tcPr>
            <w:tcW w:w="69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82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Operating lease obligation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13,210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rent offset to operating lease right-of-use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1"/>
        </w:trPr>
        <w:tc>
          <w:tcPr>
            <w:tcW w:w="82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Settlement of seller note through offset to receivable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Settlement of contingent obligation through offset to note receivable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1"/>
        </w:trPr>
        <w:tc>
          <w:tcPr>
            <w:tcW w:w="82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Issuance of common stock in connection with Halston Heritage assets acquisition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08" w:right="239" w:bottom="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019"/>
          </w:cols>
          <w:pgMar w:left="1440" w:top="364"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39"/>
        </w:trPr>
        <w:tc>
          <w:tcPr>
            <w:tcW w:w="1280" w:type="dxa"/>
            <w:vAlign w:val="bottom"/>
            <w:tcBorders>
              <w:top w:val="single" w:sz="8" w:color="0000EE"/>
              <w:bottom w:val="single" w:sz="8" w:color="CCEEFF"/>
            </w:tcBorders>
          </w:tcPr>
          <w:p>
            <w:pPr>
              <w:spacing w:after="0"/>
              <w:rPr>
                <w:sz w:val="24"/>
                <w:szCs w:val="24"/>
                <w:color w:val="auto"/>
              </w:rPr>
            </w:pPr>
          </w:p>
        </w:tc>
        <w:tc>
          <w:tcPr>
            <w:tcW w:w="69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44"/>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Contingent obligation related to acquisition of Halston Heritage assets at fair value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824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Liability for equity-based bonuses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57"/>
        </w:trPr>
        <w:tc>
          <w:tcPr>
            <w:tcW w:w="1280" w:type="dxa"/>
            <w:vAlign w:val="bottom"/>
            <w:shd w:val="clear" w:color="auto" w:fill="CCEEFF"/>
          </w:tcPr>
          <w:p>
            <w:pPr>
              <w:spacing w:after="0"/>
              <w:rPr>
                <w:sz w:val="22"/>
                <w:szCs w:val="22"/>
                <w:color w:val="auto"/>
              </w:rPr>
            </w:pPr>
          </w:p>
        </w:tc>
        <w:tc>
          <w:tcPr>
            <w:tcW w:w="69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8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754</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08"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62"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Background, and Basis of Presentation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31, 2018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3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2018, as filed with the SEC on April 1, 2019.</w:t>
      </w:r>
    </w:p>
    <w:p>
      <w:pPr>
        <w:spacing w:after="0" w:line="3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 media and consumer products company engaged in the design, production, marketing, wholesale, and direct-to-consumer sales of branded apparel, footwear, accessories, jewelry, home goods and other consumer products, and the acquisition of dynamic consumer lifestyle brands. Xcel was founded by Robert W. D'Loren in 2011 with a vision to reimagine shopping, entertainment, and social as one. The Company owns and manages the Isaac Mizrahi brands (the "Isaac Mizrahi Brand"), the Judith Ripka brands (the "Ripka Brand"), the Halston brands ("Halston Brand"), the C Wonder brands (the "C Wonder Brand"), and other proprietary brands, pioneering a ubiquitous sales strategy which includes the promotion and sales of products under its brands through interactive television, internet, brick-and-mortar retail, and e-commerce channels. Headquartered in New York City, Xcel is led by an executive team with significant production, merchandising, design, marketing, retailing and licensing experience, and a proven track record of success in elevating branded consumer product companies. With an experienced team of professionals focused on design, production, and digital marketing, Xcel maintains control of product quality and promotion across all of its product categories and distribution channels.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year financial statements to conform to classifications used in the current year. These reclassifications had no impact on net income, stockholders’ equity, or cash flows as previously reported.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Accounting Standards Update ("ASU") 2016-02 effective January 1, 2019, by applying the new guidance under the additional and alternative transition method allowed by ASU 2018-11, “Leases (Topic 842): Targeted Improvements”. The standard had a material impact on the Company’s unaudited condensed consolidated balance sheet but did not have an impact on the Company’s unaudited condensed consolidated statement of operations. As of January 1, 2019, the adoption resulted in the recognition of operating lease right-of-use ("ROU") assets of approximately $10.4 million, lease liabilities of approximately $13.2 million, and a decrease of approximately $2.8 million in accrued rent.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elected the available practical expedients under Accounting Standards Codification ("ASC") 842-10-15-37 (thereby not separating lease components from non-lease components and instead accounting for all components as a single lease component) and ASC 842-10-65-1 (thereby, among other things, not reassessing lease classification), and implemented changes to its processes and methodologies related to leases to enable the preparation of financial information on adoption and to allow for the correct identification, classification, and measurement of leases in accordance with the new guidance going forward.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adoption of the standard related to leases had no impact on cash from or used in operating, financing, or investing activities in the Company's unaudited condensed consolidated statements of cash flows.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ROU assets and operating lease liabilities (current and non-current) in the Company’s unaudited condensed consolidated balance sheets.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lease liabilities are recognized at commencement date based on the present value of the remaining lease payments over the lease term. As most of the Company’s leases do not provide an implicit rate, the Company uses its incremental borrowing rate based on the information available at commencement date in determining the present value of lease payments. The Company may use the implicit rate when readily determinable. Operating lease ROU assets also include scheduled lease payments made and initial direct costs, and exclude lease incentives and accrued rent. Lease terms may include options to extend or terminate the lease when it is reasonably certain that the Company will exercise that option. Lease expense for operating lease payments is recognized on a straight-line basis over the lease term.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real estate leases of office space, the Company accounts for the lease and non-lease components as a single lease component.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leases with a term of 12 months or less, the Company does not recognize lease liabilities and ROU assets, but recognizes the lease payments in net income on a straight-line basis over the respective lease terms.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income from subleases (in which the Company is the sublessor) on a straight-line basis over the term of the sublease, as a reduction to lease expense.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2.  Trademarks and Other Intangibles</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5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51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60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69,100</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Trademarks (finite-lived)</w:t>
            </w:r>
          </w:p>
        </w:tc>
        <w:tc>
          <w:tcPr>
            <w:tcW w:w="1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(finite-lived)</w:t>
            </w:r>
          </w:p>
        </w:tc>
        <w:tc>
          <w:tcPr>
            <w:tcW w:w="160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intellectual property</w:t>
            </w:r>
          </w:p>
        </w:tc>
        <w:tc>
          <w:tcPr>
            <w:tcW w:w="1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7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60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Customer list</w:t>
            </w:r>
          </w:p>
        </w:tc>
        <w:tc>
          <w:tcPr>
            <w:tcW w:w="16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5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123,709</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117,347</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gridSpan w:val="4"/>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5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60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96,707</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96,707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Trademarks (finite-lived)</w:t>
            </w:r>
          </w:p>
        </w:tc>
        <w:tc>
          <w:tcPr>
            <w:tcW w:w="1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9"/>
              </w:rPr>
              <w:t>15 years</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intellectual property</w:t>
            </w:r>
          </w:p>
        </w:tc>
        <w:tc>
          <w:tcPr>
            <w:tcW w:w="160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7 years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6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9"/>
              </w:rPr>
              <w:t>10 years</w:t>
            </w:r>
          </w:p>
        </w:tc>
        <w:tc>
          <w:tcPr>
            <w:tcW w:w="12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112,921</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3,932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108,989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$0.83 million for the three-month period ended September 30, 2019 (the "current quarter") and was approximately $0.28 million for the three-month period ended September 30, 2018 (the "prior year quarter"). Amortization expense for intangible assets was approximately $2.43 million for the nine-month period ended September 30, 2019 (the "current nine months") and was approximately $0.85 million for the nine-month period ended September 30, 2018 (the "prior year nine months").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trademarks related to the Isaac Mizrahi Brand and the Ripka Brand have been determined to have indefinite useful lives and, accordingly, no amortization has been recorded for these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January 1, 2019, and in consideration of the acquisition of the Halston and Halston Heritage trademarks in February 2019, the Company has determined that the Halston brand, inclusive of all of its trademarks, including H Halston, and H by Halston, has a finite life of 18 years, and is amortized on a straight-line basis accordingly. Prior to January 1, 2019, the H Halston and H by Halston assets were considered indefinite-lived assets.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 of Halston Heritage Trademarks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11, 2019 (the "Closing Date"), the Company and its wholly owned subsidiary, H Heritage Licensing, LLC, entered into an asset purchase agreement (the "Heritage Asset Purchase Agreement") with the H Company IP, LLC (the "Seller" or "HIP") and its parent, House of Halston LLC ("HOH"), pursuant to which the Company acquired certain assets of HIP, including the "Halston", "Halston Heritage", and "Roy Frowick" trademarks (collectively, the "Halston Heritage Trademarks") and other intellectual property rights relating thereto. Benjamin Malka, who was a director of the Company, is a 25% equity holder of HOH and former Chief Executive Officer of HOH.</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Heritage Asset Purchase Agreement, at closing, the Company delivered in escrow for HIP or its designees (collectively, the “Sellers”) an aggregate of $8.4 million in cash and 777,778 shares of the Company’s common stock valued at $1.1 million (the “Xcel Shares”), subject to a voting agreement and a lock-up agreement relating to the Xcel Shares and a consent and waiver agreement each in form satisfactory to Xcel within three months from the date of the Heritage Asset Purchase Agreement. Such agreements were executed and delivered to Xcel, and the Xcel Shares were issued and delivered to the Sellers.</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closing consideration, HIP is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 Earn-Out Period in excess of $15.0 million. The Earn-Out Consideration shall be payable in common stock of Xcel (the “Earn-Out Shares”); provided, however, that if the number of Earn-Out Shares, when combined with the number of Xcel Shares issued at the closing,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HIP;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Halston Heritage Trademark acquisition was accounted for as an asset purchase. The aggregate purchase price has been allocated to the following assets based on the fair value of the assets on the date of acquisition:</w:t>
      </w:r>
    </w:p>
    <w:p>
      <w:pPr>
        <w:spacing w:after="0" w:line="320"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6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to:</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10,388</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Halston archives</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9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r>
      <w:tr>
        <w:trPr>
          <w:trHeight w:val="257"/>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acquisition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10,788</w:t>
            </w:r>
          </w:p>
        </w:tc>
      </w:tr>
      <w:tr>
        <w:trPr>
          <w:trHeight w:val="20"/>
        </w:trPr>
        <w:tc>
          <w:tcPr>
            <w:tcW w:w="9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Halston Heritage Trademarks have been determined by management to have a finite useful life, and accordingly, amortization is recorded in the Company’s condensed consolidated statements of operations. The Halston Heritage Trademarks, archives, and customer lists are amortized on a straight-line basis over their expected useful lives of eighteen, seven, and five years,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the aggregate purchase price of $10.8 million: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 except share amounts)</w:t>
            </w:r>
          </w:p>
        </w:tc>
        <w:tc>
          <w:tcPr>
            <w:tcW w:w="4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5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8,350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Common Stock issued (777,778 shares)</w:t>
            </w:r>
          </w:p>
        </w:tc>
        <w:tc>
          <w:tcPr>
            <w:tcW w:w="49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direct initial consideration</w:t>
            </w:r>
          </w:p>
        </w:tc>
        <w:tc>
          <w:tcPr>
            <w:tcW w:w="49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9,408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transaction expenses</w:t>
            </w:r>
          </w:p>
        </w:tc>
        <w:tc>
          <w:tcPr>
            <w:tcW w:w="4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obligation</w:t>
            </w:r>
          </w:p>
        </w:tc>
        <w:tc>
          <w:tcPr>
            <w:tcW w:w="4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consideration</w:t>
            </w:r>
          </w:p>
        </w:tc>
        <w:tc>
          <w:tcPr>
            <w:tcW w:w="5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10,788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81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more fully described in Note 6, concurrent with the acquisition of the Halston Heritage Trademarks, the Company entered into an amended loan agreement with BHI (the “Second Amended and Restated Loan and Security Agreement” or the "Xcel Term Loan"). The Xcel Term Loan amended and restated the existing Bank Hapoalim B.M. ("BHI") term loan (the "Amended Loan Agreement" or the "Prior Term Loan"). Immediately prior to the Closing Date, the aggregate principal amount of the Prior Term Loan was $14.5 million. Pursuant to the Xcel Term Loan, the Lenders extended to Xcel an additional term loan in the amount of $7.5 million, such that, as of the Closing Date, the aggregate outstanding balance of all the Xcel Term Loan was $22.0 million, which amount has been divided into two term loans: (1) a term loan in the amount of $7.3 million, Term Loan A, and (2) a term loan in the amount of $14.7 million, Term Loan B. The proceeds of the additional term loan extended on the Closing Date were used to finance a portion of the Halston Heritage Trademark acquisition described above.</w:t>
      </w:r>
    </w:p>
    <w:p>
      <w:pPr>
        <w:spacing w:after="0" w:line="141"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Contracts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QVC Agreements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Company’s agreements with QVC, QVC is required to pay the Company fees based primarily on a percentage of its net sales of Isaac Mizrahi, Ripka, and H Halston branded merchandise. QVC royalty revenue represents a significant portion of the Company’s total revenues.</w:t>
      </w:r>
    </w:p>
    <w:p>
      <w:pPr>
        <w:spacing w:after="0" w:line="162" w:lineRule="exact"/>
        <w:rPr>
          <w:sz w:val="20"/>
          <w:szCs w:val="20"/>
          <w:color w:val="auto"/>
        </w:rPr>
      </w:pPr>
    </w:p>
    <w:p>
      <w:pPr>
        <w:ind w:left="660" w:hanging="328"/>
        <w:spacing w:after="0" w:line="261"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from QVC totaled $5.16 million and $6.42 million for the current and prior year quarter, respectively, representing approximately 47% and 78% of the Company’s total net revenues for the current and prior year quarter, respectively.</w:t>
      </w:r>
    </w:p>
    <w:p>
      <w:pPr>
        <w:ind w:left="660" w:hanging="328"/>
        <w:spacing w:after="0" w:line="250"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from QVC totaled $17.96 million and $19.90 million for the current and prior year nine months, respectively, representing approximately 59% and 78% of the Company’s total net revenues for the current and prior year nine months, respectively.</w:t>
      </w:r>
    </w:p>
    <w:p>
      <w:pPr>
        <w:ind w:left="660" w:hanging="328"/>
        <w:spacing w:after="0" w:line="261"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2019, and December 31, 2018, the Company had receivables from QVC of $5.30 million and $5.68 million, respectively, representing approximately 53% and 52% of the Company’s total receivables, respectively.</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operating leases for its current office, former office, and certain equipment with a term of 12 months or less. The Company's office leases have remaining lease terms of 2 years to 8 years. The Company does not recognize lease liabilities and ROU assets for lease terms of 12 months or less, but recognizes such lease payments in net income on a straight-line basis over the lease terms. The Company determines if an arrangement is a lease at inception. Operating leases are recorded in operating lease ROU assets, current portion of operating lease liabilities, and long-term operating lease liabilities on the Company's condensed consolidated balance sheet.</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lease ROU assets and lease liabilities are recognized at commencement date based on the present value of lease payments over the lease term. As most of the Company’s leases do not provide an implicit rate, the Company uses its incremental borrowing rate based on the information available at commencement date in determining the present value of lease payments. The Company may use the implicit rate when readily determinable. Lease terms may include options to extend or terminate the lease when it is reasonably certain that the Company will exercise that option. Lease expense for operating lease payments is recognized on a straight-line basis over the lease term.</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current and prior year quarter, lease expense included in selling, general and administrative expenses on the Company's unaudited condensed consolidated statements of operations was $0.4 million. For the current and prior year nine months, lease expense included in selling, general and administrative expenses on the Company's unaudited condensed consolidated statements of operations was $1.2 million and $1.1 million,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2019, the weighted average remaining operating lease term was 7.0 years and the weighted average discount rate for operating leases was 6.3%.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in the current quarter and current nine months ended September 30, 2019 was $0.6 million and $1.8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the maturities of lease liabilities were as follows: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7860" w:type="dxa"/>
            <w:vAlign w:val="bottom"/>
            <w:gridSpan w:val="2"/>
          </w:tcPr>
          <w:p>
            <w:pPr>
              <w:jc w:val="center"/>
              <w:ind w:left="2470"/>
              <w:spacing w:after="0"/>
              <w:rPr>
                <w:sz w:val="20"/>
                <w:szCs w:val="20"/>
                <w:color w:val="auto"/>
              </w:rPr>
            </w:pPr>
            <w:r>
              <w:rPr>
                <w:rFonts w:ascii="Times New Roman" w:cs="Times New Roman" w:eastAsia="Times New Roman" w:hAnsi="Times New Roman"/>
                <w:sz w:val="18"/>
                <w:szCs w:val="18"/>
                <w:color w:val="auto"/>
                <w:w w:val="99"/>
              </w:rPr>
              <w:t>XCEL BRANDS, INC. AND SUBSIDIARIES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60" w:type="dxa"/>
            <w:vAlign w:val="bottom"/>
            <w:gridSpan w:val="2"/>
          </w:tcPr>
          <w:p>
            <w:pPr>
              <w:jc w:val="center"/>
              <w:ind w:left="2470"/>
              <w:spacing w:after="0"/>
              <w:rPr>
                <w:sz w:val="20"/>
                <w:szCs w:val="20"/>
                <w:color w:val="auto"/>
              </w:rPr>
            </w:pPr>
            <w:r>
              <w:rPr>
                <w:rFonts w:ascii="Times New Roman" w:cs="Times New Roman" w:eastAsia="Times New Roman" w:hAnsi="Times New Roman"/>
                <w:sz w:val="18"/>
                <w:szCs w:val="18"/>
                <w:color w:val="auto"/>
                <w:w w:val="99"/>
              </w:rPr>
              <w:t>Notes to Unaudited Condensed Consolidated Financial Statements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60" w:type="dxa"/>
            <w:vAlign w:val="bottom"/>
            <w:gridSpan w:val="2"/>
          </w:tcPr>
          <w:p>
            <w:pPr>
              <w:jc w:val="center"/>
              <w:ind w:left="249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860" w:type="dxa"/>
            <w:vAlign w:val="bottom"/>
            <w:gridSpan w:val="2"/>
          </w:tcPr>
          <w:p>
            <w:pPr>
              <w:jc w:val="center"/>
              <w:ind w:left="247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500" w:type="dxa"/>
            <w:vAlign w:val="bottom"/>
          </w:tcPr>
          <w:p>
            <w:pPr>
              <w:spacing w:after="0"/>
              <w:rPr>
                <w:sz w:val="24"/>
                <w:szCs w:val="24"/>
                <w:color w:val="auto"/>
              </w:rPr>
            </w:pPr>
          </w:p>
        </w:tc>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2019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2,423</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1,553</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2023</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5,950</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14,847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2,894</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11,953</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1,732</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10,221</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Debt and Contingent Obligations</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3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net carrying amount of debt was comprised of the following: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0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3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4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Xcel Term Loan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Unamortized deferred finance costs related to term loan</w:t>
            </w:r>
          </w:p>
        </w:tc>
        <w:tc>
          <w:tcPr>
            <w:tcW w:w="1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 Seller Note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Ripka Seller Note</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obligation - HH Seller</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Contingent obligation - JR Seller</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obligation - CW Seller</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37"/>
        </w:trPr>
        <w:tc>
          <w:tcPr>
            <w:tcW w:w="8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20,689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19,575</w:t>
            </w:r>
          </w:p>
        </w:tc>
        <w:tc>
          <w:tcPr>
            <w:tcW w:w="0" w:type="dxa"/>
            <w:vAlign w:val="bottom"/>
          </w:tcPr>
          <w:p>
            <w:pPr>
              <w:spacing w:after="0"/>
              <w:rPr>
                <w:sz w:val="1"/>
                <w:szCs w:val="1"/>
                <w:color w:val="auto"/>
              </w:rPr>
            </w:pPr>
          </w:p>
        </w:tc>
      </w:tr>
      <w:tr>
        <w:trPr>
          <w:trHeight w:val="27"/>
        </w:trPr>
        <w:tc>
          <w:tcPr>
            <w:tcW w:w="8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 (i), (ii)</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8,275</w:t>
            </w:r>
          </w:p>
        </w:tc>
        <w:tc>
          <w:tcPr>
            <w:tcW w:w="0" w:type="dxa"/>
            <w:vAlign w:val="bottom"/>
          </w:tcPr>
          <w:p>
            <w:pPr>
              <w:spacing w:after="0"/>
              <w:rPr>
                <w:sz w:val="1"/>
                <w:szCs w:val="1"/>
                <w:color w:val="auto"/>
              </w:rPr>
            </w:pPr>
          </w:p>
        </w:tc>
      </w:tr>
      <w:tr>
        <w:trPr>
          <w:trHeight w:val="257"/>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15,939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11,300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hanging="490"/>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long-term debt as of September 30, 2019 consisted of $4.75 million related to the Xcel Term Loan.</w:t>
      </w:r>
    </w:p>
    <w:p>
      <w:pPr>
        <w:spacing w:after="0" w:line="184"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long-term debt presented on the Condensed Consolidated Balance Sheet at December 31, 2018 includes (a) $4.0 million related to the Prior Term Loan, (b) $0.74 million related to the IM Seller Note, (c) $2.95 million related to contingent obligations, and (d) $0.58 million related to the Ripka Seller Note.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Xcel Term Loan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11, 2019, the Company entered into the Xcel Term Loan. Immediately prior to February 11, 2019, the aggregate principal amount of the Prior Term Loan was $14.5 million. Pursuant to the Xcel Term Loan, the Lenders have extended to Xcel additional term loan proceeds in the amount of $7.5 million, such that, as of February 11, 2019, the aggregate outstanding balance of all the term loans extended by BHI to Xcel under the Xcel Term Loan was $22.0 million, which amount has been divided under the Xcel Term Loan into two term loans: (1) a term loan in the amount of $7.3 million (“Term Loan A”) and (2) a term loan in the amount of $14.7 million (“Term Loan B” and, together with Term Loan A, the “Term Loans”). The proceeds of the additional term loan were used to finance the Halston Heritage Brands acquisition described in Note 3.</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and conditions of the Xcel Term Loan resulted in significantly different debt service payment requirements, compared with the prior term debt with BHI, which included an increase of $7.5 million in the principal balance, and related changes to the timing and amount of principal payments, as well as changes in the interest rate. Management assessed and determined that this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amendment resulted in a loss on extinguishment of debt and recognized a loss of $0.2 million (consisting of unamortized deferred finance costs) during the nine-month period ended September 30, 2019. Upon entering into Xcel Term Loan, Xcel paid an upfront fee in the amount of $0.09 million to BHI.</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Xcel Term Loan also allows that BHI and any other lender party to the Xcel Term Loan (collectively, the “Lenders”) can provide to Xcel a revolving loan facility and a letter of credit facility, the terms of each of which shall be agreed to by Xcel and the Lenders. Amounts advanced under the revolving loan facility (the “Revolving Loans”) will be used for the purpose of consummating acquisitions by Xcel or its subsidiaries that are or become parties to the Xcel Term Loan. Xcel 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Xcel Term Loan shall terminate no later than one year following the date of issuance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on Term Loan A is payable in quarterly installments on each of March 31, June 30, September 30, and December 31 as follows</w:t>
      </w:r>
      <w:r>
        <w:rPr>
          <w:rFonts w:ascii="Times New Roman" w:cs="Times New Roman" w:eastAsia="Times New Roman" w:hAnsi="Times New Roman"/>
          <w:sz w:val="19"/>
          <w:szCs w:val="19"/>
          <w:color w:val="auto"/>
        </w:rPr>
        <w:t>:</w:t>
      </w: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36830</wp:posOffset>
            </wp:positionV>
            <wp:extent cx="7117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18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560" w:type="dxa"/>
            <w:vAlign w:val="bottom"/>
          </w:tcPr>
          <w:p>
            <w:pPr>
              <w:spacing w:after="0"/>
              <w:rPr>
                <w:sz w:val="20"/>
                <w:szCs w:val="20"/>
                <w:color w:val="auto"/>
              </w:rPr>
            </w:pPr>
          </w:p>
        </w:tc>
        <w:tc>
          <w:tcPr>
            <w:tcW w:w="246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61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2019 – September 30, 2020</w:t>
            </w:r>
          </w:p>
        </w:tc>
        <w:tc>
          <w:tcPr>
            <w:tcW w:w="25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6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25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r>
      <w:tr>
        <w:trPr>
          <w:trHeight w:val="27"/>
        </w:trPr>
        <w:tc>
          <w:tcPr>
            <w:tcW w:w="618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on Term Loan B is payable in quarterly installments on each of March 31, June 30, September 30, and December 31 as follows:</w:t>
      </w:r>
    </w:p>
    <w:p>
      <w:pPr>
        <w:spacing w:after="0" w:line="3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36830</wp:posOffset>
            </wp:positionV>
            <wp:extent cx="7126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5000" w:type="dxa"/>
            <w:vAlign w:val="bottom"/>
          </w:tcPr>
          <w:p>
            <w:pPr>
              <w:ind w:left="25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560" w:type="dxa"/>
            <w:vAlign w:val="bottom"/>
          </w:tcPr>
          <w:p>
            <w:pPr>
              <w:spacing w:after="0"/>
              <w:rPr>
                <w:sz w:val="20"/>
                <w:szCs w:val="20"/>
                <w:color w:val="auto"/>
              </w:rPr>
            </w:pPr>
          </w:p>
        </w:tc>
        <w:tc>
          <w:tcPr>
            <w:tcW w:w="246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120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2020</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September 30, 2020</w:t>
            </w:r>
          </w:p>
        </w:tc>
        <w:tc>
          <w:tcPr>
            <w:tcW w:w="2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12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0"/>
        </w:trPr>
        <w:tc>
          <w:tcPr>
            <w:tcW w:w="1200" w:type="dxa"/>
            <w:vAlign w:val="bottom"/>
            <w:shd w:val="clear" w:color="auto" w:fill="CCEEFF"/>
          </w:tcPr>
          <w:p>
            <w:pPr>
              <w:spacing w:after="0"/>
              <w:rPr>
                <w:sz w:val="23"/>
                <w:szCs w:val="23"/>
                <w:color w:val="auto"/>
              </w:rPr>
            </w:pPr>
          </w:p>
        </w:tc>
        <w:tc>
          <w:tcPr>
            <w:tcW w:w="50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4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2021</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December 30, 2022</w:t>
            </w:r>
          </w:p>
        </w:tc>
        <w:tc>
          <w:tcPr>
            <w:tcW w:w="2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1,125</w:t>
            </w:r>
          </w:p>
        </w:tc>
      </w:tr>
      <w:tr>
        <w:trPr>
          <w:trHeight w:val="27"/>
        </w:trPr>
        <w:tc>
          <w:tcPr>
            <w:tcW w:w="12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70"/>
        </w:trPr>
        <w:tc>
          <w:tcPr>
            <w:tcW w:w="1200" w:type="dxa"/>
            <w:vAlign w:val="bottom"/>
            <w:shd w:val="clear" w:color="auto" w:fill="CCEEFF"/>
          </w:tcPr>
          <w:p>
            <w:pPr>
              <w:spacing w:after="0"/>
              <w:rPr>
                <w:sz w:val="23"/>
                <w:szCs w:val="23"/>
                <w:color w:val="auto"/>
              </w:rPr>
            </w:pPr>
          </w:p>
        </w:tc>
        <w:tc>
          <w:tcPr>
            <w:tcW w:w="50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4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December 31, 2023</w:t>
            </w:r>
          </w:p>
        </w:tc>
        <w:tc>
          <w:tcPr>
            <w:tcW w:w="25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1,250</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Xcel has the right to prepay the Term Loans, Incremental Term Loans, Revolving Loans, and obligations with respect to letters of credit and accrued and unpaid interest thereon and to terminate the Lenders’ obligations to make Revolving Loans and issue letters of credit; provided that any prepayment of less than all of the outstanding balances of the Term Loans and Incremental Term Loans shall be applied to the remaining amounts due in inverse order of maturity.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Term Loan or any Incremental Term Loan is prepaid on or prior to the third anniversary of the Closing Date (including as a result of an event of default), Xcel shall pay an early termination fee as follows: an amount equal to the principal amount of the Term Loan or Incremental Term Loan, as applicable, being prepaid, multiplied by: (i) two percent (2.00%) if any of Term Loan B or any Incremental Term Loan is prepaid on or before the second anniversary of the later of the Closing Date or the date such Incremental Term Loan was made, as applicable; (ii) 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 half of one percent (0.50%) if any of Term Loan A is prepaid after the second anniversary of the Closing Date, but on or before the third anniversary of such date; or (v) zero percent (0.00%), if any Term Loan or 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Term Loan is prepaid after the third anniversary of the later of the Closing Date or the date such Incremental Term Loan was made, as applicable.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Xcel is required to repay a portion of the Xcel Term Loan in an amount equal to 10% of the excess cash flow for the fiscal year;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w:t>
      </w:r>
    </w:p>
    <w:p>
      <w:pPr>
        <w:spacing w:after="0" w:line="184" w:lineRule="exact"/>
        <w:rPr>
          <w:sz w:val="20"/>
          <w:szCs w:val="20"/>
          <w:color w:val="auto"/>
        </w:rPr>
      </w:pPr>
    </w:p>
    <w:p>
      <w:pPr>
        <w:jc w:val="both"/>
        <w:ind w:right="20" w:firstLine="58"/>
        <w:spacing w:after="0" w:line="266" w:lineRule="auto"/>
        <w:rPr>
          <w:sz w:val="20"/>
          <w:szCs w:val="20"/>
          <w:color w:val="auto"/>
        </w:rPr>
      </w:pPr>
      <w:r>
        <w:rPr>
          <w:rFonts w:ascii="Times New Roman" w:cs="Times New Roman" w:eastAsia="Times New Roman" w:hAnsi="Times New Roman"/>
          <w:sz w:val="18"/>
          <w:szCs w:val="18"/>
          <w:color w:val="auto"/>
        </w:rPr>
        <w:t>Xcel’s obligations under the Xcel Term Loan are guaranteed by and secured by all of the assets of Xcel and its wholly owned subsidiaries, as well as any subsidiary formed or acquired that becomes a credit party to the Xcel Term Loan agreement (the “Guarantors”) and, subject to certain limitations contained in Xcel Term Loan, equity interests of the Guarantors.</w:t>
      </w:r>
    </w:p>
    <w:p>
      <w:pPr>
        <w:spacing w:after="0" w:line="176" w:lineRule="exact"/>
        <w:rPr>
          <w:sz w:val="20"/>
          <w:szCs w:val="20"/>
          <w:color w:val="auto"/>
        </w:rPr>
      </w:pPr>
    </w:p>
    <w:p>
      <w:pPr>
        <w:jc w:val="both"/>
        <w:ind w:right="20" w:firstLine="56"/>
        <w:spacing w:after="0" w:line="282" w:lineRule="auto"/>
        <w:rPr>
          <w:sz w:val="20"/>
          <w:szCs w:val="20"/>
          <w:color w:val="auto"/>
        </w:rPr>
      </w:pPr>
      <w:r>
        <w:rPr>
          <w:rFonts w:ascii="Times New Roman" w:cs="Times New Roman" w:eastAsia="Times New Roman" w:hAnsi="Times New Roman"/>
          <w:sz w:val="18"/>
          <w:szCs w:val="18"/>
          <w:color w:val="auto"/>
        </w:rPr>
        <w:t>Xcel also granted the Lenders a right of first offer to finance any acquisition for which the consideration will be paid other than by cash of Xcel or by the issuance of equity interest of Xcel.</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on Term Loan A accrues at a fixed rate of 5.1% per annum and is payable on each day on which the scheduled principal payments on Term Loans are required to be made. Interest on Term Loan B accrues at a fixed rate of 6.25% per annum and is payable on each day on which the scheduled principal payments on Term Loans are required to be made. Interest on the Revolving Loans will accrue at either the Base Rate or LIBOR, as elected by Xcel, plus a margin to be agreed to by Xcel and the Lenders and will be payable on the first day of each month. Base Rate is defined in the Xcel Term Loan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Xcel Term Loan contains customary covenants, including reporting requirements, trademark preservation, and the following financial covenants of Xcel (on a consolidated basis with Xcel and the Guarantors under the Second Amended and Restated Loan and Security Agreement):</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worth of at least $90.0 million at the end of each fiscal quarter;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 assets of at least $4.0 million through April 30, 2020, and at least $5.0 million thereafter;</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 coverage ratio for the twelve-fiscal month period ending at the end of each fiscal quarter shall not be less than the ratio set forth below for such fiscal period:</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96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Fiscal Quarter End</w:t>
            </w:r>
          </w:p>
        </w:tc>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Fixed Charge Coverage Ratio</w:t>
            </w:r>
          </w:p>
        </w:tc>
      </w:tr>
      <w:tr>
        <w:trPr>
          <w:trHeight w:val="27"/>
        </w:trPr>
        <w:tc>
          <w:tcPr>
            <w:tcW w:w="79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2019, March 31, 2020, June 30, 2020, September 30, 2020</w:t>
            </w:r>
          </w:p>
        </w:tc>
        <w:tc>
          <w:tcPr>
            <w:tcW w:w="324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1.05 to 1.00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2020, March 31, 2021, June 30, 2021, September 30, 2021, December 31, 2021 and thereafter</w:t>
            </w:r>
          </w:p>
        </w:tc>
        <w:tc>
          <w:tcPr>
            <w:tcW w:w="32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1.10 to 1.00</w:t>
            </w:r>
          </w:p>
        </w:tc>
      </w:tr>
    </w:tbl>
    <w:p>
      <w:pPr>
        <w:spacing w:after="0" w:line="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(excluding any capitalized compensation costs) shall not exceed $1.7 million for fiscal year December 31, 2018;</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(excluding any capitalized compensation costs) shall not exceed $0.9 million for fiscal year December 31, 2019;</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(excluding any capitalized compensation costs) shall not exceed $0.7 million for any fiscal year beginning after December 31, 2019;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ratio for the twelve-fiscal month period ending at the end of each fiscal period set forth below shall not exceed the ratio below:</w:t>
      </w:r>
    </w:p>
    <w:p>
      <w:pPr>
        <w:spacing w:after="0" w:line="149"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610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Fiscal Period</w:t>
            </w:r>
          </w:p>
        </w:tc>
        <w:tc>
          <w:tcPr>
            <w:tcW w:w="2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Maximum Leverage Ratio</w:t>
            </w:r>
          </w:p>
        </w:tc>
      </w:tr>
      <w:tr>
        <w:trPr>
          <w:trHeight w:val="27"/>
        </w:trPr>
        <w:tc>
          <w:tcPr>
            <w:tcW w:w="61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2018</w:t>
            </w:r>
          </w:p>
        </w:tc>
        <w:tc>
          <w:tcPr>
            <w:tcW w:w="298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2.90 to 1.00</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2019, March 31, 2020, June 30, 2020, and September 30, 2020</w:t>
            </w:r>
          </w:p>
        </w:tc>
        <w:tc>
          <w:tcPr>
            <w:tcW w:w="29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2.40 to 1.00</w:t>
            </w:r>
          </w:p>
        </w:tc>
      </w:tr>
      <w:tr>
        <w:trPr>
          <w:trHeight w:val="27"/>
        </w:trPr>
        <w:tc>
          <w:tcPr>
            <w:tcW w:w="61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 March 31, 2021, June 30, 2021 and September 30, 2021</w:t>
            </w:r>
          </w:p>
        </w:tc>
        <w:tc>
          <w:tcPr>
            <w:tcW w:w="298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1.70 to 1.00</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 and each Fiscal Quarter end thereafter</w:t>
            </w:r>
          </w:p>
        </w:tc>
        <w:tc>
          <w:tcPr>
            <w:tcW w:w="29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1.50 to 1.00</w:t>
            </w:r>
          </w:p>
        </w:tc>
      </w:tr>
      <w:tr>
        <w:trPr>
          <w:trHeight w:val="486"/>
        </w:trPr>
        <w:tc>
          <w:tcPr>
            <w:tcW w:w="610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16</w:t>
            </w:r>
          </w:p>
        </w:tc>
        <w:tc>
          <w:tcPr>
            <w:tcW w:w="2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applicable covenants as of September 30, 2019.</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current and prior year quarter, the Company incurred aggregate interest expense on its Prior Term Debt and Xcel Term Loan of approximately $317,000 and $215,000, respectively. For the current nine months and prior year nine months, the Company incurred aggregate interest expense on its Prior Term Debt and Xcel Term Loan of approximately $903,000 and $677,000,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 Seller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19, 2016, the Company’s note payable to the sellers of the Isaac Mizrahi business (the “IM Seller Note") was further amended and restated to</w:t>
      </w:r>
    </w:p>
    <w:p>
      <w:pPr>
        <w:spacing w:after="0" w:line="27" w:lineRule="exact"/>
        <w:rPr>
          <w:sz w:val="20"/>
          <w:szCs w:val="20"/>
          <w:color w:val="auto"/>
        </w:rPr>
      </w:pPr>
    </w:p>
    <w:p>
      <w:pPr>
        <w:jc w:val="both"/>
        <w:ind w:firstLine="8"/>
        <w:spacing w:after="0" w:line="254" w:lineRule="auto"/>
        <w:tabs>
          <w:tab w:leader="none" w:pos="2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maturity date to March 31, 2019, (2) require six semi-annual principal and interest installment payments of $750,000, commencing on September 30, 2017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2019, the Company paid the final installment of $750,000 under the IM Seller Note.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current and prior year quarter, the Company incurred interest expense of approximately $0 and $8,000, respectively, under the IM Seller Note. For the current nine months and prior year nine months, the Company incurred interest expense of approximately $4,000 and $29,000, respectively, under the IM Seller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Ripka Seller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2018, the Company had a note payable of approximately $0.58 million relating to the acquisition of the Judith Ripka assets (the "Ripka Seller Note"). Separately, the Company held a promissory note receivable due from the sellers of the Judith Ripka assets (the "Ripka Sellers") with a maturity date of March 31, 2019. On March 31, 2019, the Company agreed to net its note receivable due from the Ripka Sellers of approximately $0.9 million against the Ripka Seller Note of $0.6 million and the remaining Ripka Earn-Out of $0.1 million (see below). As of September 30, 2019, the balance of the Ripka Seller Note was $0.</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current and prior year quarter, the Company incurred interest expense of approximately $0 and $10,000, respectively, under the Ripka Seller Note, which consisted solely of amortization of the discount on the Ripka Seller Note. For the current nine months and prior year nine months, the Company incurred interest expense of approximately $10,000 and $31,000,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JR Seller (Ripka Earn-Out)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Ripka Earn-Out was contingent upon the Ripka Brand achieving at least $6,000,000 of net royalty income from QVC during each of the 12-month periods ending on March 31, 2018 and 2019, and was payable in equal cash payments on each of May 15, 2018 and 2019. The Ripka Brand achieved the above-indicated threshold of net royalty income from QVC during the 12-month period ended March 31, 2018, and on May 15, 2018, the Company settled the $100,000 earnout due by reducing the principal amount owed by Judith Ripka to the Company under a promissory note. As of December 31, 2018, the balance of the Ripka Earn-Out was $0.1 million. On March 31, 2019, the Company satisfied the remaining Ripka Earn-Out balance of $0.1 million by off-setting the amount against the promissory note receivable. As of September 30, 2019, the balance of the Ripka Earn-Out was $0.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 CW Seller (C Wonder Earn-Out)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was calculated as the positive amount, if any, of (i) two times (A) the maximum net royalties as calculated for any single 12-month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Target Year. The C Wonder Earn-Out of $2.85 million was recorded in the current portion of long-term debt in the accompanying condensed consolidated balance sheet as of December 31, 2018.</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applicable accounting guidance, the Company was required to carry such contingent liability balance on its consolidated balance sheet until the measurement period of the earn-out expired and all related contingencies had been resolved. The final Royalty Target Year ended on June 30, 2019, and the seller ultimately did not earn any additional consideration based on the formula set forth above. As such, during the current nine months, the Company recorded a $2.85 million gain on the reduction of contingent obligations in the accompanying condensed consolidated statements of operations. As of September 30, 2019, the balance of the C Wonder Earn-Out was $0.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 HH Seller (Halston Heritage Earn-Out)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February 11, 2019 purchase of the Halston Heritage Trademarks from HIP, the Company agreed to pay HIP additional consideration (the “Halston Heritage Earn-Out”) (see Note 3). The Halston Heritage Earn-Out of $0.9 million is recorded as long-term debt at September 30, 2019 in the accompanying condensed consolidated balance sheet, based on the difference between the fair value of the acquired assets of the Halston Heritage Trademarks and the total consideration paid. In accordance with ASC Topic 480, the Halston Heritage Earn-Out obligation is treated as a liability in the accompanying condensed consolidated balance sheets because of the variable number of shares payable under the agreement.</w:t>
      </w:r>
    </w:p>
    <w:p>
      <w:pPr>
        <w:spacing w:after="0" w:line="139"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awards are valued using the fair value of the Company’s stock at the date of grant.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non-employee awards in accordance with ASU 2018-07, “Compensation - Stock Compensation (Topic 718) - Improvements to Nonemployee Share-Based Payment Accounting”. Such awards are measured at the grant-date fair value of the equity instruments to be issued, and the compensation expense for such awards is recognized in the same period as if cash had been paid for the related goods or services rendered.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are accounted for as a reduction of compensation cost in the period when such forfeitures occur.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under the Plan expire at various times - either five, seven, or ten years from the date of grant, depending on the particular grant.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 2019, the Company granted options to purchase 250,000 shares of common stock to a certain key employee. The exercise price is $3.00 per share, and the vesting of such options is dependent upon the Company achieving certain 12-month sales targets through December 31, 2021.</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27, 2019, the Company granted options to purchase 2,578,947 shares of common stock to Robert D’Loren, the Company’s Chief Executive Officer. The exercise price is $1.70 per share, and the vesting of such options is dependent upon the Company’s common stock achieving certain stock trading prices for a minimum of ten (10) trading days (the "Target Prices"). The vesting of 736,842 shares occur if the Target Prices are equal to or greater than $3.00 per share; 626,316 shares vest if the Target Price is equal to or greater than $5.00 per share; 515,789 shares vest if the Target Price is equal to or greater than $7.00 per share; 405,263 shares vest if the Target Price is equal to or greater than $9.00 per share; and 294,737 shares vest if the Target Price is equal to or greater than $11.00 per share. The options are exercisable until February 27, 2029. As of September 30, 2019, none of the aforementioned Target Price thresholds have been met, and therefore, none of these options have vested.</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27, 2019, the Company granted options to purchase 552,632 shares of common stock to James Haran, the Company’s Chief Financial Officer. The exercise price is $1.70 per share, and the vesting of such options is dependent upon the Company’s common stock achieving certain stock trading prices for a minimum of ten (10) trading days (the "Target Prices"). The vesting of 157,895 shares occur if the Target Prices are equal to or greater than $3.00 per share; 134,211 shares vest if the Target Price is equal to or greater than $5.00 per share; 110,526 shares vest if the Target Price is equal to or greater than $7.00 per share; 86,842 shares vest if the Target Price is equal to or greater than $9.00 per share; and 63,158 shares vest if the Target Price is equal to or greater than $11.00 per share. The options are exercisable until February 27, 2029. As of September 30, 2019, none of the aforementioned Target Price thresholds have been met, and therefore, none of these options have vested.</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27, 2019, the Company granted options to purchase 368,421 shares of common stock to Seth Burroughs, an officer of the Company. The exercise price is $1.70 per share, and the vesting of such options is dependent upon the Company’s common stock achieving certain stock trading prices for a minimum of ten (10) trading days (the "Target Prices"). The vesting of 105,263 shares occur if the Target Prices are equal to or greater than $3.00 per share; 89,474 shares vest if the Target Price is equal to or greater than $5.00 per share; 73,684 shares vest if the Target Price is equal to or greater than $7.00 per share; 57,895 shares vest if the Target Price is equal to or greater than $9.00; and 42,105 shares vest if the Target Price is equal to or greater than $11.00 per share. The options are exercisable until February 27, 2029. As of September 30, 2019, none of the aforementioned Target Price thresholds have been met, and therefore, none of these options have vested.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13, 2019, the Company granted options to purchase an aggregate of 154,000 shares of common stock to various employees. The exercise price of the options is $1.73 per share, and all options vested immediately on the date of grant.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15, 2019, the Company granted options to purchase 50,000 shares of common stock to a certain key employee. The exercise price of the options is $5.50 per share, and all options vested immediately on the date of grant.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2019, the Company granted options to purchase an aggregate of 150,000 shares of common stock to non-management directors. The exercise price of the options is $1.70 per share, and 50% of the options vest on each of April 1, 2020 and April 1, 2021.</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15, 2019, the Company granted options to purchase an aggregate of 24,000 shares of common stock to certain employees. The exercise price of the options is $1.40 per share, and 50% of the options vest on each of April 15, 2020 and April 15,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 2019, the Company granted options to purchase 10,000 shares of common stock to an employee. The exercise price of the options is $1.38 per share, and 50% of the options vest on each of May 1, 2020 and May 1, 2021.</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 2019, the Company granted options to purchase 15,000 shares of common stock to an employee. The exercise price of the options is $1.59 per share, and one-third of the options will vest on each of September 1, 2020, September 1, 2021, and September 1,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options activity for the current nine months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160" w:type="dxa"/>
            <w:vAlign w:val="bottom"/>
          </w:tcPr>
          <w:p>
            <w:pPr>
              <w:spacing w:after="0"/>
              <w:rPr>
                <w:sz w:val="20"/>
                <w:szCs w:val="20"/>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3,257,875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4,153,000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2019, and expected to vest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7,139,625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at September 30,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2,598,125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for the current quarter and the prior year quarter was approximately $66,000 and $319,000, respectively. Compensation expense related to stock options for the current nine months and prior year nine months was approximately $382,000 and $867,000, respectively. Total unrecognized compensation expense related to unvested stock options at September 30, 2019 amounts to approximately $387,000 and is expected to be recognized over a weighted average period of approximately 1.98 years.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non-vested stock options activity for the current nine months is as follows: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56"/>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3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834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1,481,079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4,153,000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or Canceled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0.99</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4,541,500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granted under the Plan expire at various times - either five, seven, or ten years from the date of grant, depending on the particular grant.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18, 2019, the Company granted warrants to purchase an aggregate of 115,000 shares of common stock. The exercise price of the warrants is $3.17 per share, and one-third of the options vested on each of July 25, 2019, August 24, 2019, and September 23, 2019.</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warrants activity for the current nine months is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14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14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and exercisable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1,214,815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5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and exercisable at September 30,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1,329,815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500"/>
        <w:spacing w:after="0" w:line="454" w:lineRule="auto"/>
        <w:rPr>
          <w:sz w:val="20"/>
          <w:szCs w:val="20"/>
          <w:color w:val="auto"/>
        </w:rPr>
      </w:pPr>
      <w:r>
        <w:rPr>
          <w:rFonts w:ascii="Times New Roman" w:cs="Times New Roman" w:eastAsia="Times New Roman" w:hAnsi="Times New Roman"/>
          <w:sz w:val="18"/>
          <w:szCs w:val="18"/>
          <w:color w:val="auto"/>
        </w:rPr>
        <w:t xml:space="preserve">Compensation expense related to warrants was approximately $14,000 for both the current quarter and current nine months. No compensation expense was recognized in the prior year quarter or prior year nine months related to warrants. </w:t>
      </w:r>
      <w:r>
        <w:rPr>
          <w:rFonts w:ascii="Times New Roman" w:cs="Times New Roman" w:eastAsia="Times New Roman" w:hAnsi="Times New Roman"/>
          <w:sz w:val="18"/>
          <w:szCs w:val="18"/>
          <w:b w:val="1"/>
          <w:bCs w:val="1"/>
          <w:i w:val="1"/>
          <w:iCs w:val="1"/>
          <w:color w:val="auto"/>
        </w:rPr>
        <w:t>Stock Awards</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27, 2019, the Company entered into a two-year employment agreement with a key employee which includes a performance stock bonus of up to $90,000 for each of the years ended December 31, 2019 and 2020. The performance stock bonus is earned upon the Company achieving certain sales targets.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 2019, the Company issued an aggregate of 60,000 shares of stock to certain non-management directors, which will vest evenly over two years, whereby 50% shall vest on April 1, 2020, and 50% shall vest on April 1,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current nine months is as follows: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6"/>
        </w:trPr>
        <w:tc>
          <w:tcPr>
            <w:tcW w:w="8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3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3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8320" w:type="dxa"/>
            <w:vAlign w:val="bottom"/>
          </w:tcPr>
          <w:p>
            <w:pPr>
              <w:spacing w:after="0"/>
              <w:rPr>
                <w:sz w:val="20"/>
                <w:szCs w:val="20"/>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2019</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1,460,210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1,399,210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related to restricted stock grants for the current and prior year quarter was approximately $47,000 and $128,000, respectively. Compensation expense related to restricted stock grants for the current nine months and prior year nine months was approximately $213,000 and $548,000, respectively. Total unrecognized compensation expense related to unvested restricted stock grants at September 30, 2019 amounts to approximately $144,000 and is expected to be recognized over a weighted average period of approximately 1.03 years.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recognized approximately $168,000 of compensation expense for the current quarter and current nine months, related to certain senior management bonuses payable in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2011 Equity Incentive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2019, there were 1,890,346 shares of common stock available for issuance under the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2019, there were 10,359,786 shares of common stock reserved for issuance pursuant to unexercised warrants and stock options, or available for issuance under the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18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5460" w:type="dxa"/>
            <w:vAlign w:val="bottom"/>
          </w:tcPr>
          <w:p>
            <w:pPr>
              <w:spacing w:after="0"/>
              <w:rPr>
                <w:sz w:val="20"/>
                <w:szCs w:val="20"/>
                <w:color w:val="auto"/>
              </w:rPr>
            </w:pP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0"/>
        </w:trPr>
        <w:tc>
          <w:tcPr>
            <w:tcW w:w="5460" w:type="dxa"/>
            <w:vAlign w:val="bottom"/>
          </w:tcPr>
          <w:p>
            <w:pPr>
              <w:spacing w:after="0"/>
              <w:rPr>
                <w:sz w:val="23"/>
                <w:szCs w:val="23"/>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3"/>
                <w:szCs w:val="23"/>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3"/>
                <w:szCs w:val="23"/>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3"/>
                <w:szCs w:val="23"/>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4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18,975,265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18,266,202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18,839,424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18,304,608</w:t>
            </w: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exercise of warrants</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w:t>
            </w:r>
          </w:p>
        </w:tc>
      </w:tr>
      <w:tr>
        <w:trPr>
          <w:trHeight w:val="27"/>
        </w:trPr>
        <w:tc>
          <w:tcPr>
            <w:tcW w:w="5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exercise of stock options</w:t>
            </w: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5,180</w:t>
            </w:r>
          </w:p>
        </w:tc>
      </w:tr>
      <w:tr>
        <w:trPr>
          <w:trHeight w:val="257"/>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18,975,265</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18,267,043</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18,840,149</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18,310,654</w:t>
            </w:r>
          </w:p>
        </w:tc>
      </w:tr>
      <w:tr>
        <w:trPr>
          <w:trHeight w:val="20"/>
        </w:trPr>
        <w:tc>
          <w:tcPr>
            <w:tcW w:w="5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net loss presented for the current quarter, the Company calculated diluted earnings per share using basic weighted average shares outstanding for such period, as utilizing diluted shares would be anti-dilutive to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diluted EPS excludes the following potentially dilutive securities because their inclusion would be anti-dilutive: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0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5440" w:type="dxa"/>
            <w:vAlign w:val="bottom"/>
          </w:tcPr>
          <w:p>
            <w:pPr>
              <w:spacing w:after="0"/>
              <w:rPr>
                <w:sz w:val="20"/>
                <w:szCs w:val="20"/>
                <w:color w:val="auto"/>
              </w:rPr>
            </w:pPr>
          </w:p>
        </w:tc>
        <w:tc>
          <w:tcPr>
            <w:tcW w:w="21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0"/>
        </w:trPr>
        <w:tc>
          <w:tcPr>
            <w:tcW w:w="5440" w:type="dxa"/>
            <w:vAlign w:val="bottom"/>
          </w:tcPr>
          <w:p>
            <w:pPr>
              <w:spacing w:after="0"/>
              <w:rPr>
                <w:sz w:val="23"/>
                <w:szCs w:val="23"/>
                <w:color w:val="auto"/>
              </w:rPr>
            </w:pPr>
          </w:p>
        </w:tc>
        <w:tc>
          <w:tcPr>
            <w:tcW w:w="14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100" w:type="dxa"/>
            <w:vAlign w:val="bottom"/>
          </w:tcPr>
          <w:p>
            <w:pPr>
              <w:spacing w:after="0"/>
              <w:rPr>
                <w:sz w:val="23"/>
                <w:szCs w:val="23"/>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4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and warrants</w:t>
            </w:r>
          </w:p>
        </w:tc>
        <w:tc>
          <w:tcPr>
            <w:tcW w:w="14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8,469,440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4,491,024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8,419,375</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4,491,024</w:t>
            </w:r>
          </w:p>
        </w:tc>
      </w:tr>
      <w:tr>
        <w:trPr>
          <w:trHeight w:val="20"/>
        </w:trPr>
        <w:tc>
          <w:tcPr>
            <w:tcW w:w="5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Income Tax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current quarter and the prior year quarter was approximately 333% and 14%, respectively, resulting in an income tax provision of $0.14 million and $0.16 million,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current nine months and the prior year nine months was approximately 40% and 56%, respectively, resulting in an income tax provision of $1.28 million and $1.72 million,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current quarter, the effective tax rate was primarily attributable to the tax impact from the vesting of restricted shares of common stock, which was treated as a discrete item for tax purposes; this item increased the effective rate by approximately 291%. The federal statutory rate also differed from the effective tax rate due to state taxes and recurring permanent differences, which increased the effective tax rate by approximately 8.41% and 11.84%,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prior year quarter, the federal statutory rate differed from the effective tax rate primarily due to state taxes and recurring permanent differences, which increased (decreased) the effective tax rate by approximately 3.64% and (11.15)%,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current nine months, the federal statutory rate differed from the effective tax rate primarily due to state taxes and recurring permanent differences, which increased the effective tax rate by approximately 9.43% and 9.49%, respectively. The effective tax</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 was also partly attributable to the tax impact from the vesting of restricted shares of common stock, which was treated as a discrete item for tax purposes; this item increased the effective rate by approximately 3.80%.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prior year nine months, the effective tax rate was primarily attributable to the tax impact from the vesting of restricted shares of common stock, which was treated as a discrete item for tax purposes; this item increased the effective rate by approximately 20.37%. The federal statutory rate also differed from the effective tax rate due to state taxes and recurring permanent differences, which increased the effective tax rate by approximately 9.49% and 4.75%,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Cuts and Jobs Act (“the Act”) was enacted on December 22, 2017. The income tax effects of changes in tax laws are recognized in the period when enacted. The Act provides for numerous significant tax law changes and modifications with varying effective dates, which include reducing the U.S. federal corporate income tax rate from a maximum of 35% to 21%, creating a territorial tax system (with a one-time mandatory repatriation tax on previously deferred foreign earnings), broadening the tax base, and allowing for immediate capital expensing of certain qualified property acquired and placed in service after September 27, 2017 and before January 1, 2023.</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enactment of the Act in late 2017, the SEC issued Staff Accounting Bulletin No. 118 (“SAB 118”), that permits filers to record provisional amounts during a measurement period ending no later than one year from the date of the Act’s enactment. As of December 31, 2018, the Company finalized its accounting for the income tax effects of the Act and had no change to its original estimates.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Benjamin Malka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 with the acquisition of the H Halston Brand on December 22, 2014, the Company and HIP entered into a license agreement (the “HIP License Agreement”), which was subsequently amended September 1, 2015. Benjamin Malka, who was a director of the Company, is a 25% equity holder of HIP’s parent company, HOH, and is the former Chief Executive Officer of HOH. Mr. Malka did not stand for re-election to the Board of Directors at the Company's annual meeting of stockholders held on September 12, 2019.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October 26, 2018, the Company was negotiating proposed new arrangements and operated under those terms as an at-will license as set forth below:</w:t>
      </w:r>
    </w:p>
    <w:p>
      <w:pPr>
        <w:spacing w:after="0" w:line="185" w:lineRule="exact"/>
        <w:rPr>
          <w:sz w:val="20"/>
          <w:szCs w:val="20"/>
          <w:color w:val="auto"/>
        </w:rPr>
      </w:pPr>
    </w:p>
    <w:p>
      <w:pPr>
        <w:jc w:val="both"/>
        <w:ind w:left="660" w:hanging="490"/>
        <w:spacing w:after="0" w:line="254"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 Trademark Usage and Royalty Participation Agreement had an initial term that expired on December 31, 2020 unless sooner terminated or renewed, and Xcel shall pay to HIP: (i) 50% of the excess H Halston Royalty paid to Xcel under the DRT Licenses and any other third party licenses that Xcel may enter into; (ii) 25% of the excess developed brand royalty paid to Xcel for the Highline Collective Brand under the DRT Licenses, and 20% of the excess developed brand royalty paid to Xcel for any subsequent developed brand under the DRT Licenses, and (iii) 10% of the excess private label brand royalty paid to Xcel under the DRT Licenses and during the first term only of the DRT Licenses. Additionally, Xcel has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was payable by Xcel and at Xcel's sole discretion either (a) in cash, or (b)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w:t>
      </w:r>
    </w:p>
    <w:p>
      <w:pPr>
        <w:spacing w:after="0" w:line="14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and supply agreement with the Halston Operating Company, LLC (“HOC”), a subsidiary of HOH, with an initial term ending on January 31, 2022, subject to renewal. Under the HOC at-will license and supply agreement, HOC shall provide licensed products for sale to pre-approved retailers, including HBC and Dillard’s, and was also responsible for overseeing the visual merchandising and in-store retail environments for such approved retailers, as well as for training and oversight of any retail staff responsible for selling the licensed products within HBC and Dillard’s, as reasonably agreed upon between HOC and HBC and Dillard’s. The HOC at-will license and supply agreement provides for, among other things, design fees of $1.2 million for the period from July 1, 2017 through December 31, 2018, subsequent design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ind w:left="660"/>
        <w:spacing w:after="0" w:line="329" w:lineRule="auto"/>
        <w:rPr>
          <w:sz w:val="20"/>
          <w:szCs w:val="20"/>
          <w:color w:val="auto"/>
        </w:rPr>
      </w:pPr>
      <w:r>
        <w:rPr>
          <w:rFonts w:ascii="Times New Roman" w:cs="Times New Roman" w:eastAsia="Times New Roman" w:hAnsi="Times New Roman"/>
          <w:sz w:val="18"/>
          <w:szCs w:val="18"/>
          <w:color w:val="auto"/>
        </w:rPr>
        <w:t>fees of $2.4 million for the contractual yearly periods ending on January 31, 2019, and on December 31, 2020, 2021, and 2022, respectively, and sales-based royalties on the categories of products licensed under the agreement and the contractual year of payment.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October 26, 2018, the Company and HOH terminated the HIP License Agreement including all amendments, and the HIP Sublicense Agreement. In addition, the at-will license was terminated and no longer in effect as of October 26, 2018.</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at-will license, the Company recorded approximately $0 and $0.59 million of revenue from HOC for the current quarter and the prior year quarter, respectively. The Company recorded approximately $0 and $1.81 million of revenue from HOC for the current nine months and prior year nine months, respectively. The Company had a receivable balance of $0 and $1.5 million due from HOC as of September 30, 2019 and December 31, 2018, respectively.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Closing Date, the Company and its wholly owned subsidiary, H Heritage Licensing, LLC, completed the acquisition of the Halston Heritage Trademarks. See Note 3, "Acquisition of Halston Heritage Trademarks".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12, 2019, Longaberger Licensing, LLC, a recently formed 50/50 joint venture between Xcel and Hilco Baskets, LLC, completed the acquisition of certain intellectual property assets of the Longaberger brand. The total purchase price for such assets, including trademarks, designs, and other intellectual property rights, was $750,000. Per the terms of the joint venture arrangement between Xcel and Hilco Baskets, LLC, the Company initially contributed $375,000 of cash to the joint venture, and will also be responsible for contributing an estimated $50,000 to the joint venture to fund nominal working capital needs. Products under the Longaberger brand are scheduled to commence selling on QVC in November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The statements that are not historical facts contained in this report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2018.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Xcel Brands, Inc. (“Xcel,” the “Company,” “we,” “us,” or “our”) is a media and consumer products company engaged in the design, production, marketing, wholesale, and direct-to-consumer sales of branded apparel, footwear, accessories, jewelry, home goods and other consumer products, and the acquisition of dynamic consumer lifestyle brands. Xcel was founded by Robert W. D'Loren in 2011 with a vision to reimagine shopping, entertainment, and social as one. The Company owns and manages the Isaac Mizrahi brands (the "Isaac Mizrahi Brand"), the Judith Ripka brands (the "Ripka Brand"), the Halston brands ("Halston Brand"), the C Wonder brands (the "C Wonder Brand"), and other proprietary brands, pioneering a ubiquitous sales strategy which includes the promotion and sales of products under its brands through interactive television, internet, brick-and-mortar retail, and e-commerce channels. Headquartered in New York City, Xcel is led by an executive team with significant production, merchandising, design, marketing, retailing, and licensing experience, and a proven track record of success in elevating branded consumer product companies. With an experienced team of professionals focused on design, production, and digital marketing, Xcel maintains control of product quality and promotion across all of its product categories and distribution channels.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expand our wholesale and direct-to-consumer businesses. Our objective is to build a diversified portfolio of lifestyle consumer brands through organic growth and the strategic acquisition of new brands. To grow our brands, we are focused on following primary strategies:</w:t>
      </w:r>
    </w:p>
    <w:p>
      <w:pPr>
        <w:spacing w:after="0" w:line="12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our brands to retailers that sell to the end consumer (wholesale);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our brands through our e-commerce site directly to the end consumer;</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for distribution through interactive television (i.e. QVC, The Shopping Channel) whereby we design, manage production, merchandise the shows, and manage the on-air talent;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 and</w:t>
      </w:r>
    </w:p>
    <w:p>
      <w:pPr>
        <w:spacing w:after="0" w:line="121" w:lineRule="exact"/>
        <w:rPr>
          <w:rFonts w:ascii="Times New Roman" w:cs="Times New Roman" w:eastAsia="Times New Roman" w:hAnsi="Times New Roman"/>
          <w:sz w:val="18"/>
          <w:szCs w:val="18"/>
          <w:color w:val="auto"/>
        </w:rPr>
      </w:pPr>
    </w:p>
    <w:p>
      <w:pPr>
        <w:ind w:right="180" w:firstLine="332"/>
        <w:spacing w:after="0" w:line="501"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quickly integrate additional brands into our platform and leverage our design, production and marketing capabilities, and distribution relationships. We believe that we offer a unique value proposition to our retail and direct-to-consumer customers, and our licensees for the following reasons: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fast-to-market supply chain and integrated technology platform enables us to design and distribute trend-right product;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strategy, significant media and internet presence, and distribution network.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strategy distinguishes us from other consumer product wholesale companies and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multiple distribution channels.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vision is intended to reimagine shopping, entertainment, and social as one. By leveraging digital and social media content across all distribution channels, we seek to drive consumer engagement and generate retail sales across our brands. Our strong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relationships with leading retailers and interactive television companies and cable networks enable us to reach consumers in over 400 million homes worldwide and hundreds of millions of social media followers.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ubiquitous sales strategy provides significant competitive advantages compared with traditional wholesale apparel companies that design, manufacture, and distribute products. We focus on our core competencies of design, integrated technologies, fast-to-market production, marketing, and brand development. We believe that we offer a 360-degree solution to our retail partners that addresses many of the challenges facing the retail industry today. We believe our platform is highly scalable. Additionally, we believe we can quickly integrate additional brands into our platform in order to leverage our design, production, marketing capabilities, and distribution network.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2019 (the “current quarter”) compared with the three months ended September 30, 2018 (the “prior year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quarter net revenue increased approximately $2.6 million to $10.9 million from $8.3 million for the prior year quarter.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jewelry wholesale and e-commerce sales and apparel wholesale sales contributed approximately $4.5 million to net revenue in the current quarter, compared with $0.4 million in the prior year quarter. This increase in sales was primarily attributable to the launch of our apparel wholesale business in November 2018, as well as growth in our Judith Ripka Fine Jewelry e-commerce business.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licensing revenue decreased by approximately $1.4 million in the current quarter to $6.4 million, compared with $7.8 million in the prior year quarter. This decline was primarily driven by (i) revenues from one of our existing licensing arrangements changing from guaranteed minimum amounts to sales-based royalties effective April 1, 2019, and (ii) a decrease in design and service fees in our department store business attributable to the transition from a licensing model to a wholesale model. Partially offsetting these declines were revenues recognized in the current quarter related to the recently acquired Halston Heritage trademarks.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3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Current quarter cost of goods sold was $3.0 million, compared with $0.2 million for the prior year quarter due to higher volume of wholesale and e-commerce sales in the current quarter.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(which includes cost of goods sold) was approximately $8.0 million in both the current quarter and prior year quarter, as the decrease in net licensing revenue was almost completely offset by an increase in net margin from product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costs and expenses increased approximately $1.0 million, from $6.6 million in the prior year quarter to $7.6 million in the current quarter. This increase was primarily attributable to an increase in amortization expense of approximately $0.5 million related to our intangible assets, resulting from the change in the previously owned Halston trademarks from indefinite-lived assets to a finite-lived assets, and the acquisition of the Halston and Halston Heritage trademarks, also determined to be finite-lived assets. Also contributing to the overall increase in operating costs were increased salary expenses, information technology costs, and shipping and packaging costs, all related to the transition and scaling of portions of our business from a licensing model to a wholesale model.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and finance expense for the current quarter was $0.33 million, compared with $0.26 million for the prior year quarter. This increase is attributable to the February 11, 2019 term loan amendment, which resulted in a higher outstanding principal balance as compared with the prior year quarter, as well as a higher interest rate than under the previous term loan.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current quarter and the prior year quarter was approximately 333% and 14%, respectively, resulting in an income tax provision of $0.14 million and $0.16 million, respectively.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current quarter, the effective tax rate was primarily attributable to the tax impact from the vesting of restricted shares of common stock, which was treated as a discrete item for tax purposes; this item increased the effective rate by approximately 291%. The federal statutory rate also differed from the effective tax rate due to state taxes and recurring permanent differences, which increased the effective tax rate by approximately 8.41% and 11.84%,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prior year quarter, the federal statutory rate differed from the effective tax rate primarily due to state taxes and recurring permanent differences, which increased (decreased) the effective tax rate by approximately 3.64% and (11.15%),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a net loss of $(0.10) million for the current quarter, compared with net income of $0.98 million for the prior year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non-GAAP net income of approximately $1.2 million, or $0.07 per diluted share (“non-GAAP diluted EPS”), for the current quarter and $1.9 million, or $0.10 per diluted share, for the prior year quarter. Non-GAAP net income is a non-GAAP unaudited term, which we define as net income (loss), exclusive of amortization of trademarks, stock-based compensation, non-cash interest and finance expense from discounted debt related to acquired assets, loss on extinguishment of debt, gain on reduction of contingent obligations, costs in connection with potential acquisitions, and deferred income taxes. Non-GAAP net income and non-GAAP diluted EPS measures do not include the tax effect of the aforementioned adjusting items, due to the nature of these items and the Company’s tax strategy. Prior to 2019, the Company did not adjust non-GAAP net income and non-GAAP EPS for the amortization of trademarks or costs in connection with potential acquisitions.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Adjusted EBITDA of $1.8 million for the current quarter, compared with Adjusted EBITDA of $2.3 million for the prior year quarter. Adjusted EBITDA is a non-GAAP unaudited measure, which we define as net income (loss) before stock-based compensation, costs in connection with potential acquisitions, interest and finance expense, loss on extinguishment of debt, gain on reduction of contingent obligation, income taxes, other state and local franchise taxes, and depreciation and amortization. Prior to 2019, the Company did not adjust Adjusted EBITDA for costs in connection with potential acquisitions.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net (loss) income (our most directly comparable financial measure presented in accordance with GAAP)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44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42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3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in connection with potential acquisition</w:t>
            </w:r>
          </w:p>
        </w:tc>
        <w:tc>
          <w:tcPr>
            <w:tcW w:w="3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net income</w:t>
            </w:r>
          </w:p>
        </w:tc>
        <w:tc>
          <w:tcPr>
            <w:tcW w:w="4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diluted (loss) earnings per share (our most directly comparable financial measure presented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to non-GAAP diluted EPS:</w:t>
      </w:r>
    </w:p>
    <w:p>
      <w:pPr>
        <w:spacing w:after="0" w:line="149"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0.05</w:t>
            </w:r>
          </w:p>
        </w:tc>
      </w:tr>
      <w:tr>
        <w:trPr>
          <w:trHeight w:val="243"/>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in connection with potential acquisition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diluted EPS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weighted average diluted shares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19,559,816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18,267,043</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income (our most directly comparable financial measure presented in accordance with GAAP) to Adjusted EBITDA: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44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42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3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3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in connection with potential acquisition</w:t>
            </w: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57"/>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388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76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2019 (the “current nine months”) compared with the nine months ended September 30, 2018 (the “prior year nine months”)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nine months net revenue increased approximately $4.9 million to $30.4 million from $25.5 million for the prior year nine months.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jewelry wholesale and e-commerce sales and apparel wholesale sales contributed approximately $9.3 million to net revenue in the current nine months, compared with $1.1 million in the prior year nine months. This increase in sales was primarily attributable to the launch of our apparel wholesale business in November 2018, as well as growth in our Judith Ripka Fine Jewelry e-commerce business.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licensing revenue decreased by approximately $3.3 million in the current nine months to $21.1 million, compared with $24.4 million in the prior year nine months. This decline was primarily driven by (i) revenues from one of our existing licensing arrangements changing from guaranteed minimum amounts to sales-based royalties effective April 1, 2019, and (ii) a decrease in design and service fees in our department store business attributable to the transition from a licensing model to a wholesale model. These declines were partially offset by growth in both other existing and new licensing arrangements, as well as revenues recognized in the current nine months related to the recently acquired Halston Heritage trademarks.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 nine months cost of goods sold was $6.5 million, compared with $0.6 million for the prior year nine months due to higher volume of wholesale and e-commerce sales in the current nine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nine months gross profit (which includes cost of goods sold) decreased approximately $(1.1) million to $23.8 million from $24.9 million for the prior year nine months. This decrease was primarily attributable to the decrease in net licensing revenue, partially offset by an increase in net margin from product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costs and expenses increased approximately $1.4 million to $22.4 million for the current nine months from approximately $21.0 million in the prior year nine months. This increase was primarily attributable to an increase in amortization expense of our intangible assets, due to the change in the previously owned Halston trademarks from indefinite lived-assets to a finite lived-assets, and the acquisition of the Halston and Halston Heritage trademarks, also determined to be finite-lived assets. Also contributing to the overall increase in operating costs were higher information technology costs and shipping and packaging costs, related to the transition and scaling of portions of our business from a licensing model to a wholesale model. These increases were partially offset by reductions in stock-based compensation.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current nine months, we recognized a $2.85 million gain on the reduction of contingent obligations related to the 2015 acquisition of the C Wonder Brand. As part of that acquisition, the seller was eligible to earn additional consideration based on future royalties related to the C Wonder Brand exceeding certain thresholds, and we recorded a liability for the potential future payment of such consideration. The final earn-out period ended on June 30, 2019, and the seller ultimately did not earn any additional consideration under the terms of the purchase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and finance expense for the current nine months was $1.16 million, compared with $0.81 million for the prior year nine months. This increase is attributable to the February 11, 2019 term loan amendment, which resulted in (i) a $0.19 million loss on extinguishment of debt (consisting of unamortized deferred finance costs), (ii) a higher outstanding principal balance as compared with the prior year period, and (iii) a higher interest rate than under the previous term loan.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current nine months and the prior year nine months was approximately 40% and 56%, respectively, resulting in an income tax provision of $1.28 million and $1.72 million, respectively.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current nine months, the federal statutory rate differed from the effective tax rate primarily due to state taxes and recurring permanent differences, which increased the effective tax rate by approximately 9.43% and 9.49%, respectively. The effective tax rate was also partly attributable to the tax impact from the vesting of restricted shares of common stock, which was treated as a discrete item for tax purposes; this item increased the effective rate by approximately 3.80%.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prior year nine months, the effective tax rate was primarily attributable to the tax impact from the vesting of restricted shares of common stock, which was treated as a discrete item for tax purposes; this item increased the effective rate by approximately 20.37%. The federal statutory rate also differed from the effective tax rate due to state taxes and recurring permanent differences, which increased the effective tax rate by approximately 9.49% and 4.75%,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net income of $1.88 million for the current nine months, compared with $1.37 million for the prior year nine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non-GAAP net income of approximately $3.8 million, or $0.20 per diluted share, for the current nine months and $5.3 million, or $0.29 per diluted share, for the prior year nine months. We had Adjusted EBITDA of $5.6 million for the current nine months, compared with Adjusted EBITDA of $6.7 million for the prior year nine months.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income (our most directly comparable financial measure presented in accordance with GAAP) to non-GAAP net income: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r>
      <w:tr>
        <w:trPr>
          <w:trHeight w:val="270"/>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in connection with potential 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5,304</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diluted earnings per share (our most directly comparable financial measure presented in accordance with GAAP) to non-GAAP diluted EPS:</w:t>
      </w:r>
    </w:p>
    <w:p>
      <w:pPr>
        <w:spacing w:after="0" w:line="104"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243"/>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in connection with potential acquisition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diluted EPS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0.29</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1"/>
        </w:trPr>
        <w:tc>
          <w:tcPr>
            <w:tcW w:w="8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Non-GAAP weighted average diluted shares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18,840,149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18,310,654</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income (our most directly comparable financial measure presented in accordance with GAAP) to Adjusted EBITDA: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19"/>
        </w:trPr>
        <w:tc>
          <w:tcPr>
            <w:tcW w:w="1280" w:type="dxa"/>
            <w:vAlign w:val="bottom"/>
            <w:tcBorders>
              <w:top w:val="single" w:sz="8" w:color="0000EE"/>
            </w:tcBorders>
          </w:tcPr>
          <w:p>
            <w:pPr>
              <w:spacing w:after="0"/>
              <w:rPr>
                <w:sz w:val="24"/>
                <w:szCs w:val="24"/>
                <w:color w:val="auto"/>
              </w:rPr>
            </w:pP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r>
      <w:tr>
        <w:trPr>
          <w:trHeight w:val="270"/>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12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1,323</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Costs in connection with potential acquisition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w:t>
            </w: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28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reduction of contingent obligation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6,714</w:t>
            </w:r>
          </w:p>
        </w:tc>
      </w:tr>
      <w:tr>
        <w:trPr>
          <w:trHeight w:val="20"/>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acquire new brands, and to a lesser extent, capital expenditures. At September 30, 2019 and December 31, 2018, our cash and cash equivalents were $5.9 million and $8.8 million,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at September 30, 2019 consisted of $1.11 million of cash deposited with Bank Hapoalim B.M. (“BHI”) as collateral for an irrevocable standby letter of credit associated with the lease of our current corporate office and operating facilities. Restricted cash at December 31, 2018 consisted of (i) $1.11 million of cash deposited with BHI as collateral for an irrevocable standby letter of credit associated with the lease of our current corporate office and operating facilities, and (ii) $0.40 million of cash held as a security deposit for the sublease of our former corporate offices by us to a third-party subtenant.</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existing cash and operating cash flows will be adequate to meet our operating needs, term debt service obligations, and capital expenditure needs, for at least the twelve months subsequent to the filing date of this Quarterly Report on Form 10-Q.</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contingent obligation related to the Halston Heritage Brand (see Note 3 and Note 6 in the Unaudited Condensed Consolidated Financial Statements) is generally required to be paid in shares, subject to certain limitations. Payment of this obligation in stock would not affect our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Working Capital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working capital (current assets less current liabilities, excluding the current portion of operating lease obligations and any contingent obligations payable in common stock) was $8.7 million and $10.7 million as of September 30, 2019 and December 31, 2018, respectively. Working capital decreased by approximately $(2.0) million during the first nine months of 2019 primarily due to cash used in the acquisition of the Halston Heritage trademarks (see Note 3 in the Unaudited Condensed Consolidated Financial Statements).</w:t>
      </w:r>
    </w:p>
    <w:p>
      <w:pPr>
        <w:spacing w:after="0" w:line="140" w:lineRule="exact"/>
        <w:rPr>
          <w:sz w:val="20"/>
          <w:szCs w:val="20"/>
          <w:color w:val="auto"/>
        </w:rPr>
      </w:pPr>
    </w:p>
    <w:p>
      <w:pPr>
        <w:ind w:right="1200"/>
        <w:spacing w:after="0" w:line="454" w:lineRule="auto"/>
        <w:rPr>
          <w:sz w:val="20"/>
          <w:szCs w:val="20"/>
          <w:color w:val="auto"/>
        </w:rPr>
      </w:pPr>
      <w:r>
        <w:rPr>
          <w:rFonts w:ascii="Times New Roman" w:cs="Times New Roman" w:eastAsia="Times New Roman" w:hAnsi="Times New Roman"/>
          <w:sz w:val="18"/>
          <w:szCs w:val="18"/>
          <w:color w:val="auto"/>
        </w:rPr>
        <w:t xml:space="preserve">Commentary on the components of our cash flows for the current nine months as compared with the prior year nine months is set forth below. </w:t>
      </w:r>
      <w:r>
        <w:rPr>
          <w:rFonts w:ascii="Times New Roman" w:cs="Times New Roman" w:eastAsia="Times New Roman" w:hAnsi="Times New Roman"/>
          <w:sz w:val="18"/>
          <w:szCs w:val="18"/>
          <w:b w:val="1"/>
          <w:bCs w:val="1"/>
          <w:i w:val="1"/>
          <w:iCs w:val="1"/>
          <w:color w:val="auto"/>
        </w:rPr>
        <w:t>Operating Activities</w:t>
      </w: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$3.01 million in the current nine months, compared with net cash provided by operating activities of approximately $4.71 million in the prior year nine months.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nine months cash provided by operating activities was primarily attributable to the combination of net income of $1.88 million plus non-cash expenses of approximately $2.32 million, partially offset by a net change in operating assets and liabilities of approximately $(1.20) million. Non-cash net expenses were primarily comprised of $0.78 million of stock-based compensation,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08"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$2.94 million of depreciation and amortization, loss on extinguishment of debt of $0.19 million, deferred income tax provision of $1.28 million, and gain on reduction of contingent obligations of $(2.85) million. The net change from operating assets and liabilities includes a decrease in accounts receivable of $1.18 million, an increase in inventory of approximately $(0.09) million, an increase in prepaid expenses and other assets of $(0.01) million, a decrease in accounts payable, accrued expenses and other current liabilities of $(1.74) million, and a decrease in other liabilities of $(0.20) million, all of which are primarily due to timing of collections and payments, and cash paid in excess of rent expense of $(0.34) million.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prior year nine months cash provided by operating activities was primarily attributable to the combination of net income of $1.37 million plus non-cash expenses of approximately $4.62 million and a net change in operating assets and liabilities of approximately $(1.27) million. Non-cash net expenses mainly consisted of $1.72 million of deferred income tax provision, $1.42 million of stock-based compensation, $1.32 million of depreciation and amortization, and non-cash interest and other finance costs of $0.16 million. The net change in operating assets and liabilities included a net increase in accounts receivable of $(1.11) million, an increase in accounts payable, accrued expenses and other current liabilities of $0.97 million, all primarily due to timing of collections and payments, an increase in inventory attributable to our jewelry wholesale and e-commerce operations of approximately $(0.92) million, and a decrease in other liabilities of $(0.15) million attributable to accrued rent.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current nine months was approximately $(9.7) million, compared with approximately $(1.1) million in the prior year nine months. Cash used in investing activities for the current nine months was primarily related to cash consideration paid to acquire the Halston Heritage Brands. Cash used in investing activities for in the prior year nine months was primarily attributable to capital expenditures.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(used in) financing activities for the current nine months was approximately $3.4 million, and was primarily attributable to proceeds received from long-term debt of $7.5 million, partially offset by payments made on long-term debt of $(3.0) million, the final payment on the IM Seller Note obligation of $(0.74) million, and payment of $(0.32) million of deferred finance costs.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prior year nine months was approximately $(5.16) million, primarily attributable to payments on our senior term debt obligation of $(3.0) million, payment on our IM Seller Note obligation of approximately $(1.5) million, and shares repurchased related to vested restricted stock in exchange for withholding taxes of $(0.70)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seek to expand and diversify the types of products being produced under our brands. We plan to continue to diversify the distribution channels within which products are sold, in an effort to reduce dependence on any particular retailer, consumer, or market sector within each of our brands.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expand our Judith Ripka Fine Jewelry wholesale and e-commerce business, and in November 2018, we transitioned our department store business from a licensing model to a wholesale model. Our strategy is to manage our working capital needs by utilizing back-to-back sales and purchase orders and minimizing inventory risk. This change should increase our total and net revenues as compared to the licensing model.</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continue to seek new opportunities, including expansion through interactive television, our “virtual vertical” production platform, additional domestic and international licensing arrangements, and acquiring additional brands. In November 2019, we acquired an ownership interest in the Longaberger brand through a 50/50 joint venture. The Longaberger brand launched on QVC November 13, 2019. We are actively pursuing the potential acquisition of other brands and business operations which we believe are synergistic to our existing portfolio of brands and our operating platform, and are complementary to our overall strategy.</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however, will still remain largely dependent on our ability to build and maintain our brands’ awareness and contract with and retain key licensees and retail relationships, as well as both our and our licensees’ ability to accurately predict upcoming fashion and design trends within our respective customer bases and fulfill the product requirements of their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Please refer to our Annual Report on Form 10-K for the year ended December 31, 2018, filed with the SEC on April 1, 2019, for a discussion of our critical accounting policies. Additionally, as described more fully in Note 1 and Note 5 of the Unaudited Condensed Consolidated Financial Statements in this Form 10-Q, we adopted a new accounting standard on January 1, 2019 related to leases, which included the election of certain accounting policies and practical expedients under this new standard. During the three and nine months ended September 30, 2019, there were no other material changes to our accounting policies.</w:t>
      </w:r>
    </w:p>
    <w:p>
      <w:pPr>
        <w:spacing w:after="0" w:line="1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September 30, 2019, the end of the period covered by this report. Based on, and as of the date of such evaluation, the Chief Executive Officer and the Chief Financial Officer have concluded that our disclosure controls and procedures were effective as of September 30, 2019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not been any significant changes in our internal control over financial reporting (as defined in Rules 13a-15(f) and 15d-15(f) under the Exchange Act) during the fiscal quarter ended September 30, 2019 that have materially affected, or are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3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Risk Factors set forth in Part I, Item 1A, “Risk Factors” of our Annual Report on Form 10-K for the year ended December 31, 2018, set forth below are certain factors which could affect our financial condition and operating results. We operate in a highly competitive industry that involves numerous known and unknown risks and uncertainties that could impact our operations. The risks described in Part I, Item 1A, “Risk Factors” of our Annual Report on Form 10-K for the year ended December 31, 2018 are not the only risks we face. Additional risks and uncertainties not currently known to us or that we currently deem to be immaterial also may materially adversely affect our financial condition and/or operating results.</w:t>
      </w:r>
    </w:p>
    <w:p>
      <w:pPr>
        <w:spacing w:after="0" w:line="1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or registered securities during the three and nine months ended September 30, 2019.</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171" w:lineRule="exact"/>
        <w:rPr>
          <w:sz w:val="20"/>
          <w:szCs w:val="20"/>
          <w:color w:val="auto"/>
        </w:rPr>
      </w:pPr>
    </w:p>
    <w:p>
      <w:pPr>
        <w:ind w:left="68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31.1 Rule 13a-14(a)/15d-14(a) Certification (CEO)</w:t>
        </w:r>
      </w:hyperlink>
    </w:p>
    <w:p>
      <w:pPr>
        <w:spacing w:after="0" w:line="63" w:lineRule="exact"/>
        <w:rPr>
          <w:sz w:val="20"/>
          <w:szCs w:val="20"/>
          <w:color w:val="auto"/>
        </w:rPr>
      </w:pPr>
    </w:p>
    <w:p>
      <w:pPr>
        <w:ind w:left="68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31.2 Rule 13a-14(a)/15d-14(a) Certification (CFO)</w:t>
        </w:r>
      </w:hyperlink>
    </w:p>
    <w:p>
      <w:pPr>
        <w:spacing w:after="0" w:line="63" w:lineRule="exact"/>
        <w:rPr>
          <w:sz w:val="20"/>
          <w:szCs w:val="20"/>
          <w:color w:val="auto"/>
        </w:rPr>
      </w:pPr>
    </w:p>
    <w:p>
      <w:pPr>
        <w:ind w:left="680"/>
        <w:spacing w:after="0"/>
        <w:rPr>
          <w:rFonts w:ascii="Times New Roman" w:cs="Times New Roman" w:eastAsia="Times New Roman" w:hAnsi="Times New Roman"/>
          <w:sz w:val="18"/>
          <w:szCs w:val="18"/>
          <w:u w:val="single" w:color="auto"/>
          <w:color w:val="0000FF"/>
        </w:rPr>
      </w:pPr>
      <w:hyperlink w:anchor="page41">
        <w:r>
          <w:rPr>
            <w:rFonts w:ascii="Times New Roman" w:cs="Times New Roman" w:eastAsia="Times New Roman" w:hAnsi="Times New Roman"/>
            <w:sz w:val="18"/>
            <w:szCs w:val="18"/>
            <w:u w:val="single" w:color="auto"/>
            <w:color w:val="0000FF"/>
          </w:rPr>
          <w:t>32.1 Section 1350 Certification (CEO)</w:t>
        </w:r>
      </w:hyperlink>
    </w:p>
    <w:p>
      <w:pPr>
        <w:spacing w:after="0" w:line="63" w:lineRule="exact"/>
        <w:rPr>
          <w:sz w:val="20"/>
          <w:szCs w:val="20"/>
          <w:color w:val="auto"/>
        </w:rPr>
      </w:pPr>
    </w:p>
    <w:p>
      <w:pPr>
        <w:ind w:left="680"/>
        <w:spacing w:after="0"/>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32.2 Section 1350 Certification (CFO)</w:t>
        </w:r>
      </w:hyperlink>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101.DEF XBRL Taxonomy Extension Definitions Linkbase Document</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101.LAB XBRL Taxonomy Extension Label Linkbase Document</w:t>
      </w:r>
    </w:p>
    <w:p>
      <w:pPr>
        <w:spacing w:after="0" w:line="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101.PRE XBRL Taxonomy Extension Presentation Linkbase Document</w:t>
      </w:r>
    </w:p>
    <w:p>
      <w:pPr>
        <w:spacing w:after="0" w:line="29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219"/>
          </w:cols>
          <w:pgMar w:left="240" w:top="121" w:right="1440"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2019</w:t>
            </w: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27"/>
        </w:trPr>
        <w:tc>
          <w:tcPr>
            <w:tcW w:w="3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Robert W. D’Loren</w:t>
            </w:r>
          </w:p>
        </w:tc>
      </w:tr>
      <w:tr>
        <w:trPr>
          <w:trHeight w:val="270"/>
        </w:trPr>
        <w:tc>
          <w:tcPr>
            <w:tcW w:w="37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540"/>
        </w:trPr>
        <w:tc>
          <w:tcPr>
            <w:tcW w:w="3720" w:type="dxa"/>
            <w:vAlign w:val="bottom"/>
          </w:tcPr>
          <w:p>
            <w:pPr>
              <w:spacing w:after="0"/>
              <w:rPr>
                <w:sz w:val="24"/>
                <w:szCs w:val="24"/>
                <w:color w:val="auto"/>
              </w:rPr>
            </w:pPr>
          </w:p>
        </w:tc>
        <w:tc>
          <w:tcPr>
            <w:tcW w:w="27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Haran</w:t>
            </w:r>
          </w:p>
        </w:tc>
      </w:tr>
      <w:tr>
        <w:trPr>
          <w:trHeight w:val="27"/>
        </w:trPr>
        <w:tc>
          <w:tcPr>
            <w:tcW w:w="3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James Haran</w:t>
            </w:r>
          </w:p>
        </w:tc>
      </w:tr>
      <w:tr>
        <w:trPr>
          <w:trHeight w:val="270"/>
        </w:trPr>
        <w:tc>
          <w:tcPr>
            <w:tcW w:w="37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702"/>
        </w:trPr>
        <w:tc>
          <w:tcPr>
            <w:tcW w:w="3720" w:type="dxa"/>
            <w:vAlign w:val="bottom"/>
          </w:tcPr>
          <w:p>
            <w:pPr>
              <w:spacing w:after="0"/>
              <w:rPr>
                <w:sz w:val="24"/>
                <w:szCs w:val="24"/>
                <w:color w:val="auto"/>
              </w:rPr>
            </w:pPr>
          </w:p>
        </w:tc>
        <w:tc>
          <w:tcPr>
            <w:tcW w:w="27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36</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2019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640" w:val="left"/>
          <w:tab w:leader="none" w:pos="7440" w:val="left"/>
        </w:tabs>
        <w:rPr>
          <w:sz w:val="20"/>
          <w:szCs w:val="20"/>
          <w:color w:val="auto"/>
        </w:rPr>
      </w:pPr>
      <w:r>
        <w:rPr>
          <w:rFonts w:ascii="Times New Roman" w:cs="Times New Roman" w:eastAsia="Times New Roman" w:hAnsi="Times New Roman"/>
          <w:sz w:val="18"/>
          <w:szCs w:val="18"/>
          <w:color w:val="auto"/>
        </w:rPr>
        <w:t>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6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ectPr>
          <w:pgSz w:w="11900" w:h="16838" w:orient="portrait"/>
          <w:cols w:equalWidth="0" w:num="1">
            <w:col w:w="11420"/>
          </w:cols>
          <w:pgMar w:left="240" w:top="576"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2019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640" w:val="left"/>
          <w:tab w:leader="none" w:pos="7440" w:val="left"/>
        </w:tabs>
        <w:rPr>
          <w:sz w:val="20"/>
          <w:szCs w:val="20"/>
          <w:color w:val="auto"/>
        </w:rPr>
      </w:pPr>
      <w:r>
        <w:rPr>
          <w:rFonts w:ascii="Times New Roman" w:cs="Times New Roman" w:eastAsia="Times New Roman" w:hAnsi="Times New Roman"/>
          <w:sz w:val="18"/>
          <w:szCs w:val="18"/>
          <w:color w:val="auto"/>
        </w:rPr>
        <w:t>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Name: James Haran</w:t>
      </w:r>
    </w:p>
    <w:p>
      <w:pPr>
        <w:spacing w:after="0" w:line="6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p>
      <w:pPr>
        <w:sectPr>
          <w:pgSz w:w="11900" w:h="16838" w:orient="portrait"/>
          <w:cols w:equalWidth="0" w:num="1">
            <w:col w:w="11420"/>
          </w:cols>
          <w:pgMar w:left="240" w:top="576"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September 30, 2019 as filed with the Securities and Exchange Commission on the date hereof (the “Report”), I, Robert W. D’Loren,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6160" w:val="left"/>
          <w:tab w:leader="none" w:pos="6820" w:val="left"/>
        </w:tabs>
        <w:rPr>
          <w:sz w:val="20"/>
          <w:szCs w:val="20"/>
          <w:color w:val="auto"/>
        </w:rPr>
      </w:pPr>
      <w:r>
        <w:rPr>
          <w:rFonts w:ascii="Times New Roman" w:cs="Times New Roman" w:eastAsia="Times New Roman" w:hAnsi="Times New Roman"/>
          <w:sz w:val="18"/>
          <w:szCs w:val="18"/>
          <w:color w:val="auto"/>
        </w:rPr>
        <w:t>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34290</wp:posOffset>
            </wp:positionV>
            <wp:extent cx="2761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6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ectPr>
          <w:pgSz w:w="11900" w:h="16838" w:orient="portrait"/>
          <w:cols w:equalWidth="0" w:num="1">
            <w:col w:w="11420"/>
          </w:cols>
          <w:pgMar w:left="240" w:top="576"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September 30, 2019 as filed with the Securities and Exchange Commission on the date hereof (the “Report”), I, James Haran,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5700" w:val="left"/>
          <w:tab w:leader="none" w:pos="6460" w:val="left"/>
        </w:tabs>
        <w:rPr>
          <w:sz w:val="20"/>
          <w:szCs w:val="20"/>
          <w:color w:val="auto"/>
        </w:rPr>
      </w:pPr>
      <w:r>
        <w:rPr>
          <w:rFonts w:ascii="Times New Roman" w:cs="Times New Roman" w:eastAsia="Times New Roman" w:hAnsi="Times New Roman"/>
          <w:sz w:val="18"/>
          <w:szCs w:val="18"/>
          <w:color w:val="auto"/>
        </w:rPr>
        <w:t>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34290</wp:posOffset>
            </wp:positionV>
            <wp:extent cx="2838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5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Name: James Haran</w:t>
      </w:r>
    </w:p>
    <w:p>
      <w:pPr>
        <w:spacing w:after="0" w:line="6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1."/>
      <w:numFmt w:val="decimal"/>
      <w:start w:val="4"/>
    </w:lvl>
    <w:lvl w:ilvl="1">
      <w:lvlJc w:val="left"/>
      <w:lvlText w:val="•"/>
      <w:numFmt w:val="bullet"/>
      <w:start w:val="1"/>
    </w:lvl>
  </w:abstractNum>
  <w:abstractNum w:abstractNumId="5">
    <w:nsid w:val="7FDCC233"/>
    <w:multiLevelType w:val="hybridMultilevel"/>
    <w:lvl w:ilvl="0">
      <w:lvlJc w:val="left"/>
      <w:lvlText w:val="(%1)"/>
      <w:numFmt w:val="lowerRoman"/>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
      <w:numFmt w:val="bullet"/>
      <w:start w:val="1"/>
    </w:lvl>
    <w:lvl w:ilvl="1">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2019-12-28T01:40:44Z</dcterms:created>
  <dcterms:modified xsi:type="dcterms:W3CDTF">2019-12-28T01:40:44Z</dcterms:modified>
</cp:coreProperties>
</file>