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xelb-20221231x10k.htm"/>
        <w:bookmarkStart w:id="1" w:name="ksxelb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 w:name="_d4327cd4_e32c_447b_ae48_e85f3e590632"/>
      <w:bookmarkEnd w:id="2"/>
      <w:r>
        <w:rPr>
          <w:rFonts w:ascii="Times New Roman;Times;serif" w:hAnsi="Times New Roman;Times;serif"/>
          <w:b/>
          <w:sz w:val="20"/>
        </w:rPr>
        <w:t>UNITED STATES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spacing w:before="0" w:after="4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spacing w:before="0" w:after="0"/>
        <w:ind w:left="360" w:right="0" w:hanging="0"/>
        <w:jc w:val="both"/>
        <w:rPr/>
      </w:pPr>
      <w:r>
        <w:rPr/>
        <w:t>☒  </w:t>
      </w:r>
      <w:r>
        <w:rPr>
          <w:rFonts w:ascii="Times New Roman;Times;serif" w:hAnsi="Times New Roman;Times;serif"/>
          <w:b/>
          <w:sz w:val="20"/>
        </w:rPr>
        <w:t>ANNUAL REPORT PURSUANT TO SECTION 13 OR 15(d) OF THE SECURITIES EXCHANGE 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2022</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spacing w:before="0" w:after="0"/>
        <w:ind w:left="360" w:right="0" w:hanging="0"/>
        <w:jc w:val="both"/>
        <w:rPr/>
      </w:pPr>
      <w:r>
        <w:rPr/>
        <w:t>☐  </w:t>
      </w:r>
      <w:r>
        <w:rPr>
          <w:rFonts w:ascii="Times New Roman;Times;serif" w:hAnsi="Times New Roman;Times;serif"/>
          <w:b/>
          <w:sz w:val="20"/>
        </w:rPr>
        <w:t>TRANSITION REPORT UNDER SECTION 13 OR 15(d) OF THE SECURITIES EXCHANGE ACT OF 1934</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Commission File Number: 001-37527</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XCEL BRANDS,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3" w:name="Tc_ezMH9xiWvkecdQ4U-IF8aw_1_2"/>
      <w:bookmarkStart w:id="4" w:name="Tc_d0TlYJwWfUSIlsSTQ_ACYA_1_0"/>
      <w:bookmarkStart w:id="5" w:name="_4cf4c08d_c8c4_4626_bfdf_573a2c7311b3"/>
      <w:bookmarkStart w:id="6" w:name="Tc_ezMH9xiWvkecdQ4U-IF8aw_1_2"/>
      <w:bookmarkStart w:id="7" w:name="Tc_d0TlYJwWfUSIlsSTQ_ACYA_1_0"/>
      <w:bookmarkStart w:id="8" w:name="_4cf4c08d_c8c4_4626_bfdf_573a2c7311b3"/>
      <w:bookmarkEnd w:id="6"/>
      <w:bookmarkEnd w:id="7"/>
      <w:bookmarkEnd w:id="8"/>
    </w:p>
    <w:tbl>
      <w:tblPr>
        <w:tblW w:w="8398" w:type="dxa"/>
        <w:jc w:val="left"/>
        <w:tblInd w:w="0" w:type="dxa"/>
        <w:tblCellMar>
          <w:top w:w="0" w:type="dxa"/>
          <w:left w:w="0" w:type="dxa"/>
          <w:bottom w:w="28" w:type="dxa"/>
          <w:right w:w="0" w:type="dxa"/>
        </w:tblCellMar>
      </w:tblPr>
      <w:tblGrid>
        <w:gridCol w:w="5041"/>
        <w:gridCol w:w="326"/>
        <w:gridCol w:w="3031"/>
      </w:tblGrid>
      <w:tr>
        <w:trPr/>
        <w:tc>
          <w:tcPr>
            <w:tcW w:w="504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0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76-0307819</w:t>
            </w:r>
          </w:p>
        </w:tc>
      </w:tr>
      <w:tr>
        <w:trPr/>
        <w:tc>
          <w:tcPr>
            <w:tcW w:w="504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303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tbl>
      <w:tblPr>
        <w:tblW w:w="4449" w:type="dxa"/>
        <w:jc w:val="left"/>
        <w:tblInd w:w="0" w:type="dxa"/>
        <w:tblCellMar>
          <w:top w:w="0" w:type="dxa"/>
          <w:left w:w="0" w:type="dxa"/>
          <w:bottom w:w="0" w:type="dxa"/>
          <w:right w:w="0" w:type="dxa"/>
        </w:tblCellMar>
      </w:tblPr>
      <w:tblGrid>
        <w:gridCol w:w="124"/>
        <w:gridCol w:w="4171"/>
        <w:gridCol w:w="154"/>
      </w:tblGrid>
      <w:tr>
        <w:trPr/>
        <w:tc>
          <w:tcPr>
            <w:tcW w:w="124" w:type="dxa"/>
            <w:tcBorders/>
            <w:shd w:fill="auto" w:val="clear"/>
            <w:vAlign w:val="center"/>
          </w:tcPr>
          <w:p>
            <w:pPr>
              <w:pStyle w:val="TableContents"/>
              <w:spacing w:before="0" w:after="0"/>
              <w:ind w:left="0" w:right="0" w:hanging="0"/>
              <w:rPr/>
            </w:pPr>
            <w:r>
              <w:rPr/>
              <w:t>​</w:t>
            </w:r>
          </w:p>
        </w:tc>
        <w:tc>
          <w:tcPr>
            <w:tcW w:w="41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240"/>
              <w:ind w:left="0" w:right="0" w:hanging="0"/>
              <w:rPr/>
            </w:pPr>
            <w:r>
              <w:rPr/>
              <w:t>​</w:t>
            </w:r>
          </w:p>
        </w:tc>
        <w:tc>
          <w:tcPr>
            <w:tcW w:w="4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1333 Broadway, 10th Floor, New York, NY 10018</w:t>
            </w:r>
          </w:p>
        </w:tc>
        <w:tc>
          <w:tcPr>
            <w:tcW w:w="154" w:type="dxa"/>
            <w:tcBorders>
              <w:bottom w:val="single" w:sz="2" w:space="0" w:color="000000"/>
            </w:tcBorders>
            <w:shd w:fill="auto" w:val="clear"/>
            <w:tcMar>
              <w:bottom w:w="28" w:type="dxa"/>
            </w:tcMar>
            <w:vAlign w:val="center"/>
          </w:tcPr>
          <w:p>
            <w:pPr>
              <w:pStyle w:val="TableContents"/>
              <w:spacing w:before="0" w:after="240"/>
              <w:ind w:left="0" w:right="0" w:hanging="0"/>
              <w:rPr/>
            </w:pPr>
            <w:r>
              <w:rPr/>
              <w:t>​</w:t>
            </w:r>
          </w:p>
        </w:tc>
      </w:tr>
      <w:tr>
        <w:trPr/>
        <w:tc>
          <w:tcPr>
            <w:tcW w:w="124" w:type="dxa"/>
            <w:tcBorders/>
            <w:shd w:fill="auto" w:val="clear"/>
            <w:vAlign w:val="center"/>
          </w:tcPr>
          <w:p>
            <w:pPr>
              <w:pStyle w:val="TableContents"/>
              <w:spacing w:before="0" w:after="240"/>
              <w:ind w:left="0" w:right="0" w:hanging="0"/>
              <w:rPr/>
            </w:pPr>
            <w:r>
              <w:rPr/>
              <w:t>​</w:t>
            </w:r>
          </w:p>
        </w:tc>
        <w:tc>
          <w:tcPr>
            <w:tcW w:w="41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4" w:type="dxa"/>
            <w:tcBorders/>
            <w:shd w:fill="auto" w:val="clear"/>
            <w:vAlign w:val="center"/>
          </w:tcPr>
          <w:p>
            <w:pPr>
              <w:pStyle w:val="TableContents"/>
              <w:spacing w:before="0" w:after="24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(347) 727-2474</w:t>
      </w:r>
    </w:p>
    <w:p>
      <w:pPr>
        <w:pStyle w:val="TextBody"/>
        <w:spacing w:before="0" w:after="80"/>
        <w:ind w:left="0" w:right="0" w:hanging="0"/>
        <w:jc w:val="center"/>
        <w:rPr>
          <w:rFonts w:ascii="Times New Roman;Times;serif" w:hAnsi="Times New Roman;Times;serif"/>
          <w:sz w:val="20"/>
        </w:rPr>
      </w:pPr>
      <w:r>
        <w:rPr>
          <w:rFonts w:ascii="Times New Roman;Times;serif" w:hAnsi="Times New Roman;Times;serif"/>
          <w:sz w:val="20"/>
        </w:rPr>
        <w:t>(Issuer’s Telephone Number, Including Area Code)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9" w:name="Tc_MYjB2q8bJ0OCfcJh_EUjBg_2_4"/>
      <w:bookmarkStart w:id="10" w:name="Tc_MaFr3OdFgEedKmuv22y-fQ_1_4"/>
      <w:bookmarkStart w:id="11" w:name="Tc_JJ8GtwfZZUWHhU4ddHBNYA_1_2"/>
      <w:bookmarkStart w:id="12" w:name="Tc__ihwoe-jSUq7BuPwxysdnA_1_0"/>
      <w:bookmarkStart w:id="13" w:name="_74dabb02_951c_4772_bf5e_62db50832e71"/>
      <w:bookmarkStart w:id="14" w:name="Tc_MYjB2q8bJ0OCfcJh_EUjBg_2_4"/>
      <w:bookmarkStart w:id="15" w:name="Tc_MaFr3OdFgEedKmuv22y-fQ_1_4"/>
      <w:bookmarkStart w:id="16" w:name="Tc_JJ8GtwfZZUWHhU4ddHBNYA_1_2"/>
      <w:bookmarkStart w:id="17" w:name="Tc__ihwoe-jSUq7BuPwxysdnA_1_0"/>
      <w:bookmarkStart w:id="18" w:name="_74dabb02_951c_4772_bf5e_62db50832e71"/>
      <w:bookmarkEnd w:id="14"/>
      <w:bookmarkEnd w:id="15"/>
      <w:bookmarkEnd w:id="16"/>
      <w:bookmarkEnd w:id="17"/>
      <w:bookmarkEnd w:id="18"/>
    </w:p>
    <w:tbl>
      <w:tblPr>
        <w:tblW w:w="9385" w:type="dxa"/>
        <w:jc w:val="left"/>
        <w:tblInd w:w="0" w:type="dxa"/>
        <w:tblCellMar>
          <w:top w:w="0" w:type="dxa"/>
          <w:left w:w="0" w:type="dxa"/>
          <w:bottom w:w="0" w:type="dxa"/>
          <w:right w:w="0" w:type="dxa"/>
        </w:tblCellMar>
      </w:tblPr>
      <w:tblGrid>
        <w:gridCol w:w="3601"/>
        <w:gridCol w:w="326"/>
        <w:gridCol w:w="1426"/>
        <w:gridCol w:w="326"/>
        <w:gridCol w:w="3706"/>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706" w:type="dxa"/>
            <w:tcBorders/>
            <w:shd w:fill="auto" w:val="clear"/>
            <w:vAlign w:val="center"/>
          </w:tcPr>
          <w:p>
            <w:pPr>
              <w:pStyle w:val="TableContents"/>
              <w:spacing w:before="0" w:after="283"/>
              <w:ind w:left="0" w:right="0" w:hanging="0"/>
              <w:rPr>
                <w:sz w:val="4"/>
                <w:szCs w:val="4"/>
              </w:rPr>
            </w:pPr>
            <w:r>
              <w:rPr>
                <w:sz w:val="4"/>
                <w:szCs w:val="4"/>
              </w:rPr>
            </w:r>
          </w:p>
        </w:tc>
      </w:tr>
      <w:tr>
        <w:trPr/>
        <w:tc>
          <w:tcPr>
            <w:tcW w:w="3601"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26" w:type="dxa"/>
            <w:tcBorders/>
            <w:shd w:fill="auto" w:val="clear"/>
            <w:vAlign w:val="center"/>
          </w:tcPr>
          <w:p>
            <w:pPr>
              <w:pStyle w:val="TableContents"/>
              <w:spacing w:before="0" w:after="0"/>
              <w:ind w:left="0" w:right="0" w:hanging="0"/>
              <w:jc w:val="center"/>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26" w:type="dxa"/>
            <w:tcBorders/>
            <w:shd w:fill="auto" w:val="clear"/>
            <w:vAlign w:val="center"/>
          </w:tcPr>
          <w:p>
            <w:pPr>
              <w:pStyle w:val="TableContents"/>
              <w:spacing w:before="0" w:after="0"/>
              <w:ind w:left="0" w:right="0" w:hanging="0"/>
              <w:rPr/>
            </w:pPr>
            <w:r>
              <w:rPr/>
              <w:t>​</w:t>
            </w:r>
          </w:p>
        </w:tc>
        <w:tc>
          <w:tcPr>
            <w:tcW w:w="14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XELB</w:t>
            </w:r>
          </w:p>
        </w:tc>
        <w:tc>
          <w:tcPr>
            <w:tcW w:w="326" w:type="dxa"/>
            <w:tcBorders/>
            <w:shd w:fill="auto" w:val="clear"/>
            <w:vAlign w:val="center"/>
          </w:tcPr>
          <w:p>
            <w:pPr>
              <w:pStyle w:val="TableContents"/>
              <w:spacing w:before="0" w:after="0"/>
              <w:ind w:left="0" w:right="0" w:hanging="0"/>
              <w:rPr/>
            </w:pPr>
            <w:r>
              <w:rPr/>
              <w:t>​</w:t>
            </w:r>
          </w:p>
        </w:tc>
        <w:tc>
          <w:tcPr>
            <w:tcW w:w="37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12(g) of the Act: None</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jc w:val="both"/>
        <w:rPr/>
      </w:pPr>
      <w:r>
        <w:rPr/>
        <w:t>​</w:t>
      </w:r>
    </w:p>
    <w:tbl>
      <w:tblPr>
        <w:tblW w:w="5323" w:type="dxa"/>
        <w:jc w:val="left"/>
        <w:tblInd w:w="0" w:type="dxa"/>
        <w:tblCellMar>
          <w:top w:w="0" w:type="dxa"/>
          <w:left w:w="0" w:type="dxa"/>
          <w:bottom w:w="0" w:type="dxa"/>
          <w:right w:w="0" w:type="dxa"/>
        </w:tblCellMar>
      </w:tblPr>
      <w:tblGrid>
        <w:gridCol w:w="2281"/>
        <w:gridCol w:w="326"/>
        <w:gridCol w:w="2716"/>
      </w:tblGrid>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6" w:type="dxa"/>
            <w:tcBorders/>
            <w:shd w:fill="auto"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Large accelerated filer    ☐</w:t>
            </w:r>
          </w:p>
        </w:tc>
        <w:tc>
          <w:tcPr>
            <w:tcW w:w="326" w:type="dxa"/>
            <w:tcBorders/>
            <w:shd w:fill="auto" w:val="clear"/>
            <w:vAlign w:val="center"/>
          </w:tcPr>
          <w:p>
            <w:pPr>
              <w:pStyle w:val="TableContents"/>
              <w:spacing w:before="0" w:after="20"/>
              <w:ind w:left="0" w:right="0" w:hanging="0"/>
              <w:rPr/>
            </w:pPr>
            <w:r>
              <w:rPr/>
              <w:t>    </w:t>
            </w:r>
          </w:p>
        </w:tc>
        <w:tc>
          <w:tcPr>
            <w:tcW w:w="271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Accelerated filer    ☐</w:t>
            </w:r>
          </w:p>
        </w:tc>
      </w:tr>
      <w:tr>
        <w:trPr/>
        <w:tc>
          <w:tcPr>
            <w:tcW w:w="2281"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Non-accelerated filer    ☒</w:t>
            </w:r>
          </w:p>
        </w:tc>
        <w:tc>
          <w:tcPr>
            <w:tcW w:w="326" w:type="dxa"/>
            <w:tcBorders/>
            <w:shd w:fill="auto" w:val="clear"/>
            <w:vAlign w:val="center"/>
          </w:tcPr>
          <w:p>
            <w:pPr>
              <w:pStyle w:val="TableContents"/>
              <w:spacing w:before="0" w:after="240"/>
              <w:ind w:left="0" w:right="0" w:hanging="0"/>
              <w:rPr/>
            </w:pPr>
            <w:r>
              <w:rPr/>
              <w:t>​</w:t>
            </w:r>
          </w:p>
        </w:tc>
        <w:tc>
          <w:tcPr>
            <w:tcW w:w="2716"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Smaller reporting company    ☒</w:t>
            </w:r>
          </w:p>
        </w:tc>
      </w:tr>
      <w:tr>
        <w:trPr/>
        <w:tc>
          <w:tcPr>
            <w:tcW w:w="2281" w:type="dxa"/>
            <w:tcBorders/>
            <w:shd w:fill="auto" w:val="clear"/>
            <w:vAlign w:val="center"/>
          </w:tcPr>
          <w:p>
            <w:pPr>
              <w:pStyle w:val="TableContents"/>
              <w:spacing w:before="0" w:after="240"/>
              <w:ind w:left="0" w:right="0" w:hanging="0"/>
              <w:rPr/>
            </w:pPr>
            <w:r>
              <w:rPr/>
              <w:t>​</w:t>
            </w:r>
          </w:p>
        </w:tc>
        <w:tc>
          <w:tcPr>
            <w:tcW w:w="326" w:type="dxa"/>
            <w:tcBorders/>
            <w:shd w:fill="auto" w:val="clear"/>
            <w:vAlign w:val="center"/>
          </w:tcPr>
          <w:p>
            <w:pPr>
              <w:pStyle w:val="TableContents"/>
              <w:spacing w:before="0" w:after="240"/>
              <w:ind w:left="0" w:right="0" w:hanging="0"/>
              <w:rPr/>
            </w:pPr>
            <w:r>
              <w:rPr/>
              <w:t>​</w:t>
            </w:r>
          </w:p>
        </w:tc>
        <w:tc>
          <w:tcPr>
            <w:tcW w:w="2716" w:type="dxa"/>
            <w:tcBorders/>
            <w:shd w:fill="auto" w:val="clear"/>
            <w:vAlign w:val="center"/>
          </w:tcPr>
          <w:p>
            <w:pPr>
              <w:pStyle w:val="TableContents"/>
              <w:spacing w:before="0" w:after="20"/>
              <w:ind w:left="22" w:right="0" w:hanging="0"/>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18"/>
        </w:rPr>
        <w:t>☐</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18"/>
        </w:rPr>
        <w:t xml:space="preserve">☐ </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sz w:val="18"/>
        </w:rPr>
        <w:t>☐</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9"/>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9"/>
        </w:rPr>
        <w:t>No     </w:t>
      </w:r>
      <w:r>
        <w:rPr>
          <w:rFonts w:ascii="Times New Roman;Times;serif" w:hAnsi="Times New Roman;Times;serif"/>
          <w:sz w:val="20"/>
        </w:rPr>
        <w:t>☒</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$11,906,000</w:t>
      </w:r>
      <w:r>
        <w:rPr>
          <w:rFonts w:ascii="Times New Roman;Times;serif" w:hAnsi="Times New Roman;Times;serif"/>
          <w:sz w:val="18"/>
        </w:rPr>
        <w:t xml:space="preserve"> </w:t>
      </w:r>
      <w:r>
        <w:rPr>
          <w:rFonts w:ascii="Times New Roman;Times;serif" w:hAnsi="Times New Roman;Times;serif"/>
          <w:sz w:val="19"/>
        </w:rPr>
        <w:t>based upon the closing price of such common stock on June 30, 2022.</w:t>
      </w:r>
    </w:p>
    <w:p>
      <w:pPr>
        <w:pStyle w:val="TextBody"/>
        <w:spacing w:before="0" w:after="80"/>
        <w:ind w:left="0" w:right="0" w:hanging="0"/>
        <w:jc w:val="both"/>
        <w:rPr>
          <w:rFonts w:ascii="Times New Roman;Times;serif" w:hAnsi="Times New Roman;Times;serif"/>
          <w:sz w:val="18"/>
        </w:rPr>
      </w:pPr>
      <w:r>
        <w:rPr>
          <w:rFonts w:ascii="Times New Roman;Times;serif" w:hAnsi="Times New Roman;Times;serif"/>
          <w:sz w:val="19"/>
        </w:rPr>
        <w:t>The number of shares of the issuer’s common stock issued and outstanding as of April 14, 2023 was 19,624,860</w:t>
      </w:r>
      <w:r>
        <w:rPr>
          <w:rFonts w:ascii="Times New Roman;Times;serif" w:hAnsi="Times New Roman;Times;serif"/>
          <w:sz w:val="18"/>
        </w:rPr>
        <w:t xml:space="preserve"> </w:t>
      </w:r>
      <w:r>
        <w:rPr>
          <w:rFonts w:ascii="Times New Roman;Times;serif" w:hAnsi="Times New Roman;Times;serif"/>
          <w:sz w:val="19"/>
        </w:rPr>
        <w:t>shares.</w:t>
      </w:r>
    </w:p>
    <w:p>
      <w:pPr>
        <w:pStyle w:val="TextBody"/>
        <w:spacing w:before="0" w:after="0"/>
        <w:ind w:left="0" w:right="0" w:hanging="0"/>
        <w:jc w:val="both"/>
        <w:rPr>
          <w:rFonts w:ascii="Times New Roman;Times;serif" w:hAnsi="Times New Roman;Times;serif"/>
          <w:sz w:val="19"/>
        </w:rPr>
      </w:pPr>
      <w:r>
        <w:rPr>
          <w:rFonts w:ascii="Times New Roman;Times;serif" w:hAnsi="Times New Roman;Times;serif"/>
          <w:sz w:val="19"/>
        </w:rPr>
        <w:t>Documents Incorporated By Reference: None</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pBdr>
          <w:top w:val="single" w:sz="8" w:space="1" w:color="000000"/>
          <w:bottom w:val="single" w:sz="24" w:space="1" w:color="000000"/>
        </w:pBdr>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 w:name="TOC"/>
      <w:bookmarkStart w:id="20" w:name="_183e08e7_dc56_4d09_924e_e9da3aefb32b"/>
      <w:bookmarkEnd w:id="19"/>
      <w:bookmarkEnd w:id="20"/>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91"/>
        <w:gridCol w:w="8416"/>
        <w:gridCol w:w="326"/>
        <w:gridCol w:w="572"/>
      </w:tblGrid>
      <w:tr>
        <w:trPr/>
        <w:tc>
          <w:tcPr>
            <w:tcW w:w="891" w:type="dxa"/>
            <w:tcBorders/>
            <w:shd w:fill="auto" w:val="clear"/>
            <w:vAlign w:val="center"/>
          </w:tcPr>
          <w:p>
            <w:pPr>
              <w:pStyle w:val="TableContents"/>
              <w:spacing w:before="0" w:after="0"/>
              <w:ind w:left="0" w:right="0" w:hanging="0"/>
              <w:rPr/>
            </w:pPr>
            <w:r>
              <w:rPr/>
              <w:t>​</w:t>
            </w:r>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2"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91" w:type="dxa"/>
            <w:tcBorders/>
            <w:shd w:fill="auto" w:val="clear"/>
            <w:vAlign w:val="center"/>
          </w:tcPr>
          <w:p>
            <w:pPr>
              <w:pStyle w:val="TableContents"/>
              <w:spacing w:before="0" w:after="0"/>
              <w:ind w:left="0" w:right="0" w:hanging="0"/>
              <w:rPr/>
            </w:pPr>
            <w:hyperlink w:anchor="PARTI_658977">
              <w:r>
                <w:rPr>
                  <w:rStyle w:val="InternetLink"/>
                  <w:rFonts w:ascii="Times New Roman;Times;serif" w:hAnsi="Times New Roman;Times;serif"/>
                  <w:b/>
                  <w:i w:val="false"/>
                  <w:caps w:val="false"/>
                  <w:smallCaps w:val="false"/>
                  <w:sz w:val="20"/>
                </w:rPr>
                <w:t>PART I</w:t>
              </w:r>
            </w:hyperlink>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top w:val="single" w:sz="8" w:space="0" w:color="000000"/>
            </w:tcBorders>
            <w:shd w:fill="auto" w:val="clear"/>
            <w:tcMar>
              <w:top w:w="28" w:type="dxa"/>
            </w:tcMar>
            <w:vAlign w:val="center"/>
          </w:tcPr>
          <w:p>
            <w:pPr>
              <w:pStyle w:val="TableContents"/>
              <w:spacing w:before="0" w:after="0"/>
              <w:ind w:left="0" w:right="0" w:hanging="0"/>
              <w:rPr/>
            </w:pPr>
            <w:r>
              <w:rPr/>
              <w:t>​</w:t>
            </w:r>
          </w:p>
        </w:tc>
      </w:tr>
      <w:tr>
        <w:trPr/>
        <w:tc>
          <w:tcPr>
            <w:tcW w:w="891" w:type="dxa"/>
            <w:tcBorders/>
            <w:shd w:fill="auto" w:val="clear"/>
            <w:vAlign w:val="center"/>
          </w:tcPr>
          <w:p>
            <w:pPr>
              <w:pStyle w:val="TableContents"/>
              <w:spacing w:before="0" w:after="0"/>
              <w:ind w:left="0" w:right="0" w:hanging="0"/>
              <w:rPr/>
            </w:pPr>
            <w:hyperlink w:anchor="Item1Business_928886">
              <w:r>
                <w:rPr>
                  <w:rStyle w:val="InternetLink"/>
                  <w:rFonts w:ascii="Times New Roman;Times;serif" w:hAnsi="Times New Roman;Times;serif"/>
                  <w:b w:val="false"/>
                  <w:i w:val="false"/>
                  <w:caps w:val="false"/>
                  <w:smallCaps w:val="false"/>
                  <w:sz w:val="20"/>
                </w:rPr>
                <w:t>Item 1</w:t>
              </w:r>
            </w:hyperlink>
          </w:p>
        </w:tc>
        <w:tc>
          <w:tcPr>
            <w:tcW w:w="8416" w:type="dxa"/>
            <w:tcBorders/>
            <w:shd w:fill="auto" w:val="clear"/>
            <w:vAlign w:val="center"/>
          </w:tcPr>
          <w:p>
            <w:pPr>
              <w:pStyle w:val="TableContents"/>
              <w:spacing w:before="0" w:after="0"/>
              <w:ind w:left="0" w:right="0" w:hanging="0"/>
              <w:rPr/>
            </w:pPr>
            <w:hyperlink w:anchor="Item1Business_928886">
              <w:r>
                <w:rPr>
                  <w:rStyle w:val="InternetLink"/>
                  <w:rFonts w:ascii="Times New Roman;Times;serif" w:hAnsi="Times New Roman;Times;serif"/>
                  <w:b w:val="false"/>
                  <w:i w:val="false"/>
                  <w:caps w:val="false"/>
                  <w:smallCaps w:val="false"/>
                  <w:sz w:val="20"/>
                </w:rPr>
                <w:t>Business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1" w:type="dxa"/>
            <w:tcBorders/>
            <w:shd w:fill="auto" w:val="clear"/>
            <w:vAlign w:val="center"/>
          </w:tcPr>
          <w:p>
            <w:pPr>
              <w:pStyle w:val="TableContents"/>
              <w:spacing w:before="0" w:after="0"/>
              <w:ind w:left="0" w:right="0" w:hanging="0"/>
              <w:rPr/>
            </w:pPr>
            <w:hyperlink w:anchor="Item1ARiskFactors_64763">
              <w:r>
                <w:rPr>
                  <w:rStyle w:val="InternetLink"/>
                  <w:rFonts w:ascii="Times New Roman;Times;serif" w:hAnsi="Times New Roman;Times;serif"/>
                  <w:b w:val="false"/>
                  <w:i w:val="false"/>
                  <w:caps w:val="false"/>
                  <w:smallCaps w:val="false"/>
                  <w:sz w:val="20"/>
                </w:rPr>
                <w:t>Item 1A</w:t>
              </w:r>
            </w:hyperlink>
          </w:p>
        </w:tc>
        <w:tc>
          <w:tcPr>
            <w:tcW w:w="8416" w:type="dxa"/>
            <w:tcBorders/>
            <w:shd w:fill="auto" w:val="clear"/>
            <w:vAlign w:val="center"/>
          </w:tcPr>
          <w:p>
            <w:pPr>
              <w:pStyle w:val="TableContents"/>
              <w:spacing w:before="0" w:after="0"/>
              <w:ind w:left="0" w:right="0" w:hanging="0"/>
              <w:rPr/>
            </w:pPr>
            <w:hyperlink w:anchor="Item1ARiskFactors_64763">
              <w:r>
                <w:rPr>
                  <w:rStyle w:val="InternetLink"/>
                  <w:rFonts w:ascii="Times New Roman;Times;serif" w:hAnsi="Times New Roman;Times;serif"/>
                  <w:b w:val="false"/>
                  <w:i w:val="false"/>
                  <w:caps w:val="false"/>
                  <w:smallCaps w:val="false"/>
                  <w:sz w:val="20"/>
                </w:rPr>
                <w:t>Risk Factors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91" w:type="dxa"/>
            <w:tcBorders/>
            <w:shd w:fill="auto" w:val="clear"/>
            <w:vAlign w:val="center"/>
          </w:tcPr>
          <w:p>
            <w:pPr>
              <w:pStyle w:val="TableContents"/>
              <w:spacing w:before="0" w:after="0"/>
              <w:ind w:left="0" w:right="0" w:hanging="0"/>
              <w:rPr/>
            </w:pPr>
            <w:hyperlink w:anchor="Item1BUnresolvedStaffComments">
              <w:r>
                <w:rPr>
                  <w:rStyle w:val="InternetLink"/>
                  <w:rFonts w:ascii="Times New Roman;Times;serif" w:hAnsi="Times New Roman;Times;serif"/>
                  <w:b w:val="false"/>
                  <w:i w:val="false"/>
                  <w:caps w:val="false"/>
                  <w:smallCaps w:val="false"/>
                  <w:sz w:val="20"/>
                </w:rPr>
                <w:t>Item 1B</w:t>
              </w:r>
            </w:hyperlink>
          </w:p>
        </w:tc>
        <w:tc>
          <w:tcPr>
            <w:tcW w:w="8416" w:type="dxa"/>
            <w:tcBorders/>
            <w:shd w:fill="auto" w:val="clear"/>
            <w:vAlign w:val="center"/>
          </w:tcPr>
          <w:p>
            <w:pPr>
              <w:pStyle w:val="TableContents"/>
              <w:spacing w:before="0" w:after="0"/>
              <w:ind w:left="0" w:right="0" w:hanging="0"/>
              <w:rPr/>
            </w:pPr>
            <w:hyperlink w:anchor="Item1BUnresolvedStaffComments">
              <w:r>
                <w:rPr>
                  <w:rStyle w:val="InternetLink"/>
                  <w:rFonts w:ascii="Times New Roman;Times;serif" w:hAnsi="Times New Roman;Times;serif"/>
                  <w:b w:val="false"/>
                  <w:i w:val="false"/>
                  <w:caps w:val="false"/>
                  <w:smallCaps w:val="false"/>
                  <w:sz w:val="20"/>
                </w:rPr>
                <w:t>Unresolved Staff Comments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91" w:type="dxa"/>
            <w:tcBorders/>
            <w:shd w:fill="auto" w:val="clear"/>
            <w:vAlign w:val="center"/>
          </w:tcPr>
          <w:p>
            <w:pPr>
              <w:pStyle w:val="TableContents"/>
              <w:spacing w:before="0" w:after="0"/>
              <w:ind w:left="0" w:right="0" w:hanging="0"/>
              <w:rPr/>
            </w:pPr>
            <w:hyperlink w:anchor="Item2Properties_266659">
              <w:r>
                <w:rPr>
                  <w:rStyle w:val="InternetLink"/>
                  <w:rFonts w:ascii="Times New Roman;Times;serif" w:hAnsi="Times New Roman;Times;serif"/>
                  <w:b w:val="false"/>
                  <w:i w:val="false"/>
                  <w:caps w:val="false"/>
                  <w:smallCaps w:val="false"/>
                  <w:sz w:val="20"/>
                </w:rPr>
                <w:t>Item 2</w:t>
              </w:r>
            </w:hyperlink>
          </w:p>
        </w:tc>
        <w:tc>
          <w:tcPr>
            <w:tcW w:w="8416" w:type="dxa"/>
            <w:tcBorders/>
            <w:shd w:fill="auto" w:val="clear"/>
            <w:vAlign w:val="center"/>
          </w:tcPr>
          <w:p>
            <w:pPr>
              <w:pStyle w:val="TableContents"/>
              <w:spacing w:before="0" w:after="0"/>
              <w:ind w:left="0" w:right="0" w:hanging="0"/>
              <w:rPr/>
            </w:pPr>
            <w:hyperlink w:anchor="Item2Properties_266659">
              <w:r>
                <w:rPr>
                  <w:rStyle w:val="InternetLink"/>
                  <w:rFonts w:ascii="Times New Roman;Times;serif" w:hAnsi="Times New Roman;Times;serif"/>
                  <w:b w:val="false"/>
                  <w:i w:val="false"/>
                  <w:caps w:val="false"/>
                  <w:smallCaps w:val="false"/>
                  <w:sz w:val="20"/>
                </w:rPr>
                <w:t>Properties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91" w:type="dxa"/>
            <w:tcBorders/>
            <w:shd w:fill="auto" w:val="clear"/>
            <w:vAlign w:val="center"/>
          </w:tcPr>
          <w:p>
            <w:pPr>
              <w:pStyle w:val="TableContents"/>
              <w:spacing w:before="0" w:after="0"/>
              <w:ind w:left="0" w:right="0" w:hanging="0"/>
              <w:rPr/>
            </w:pPr>
            <w:hyperlink w:anchor="Item3LegalProceedings_763831">
              <w:r>
                <w:rPr>
                  <w:rStyle w:val="InternetLink"/>
                  <w:rFonts w:ascii="Times New Roman;Times;serif" w:hAnsi="Times New Roman;Times;serif"/>
                  <w:b w:val="false"/>
                  <w:i w:val="false"/>
                  <w:caps w:val="false"/>
                  <w:smallCaps w:val="false"/>
                  <w:sz w:val="20"/>
                </w:rPr>
                <w:t>Item 3</w:t>
              </w:r>
            </w:hyperlink>
          </w:p>
        </w:tc>
        <w:tc>
          <w:tcPr>
            <w:tcW w:w="8416" w:type="dxa"/>
            <w:tcBorders/>
            <w:shd w:fill="auto" w:val="clear"/>
            <w:vAlign w:val="center"/>
          </w:tcPr>
          <w:p>
            <w:pPr>
              <w:pStyle w:val="TableContents"/>
              <w:spacing w:before="0" w:after="0"/>
              <w:ind w:left="0" w:right="0" w:hanging="0"/>
              <w:rPr/>
            </w:pPr>
            <w:hyperlink w:anchor="Item3LegalProceedings_763831">
              <w:r>
                <w:rPr>
                  <w:rStyle w:val="InternetLink"/>
                  <w:rFonts w:ascii="Times New Roman;Times;serif" w:hAnsi="Times New Roman;Times;serif"/>
                  <w:b w:val="false"/>
                  <w:i w:val="false"/>
                  <w:caps w:val="false"/>
                  <w:smallCaps w:val="false"/>
                  <w:sz w:val="20"/>
                </w:rPr>
                <w:t>Legal Proceedings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91" w:type="dxa"/>
            <w:tcBorders/>
            <w:shd w:fill="auto" w:val="clear"/>
            <w:vAlign w:val="center"/>
          </w:tcPr>
          <w:p>
            <w:pPr>
              <w:pStyle w:val="TableContents"/>
              <w:spacing w:before="0" w:after="0"/>
              <w:ind w:left="0" w:right="0" w:hanging="0"/>
              <w:rPr/>
            </w:pPr>
            <w:hyperlink w:anchor="Item4MineSafetyDisclosure_535619">
              <w:r>
                <w:rPr>
                  <w:rStyle w:val="InternetLink"/>
                  <w:rFonts w:ascii="Times New Roman;Times;serif" w:hAnsi="Times New Roman;Times;serif"/>
                  <w:b w:val="false"/>
                  <w:i w:val="false"/>
                  <w:caps w:val="false"/>
                  <w:smallCaps w:val="false"/>
                  <w:sz w:val="20"/>
                </w:rPr>
                <w:t>Item 4</w:t>
              </w:r>
            </w:hyperlink>
          </w:p>
        </w:tc>
        <w:tc>
          <w:tcPr>
            <w:tcW w:w="8416" w:type="dxa"/>
            <w:tcBorders/>
            <w:shd w:fill="auto" w:val="clear"/>
            <w:vAlign w:val="center"/>
          </w:tcPr>
          <w:p>
            <w:pPr>
              <w:pStyle w:val="TableContents"/>
              <w:spacing w:before="0" w:after="0"/>
              <w:ind w:left="0" w:right="0" w:hanging="0"/>
              <w:rPr/>
            </w:pPr>
            <w:hyperlink w:anchor="Item4MineSafetyDisclosure_535619">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91" w:type="dxa"/>
            <w:tcBorders/>
            <w:shd w:fill="auto" w:val="clear"/>
            <w:vAlign w:val="center"/>
          </w:tcPr>
          <w:p>
            <w:pPr>
              <w:pStyle w:val="TableContents"/>
              <w:spacing w:before="0" w:after="0"/>
              <w:ind w:left="0" w:right="0" w:hanging="0"/>
              <w:rPr/>
            </w:pPr>
            <w:r>
              <w:rPr/>
              <w:t>​</w:t>
            </w:r>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PARTII_488184">
              <w:r>
                <w:rPr>
                  <w:rStyle w:val="InternetLink"/>
                  <w:rFonts w:ascii="Times New Roman;Times;serif" w:hAnsi="Times New Roman;Times;serif"/>
                  <w:b/>
                  <w:i w:val="false"/>
                  <w:caps w:val="false"/>
                  <w:smallCaps w:val="false"/>
                  <w:sz w:val="20"/>
                </w:rPr>
                <w:t>PART II</w:t>
              </w:r>
            </w:hyperlink>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416"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91" w:type="dxa"/>
            <w:tcBorders/>
            <w:shd w:fill="auto" w:val="clear"/>
            <w:vAlign w:val="center"/>
          </w:tcPr>
          <w:p>
            <w:pPr>
              <w:pStyle w:val="TableContents"/>
              <w:spacing w:before="0" w:after="0"/>
              <w:ind w:left="0" w:right="0" w:hanging="0"/>
              <w:rPr/>
            </w:pPr>
            <w:hyperlink w:anchor="Item6Reserved_704535">
              <w:r>
                <w:rPr>
                  <w:rStyle w:val="InternetLink"/>
                  <w:rFonts w:ascii="Times New Roman;Times;serif" w:hAnsi="Times New Roman;Times;serif"/>
                  <w:b w:val="false"/>
                  <w:i w:val="false"/>
                  <w:caps w:val="false"/>
                  <w:smallCaps w:val="false"/>
                  <w:sz w:val="20"/>
                </w:rPr>
                <w:t>Item 6</w:t>
              </w:r>
            </w:hyperlink>
          </w:p>
        </w:tc>
        <w:tc>
          <w:tcPr>
            <w:tcW w:w="8416" w:type="dxa"/>
            <w:tcBorders/>
            <w:shd w:fill="auto" w:val="clear"/>
            <w:vAlign w:val="center"/>
          </w:tcPr>
          <w:p>
            <w:pPr>
              <w:pStyle w:val="TableContents"/>
              <w:spacing w:before="0" w:after="0"/>
              <w:ind w:left="0" w:right="0" w:hanging="0"/>
              <w:rPr/>
            </w:pPr>
            <w:hyperlink w:anchor="Item6Reserved_704535">
              <w:r>
                <w:rPr>
                  <w:rStyle w:val="InternetLink"/>
                  <w:rFonts w:ascii="Times New Roman;Times;serif" w:hAnsi="Times New Roman;Times;serif"/>
                  <w:b w:val="false"/>
                  <w:i w:val="false"/>
                  <w:caps w:val="false"/>
                  <w:smallCaps w:val="false"/>
                  <w:sz w:val="20"/>
                </w:rPr>
                <w:t>[Reserved]</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91"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416"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91"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416"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91"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416"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91"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416"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91" w:type="dxa"/>
            <w:tcBorders/>
            <w:shd w:fill="auto" w:val="clear"/>
            <w:vAlign w:val="center"/>
          </w:tcPr>
          <w:p>
            <w:pPr>
              <w:pStyle w:val="TableContents"/>
              <w:spacing w:before="0" w:after="0"/>
              <w:ind w:left="0" w:right="0" w:hanging="0"/>
              <w:rPr/>
            </w:pPr>
            <w:hyperlink w:anchor="Item9AControlsandProcedures_552748">
              <w:r>
                <w:rPr>
                  <w:rStyle w:val="InternetLink"/>
                  <w:rFonts w:ascii="Times New Roman;Times;serif" w:hAnsi="Times New Roman;Times;serif"/>
                  <w:b w:val="false"/>
                  <w:i w:val="false"/>
                  <w:caps w:val="false"/>
                  <w:smallCaps w:val="false"/>
                  <w:sz w:val="20"/>
                </w:rPr>
                <w:t>Item 9A</w:t>
              </w:r>
            </w:hyperlink>
          </w:p>
        </w:tc>
        <w:tc>
          <w:tcPr>
            <w:tcW w:w="8416" w:type="dxa"/>
            <w:tcBorders/>
            <w:shd w:fill="auto" w:val="clear"/>
            <w:vAlign w:val="center"/>
          </w:tcPr>
          <w:p>
            <w:pPr>
              <w:pStyle w:val="TableContents"/>
              <w:spacing w:before="0" w:after="0"/>
              <w:ind w:left="0" w:right="0" w:hanging="0"/>
              <w:rPr/>
            </w:pPr>
            <w:hyperlink w:anchor="Item9AControlsandProcedures_552748">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91" w:type="dxa"/>
            <w:tcBorders/>
            <w:shd w:fill="auto" w:val="clear"/>
            <w:vAlign w:val="center"/>
          </w:tcPr>
          <w:p>
            <w:pPr>
              <w:pStyle w:val="TableContents"/>
              <w:spacing w:before="0" w:after="0"/>
              <w:ind w:left="0" w:right="0" w:hanging="0"/>
              <w:rPr/>
            </w:pPr>
            <w:hyperlink w:anchor="Item9BOtherInformation_38498">
              <w:r>
                <w:rPr>
                  <w:rStyle w:val="InternetLink"/>
                  <w:rFonts w:ascii="Times New Roman;Times;serif" w:hAnsi="Times New Roman;Times;serif"/>
                  <w:b w:val="false"/>
                  <w:i w:val="false"/>
                  <w:caps w:val="false"/>
                  <w:smallCaps w:val="false"/>
                  <w:sz w:val="20"/>
                </w:rPr>
                <w:t>Item 9B</w:t>
              </w:r>
            </w:hyperlink>
          </w:p>
        </w:tc>
        <w:tc>
          <w:tcPr>
            <w:tcW w:w="8416" w:type="dxa"/>
            <w:tcBorders/>
            <w:shd w:fill="auto" w:val="clear"/>
            <w:vAlign w:val="center"/>
          </w:tcPr>
          <w:p>
            <w:pPr>
              <w:pStyle w:val="TableContents"/>
              <w:spacing w:before="0" w:after="0"/>
              <w:ind w:left="0" w:right="0" w:hanging="0"/>
              <w:rPr/>
            </w:pPr>
            <w:hyperlink w:anchor="Item9BOtherInformation_38498">
              <w:r>
                <w:rPr>
                  <w:rStyle w:val="InternetLink"/>
                  <w:rFonts w:ascii="Times New Roman;Times;serif" w:hAnsi="Times New Roman;Times;serif"/>
                  <w:b w:val="false"/>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891"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416"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891" w:type="dxa"/>
            <w:tcBorders/>
            <w:shd w:fill="auto" w:val="clear"/>
            <w:vAlign w:val="center"/>
          </w:tcPr>
          <w:p>
            <w:pPr>
              <w:pStyle w:val="TableContents"/>
              <w:spacing w:before="0" w:after="0"/>
              <w:ind w:left="0" w:right="0" w:hanging="0"/>
              <w:rPr/>
            </w:pPr>
            <w:r>
              <w:rPr/>
              <w:t>​</w:t>
            </w:r>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PARTIII_546425">
              <w:r>
                <w:rPr>
                  <w:rStyle w:val="InternetLink"/>
                  <w:rFonts w:ascii="Times New Roman;Times;serif" w:hAnsi="Times New Roman;Times;serif"/>
                  <w:b/>
                  <w:i w:val="false"/>
                  <w:caps w:val="false"/>
                  <w:smallCaps w:val="false"/>
                  <w:sz w:val="20"/>
                </w:rPr>
                <w:t>PART III</w:t>
              </w:r>
            </w:hyperlink>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Item10DirectorsExecutiveOfficersPromoter">
              <w:r>
                <w:rPr>
                  <w:rStyle w:val="InternetLink"/>
                  <w:rFonts w:ascii="Times New Roman;Times;serif" w:hAnsi="Times New Roman;Times;serif"/>
                  <w:b w:val="false"/>
                  <w:i w:val="false"/>
                  <w:caps w:val="false"/>
                  <w:smallCaps w:val="false"/>
                  <w:sz w:val="20"/>
                </w:rPr>
                <w:t>Item 10</w:t>
              </w:r>
            </w:hyperlink>
          </w:p>
        </w:tc>
        <w:tc>
          <w:tcPr>
            <w:tcW w:w="8416" w:type="dxa"/>
            <w:tcBorders/>
            <w:shd w:fill="auto" w:val="clear"/>
            <w:vAlign w:val="center"/>
          </w:tcPr>
          <w:p>
            <w:pPr>
              <w:pStyle w:val="TableContents"/>
              <w:spacing w:before="0" w:after="0"/>
              <w:ind w:left="0" w:right="0" w:hanging="0"/>
              <w:rPr/>
            </w:pPr>
            <w:hyperlink w:anchor="Item10DirectorsExecutiveOfficersPromoter">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891" w:type="dxa"/>
            <w:tcBorders/>
            <w:shd w:fill="auto" w:val="clear"/>
            <w:vAlign w:val="center"/>
          </w:tcPr>
          <w:p>
            <w:pPr>
              <w:pStyle w:val="TableContents"/>
              <w:spacing w:before="0" w:after="0"/>
              <w:ind w:left="0" w:right="0" w:hanging="0"/>
              <w:rPr/>
            </w:pPr>
            <w:hyperlink w:anchor="Item11ExecutiveCompensation_10826">
              <w:r>
                <w:rPr>
                  <w:rStyle w:val="InternetLink"/>
                  <w:rFonts w:ascii="Times New Roman;Times;serif" w:hAnsi="Times New Roman;Times;serif"/>
                  <w:b w:val="false"/>
                  <w:i w:val="false"/>
                  <w:caps w:val="false"/>
                  <w:smallCaps w:val="false"/>
                  <w:sz w:val="20"/>
                </w:rPr>
                <w:t>Item 11</w:t>
              </w:r>
            </w:hyperlink>
          </w:p>
        </w:tc>
        <w:tc>
          <w:tcPr>
            <w:tcW w:w="8416" w:type="dxa"/>
            <w:tcBorders/>
            <w:shd w:fill="auto" w:val="clear"/>
            <w:vAlign w:val="center"/>
          </w:tcPr>
          <w:p>
            <w:pPr>
              <w:pStyle w:val="TableContents"/>
              <w:spacing w:before="0" w:after="0"/>
              <w:ind w:left="0" w:right="0" w:hanging="0"/>
              <w:rPr/>
            </w:pPr>
            <w:hyperlink w:anchor="Item11ExecutiveCompensation_10826">
              <w:r>
                <w:rPr>
                  <w:rStyle w:val="InternetLink"/>
                  <w:rFonts w:ascii="Times New Roman;Times;serif" w:hAnsi="Times New Roman;Times;serif"/>
                  <w:b w:val="false"/>
                  <w:i w:val="false"/>
                  <w:caps w:val="false"/>
                  <w:smallCaps w:val="false"/>
                  <w:sz w:val="20"/>
                </w:rPr>
                <w:t>Executive Compensation</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891"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416"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891"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416"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891"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416"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91" w:type="dxa"/>
            <w:tcBorders/>
            <w:shd w:fill="auto" w:val="clear"/>
            <w:vAlign w:val="center"/>
          </w:tcPr>
          <w:p>
            <w:pPr>
              <w:pStyle w:val="TableContents"/>
              <w:spacing w:before="0" w:after="0"/>
              <w:ind w:left="0" w:right="0" w:hanging="0"/>
              <w:rPr/>
            </w:pPr>
            <w:r>
              <w:rPr/>
              <w:t>​</w:t>
            </w:r>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PARTIV">
              <w:r>
                <w:rPr>
                  <w:rStyle w:val="InternetLink"/>
                  <w:rFonts w:ascii="Times New Roman;Times;serif" w:hAnsi="Times New Roman;Times;serif"/>
                  <w:b/>
                  <w:i w:val="false"/>
                  <w:caps w:val="false"/>
                  <w:smallCaps w:val="false"/>
                  <w:sz w:val="20"/>
                </w:rPr>
                <w:t>PART IV</w:t>
              </w:r>
            </w:hyperlink>
          </w:p>
        </w:tc>
        <w:tc>
          <w:tcPr>
            <w:tcW w:w="8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pPr>
            <w:r>
              <w:rPr/>
              <w:t>​</w:t>
            </w:r>
          </w:p>
        </w:tc>
      </w:tr>
      <w:tr>
        <w:trPr/>
        <w:tc>
          <w:tcPr>
            <w:tcW w:w="891" w:type="dxa"/>
            <w:tcBorders/>
            <w:shd w:fill="auto" w:val="clear"/>
            <w:vAlign w:val="center"/>
          </w:tcPr>
          <w:p>
            <w:pPr>
              <w:pStyle w:val="TableContents"/>
              <w:spacing w:before="0" w:after="0"/>
              <w:ind w:left="0" w:right="0" w:hanging="0"/>
              <w:rPr/>
            </w:pPr>
            <w:hyperlink w:anchor="Item15Exhibits_738273">
              <w:r>
                <w:rPr>
                  <w:rStyle w:val="InternetLink"/>
                  <w:rFonts w:ascii="Times New Roman;Times;serif" w:hAnsi="Times New Roman;Times;serif"/>
                  <w:b w:val="false"/>
                  <w:i w:val="false"/>
                  <w:caps w:val="false"/>
                  <w:smallCaps w:val="false"/>
                  <w:sz w:val="20"/>
                </w:rPr>
                <w:t>Item 15</w:t>
              </w:r>
            </w:hyperlink>
          </w:p>
        </w:tc>
        <w:tc>
          <w:tcPr>
            <w:tcW w:w="8416" w:type="dxa"/>
            <w:tcBorders/>
            <w:shd w:fill="auto" w:val="clear"/>
            <w:vAlign w:val="center"/>
          </w:tcPr>
          <w:p>
            <w:pPr>
              <w:pStyle w:val="TableContents"/>
              <w:spacing w:before="0" w:after="0"/>
              <w:ind w:left="0" w:right="0" w:hanging="0"/>
              <w:rPr/>
            </w:pPr>
            <w:hyperlink w:anchor="Item15Exhibits_738273">
              <w:r>
                <w:rPr>
                  <w:rStyle w:val="InternetLink"/>
                  <w:rFonts w:ascii="Times New Roman;Times;serif" w:hAnsi="Times New Roman;Times;serif"/>
                  <w:b w:val="false"/>
                  <w:i w:val="false"/>
                  <w:caps w:val="false"/>
                  <w:smallCaps w:val="false"/>
                  <w:sz w:val="20"/>
                </w:rPr>
                <w:t>Exhibit and Financial Statement Schedules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91" w:type="dxa"/>
            <w:tcBorders/>
            <w:shd w:fill="auto" w:val="clear"/>
            <w:vAlign w:val="center"/>
          </w:tcPr>
          <w:p>
            <w:pPr>
              <w:pStyle w:val="TableContents"/>
              <w:spacing w:before="0" w:after="0"/>
              <w:ind w:left="0" w:right="0" w:hanging="0"/>
              <w:rPr/>
            </w:pPr>
            <w:r>
              <w:rPr/>
              <w:t>​</w:t>
            </w:r>
          </w:p>
        </w:tc>
        <w:tc>
          <w:tcPr>
            <w:tcW w:w="8416" w:type="dxa"/>
            <w:tcBorders/>
            <w:shd w:fill="auto" w:val="clear"/>
            <w:vAlign w:val="center"/>
          </w:tcPr>
          <w:p>
            <w:pPr>
              <w:pStyle w:val="TableContents"/>
              <w:spacing w:before="0" w:after="0"/>
              <w:ind w:left="0" w:right="0" w:hanging="0"/>
              <w:rPr/>
            </w:pPr>
            <w:hyperlink w:anchor="SIGNATURES_35665">
              <w:r>
                <w:rPr>
                  <w:rStyle w:val="InternetLink"/>
                  <w:rFonts w:ascii="Times New Roman;Times;serif" w:hAnsi="Times New Roman;Times;serif"/>
                  <w:b w:val="false"/>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1" w:name="PARTI_658977"/>
      <w:bookmarkStart w:id="22" w:name="_d23a275a_4611_43de_a887_560205108547"/>
      <w:bookmarkEnd w:id="21"/>
      <w:bookmarkEnd w:id="22"/>
      <w:r>
        <w:rPr>
          <w:rFonts w:ascii="Times New Roman;Times;serif" w:hAnsi="Times New Roman;Times;serif"/>
          <w:b/>
          <w:sz w:val="20"/>
        </w:rPr>
        <w:t>PART I</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pStyle w:val="TextBody"/>
        <w:spacing w:lineRule="auto" w:line="240" w:before="0" w:after="0"/>
        <w:ind w:left="0" w:right="0" w:hanging="0"/>
        <w:jc w:val="both"/>
        <w:rPr>
          <w:rFonts w:ascii="Times New Roman;Times;serif" w:hAnsi="Times New Roman;Times;serif"/>
          <w:sz w:val="18"/>
        </w:rPr>
      </w:pPr>
      <w:r>
        <w:rPr>
          <w:rFonts w:ascii="Times New Roman;Times;serif" w:hAnsi="Times New Roman;Times;serif"/>
          <w:sz w:val="20"/>
        </w:rPr>
        <w:t>The "LOGO by Lori Goldstein</w:t>
      </w:r>
      <w:r>
        <w:rPr>
          <w:rFonts w:ascii="Times New Roman;Times;serif" w:hAnsi="Times New Roman;Times;serif"/>
          <w:sz w:val="18"/>
        </w:rPr>
        <w:t>™</w:t>
      </w:r>
      <w:r>
        <w:rPr>
          <w:rFonts w:ascii="Times New Roman;Times;serif" w:hAnsi="Times New Roman;Times;serif"/>
          <w:sz w:val="20"/>
        </w:rPr>
        <w:t>," "Halston," "Halston Heritage," "H by Halston</w:t>
      </w:r>
      <w:r>
        <w:rPr>
          <w:rFonts w:ascii="Times New Roman;Times;serif" w:hAnsi="Times New Roman;Times;serif"/>
          <w:sz w:val="14"/>
        </w:rPr>
        <w:t>®</w:t>
      </w:r>
      <w:r>
        <w:rPr>
          <w:rFonts w:ascii="Times New Roman;Times;serif" w:hAnsi="Times New Roman;Times;serif"/>
          <w:sz w:val="20"/>
        </w:rPr>
        <w:t>," "H Halston</w:t>
      </w:r>
      <w:r>
        <w:rPr>
          <w:rFonts w:ascii="Times New Roman;Times;serif" w:hAnsi="Times New Roman;Times;serif"/>
          <w:sz w:val="18"/>
        </w:rPr>
        <w:t>™</w:t>
      </w:r>
      <w:r>
        <w:rPr>
          <w:rFonts w:ascii="Times New Roman;Times;serif" w:hAnsi="Times New Roman;Times;serif"/>
          <w:sz w:val="20"/>
        </w:rPr>
        <w:t>," "Roy Frowick," "Judith Ripka LTD</w:t>
      </w:r>
      <w:r>
        <w:rPr>
          <w:rFonts w:ascii="Times New Roman;Times;serif" w:hAnsi="Times New Roman;Times;serif"/>
          <w:sz w:val="18"/>
        </w:rPr>
        <w:t>™</w:t>
      </w:r>
      <w:r>
        <w:rPr>
          <w:rFonts w:ascii="Times New Roman;Times;serif" w:hAnsi="Times New Roman;Times;serif"/>
          <w:sz w:val="20"/>
        </w:rPr>
        <w:t>," "Judith Ripka Collection</w:t>
      </w:r>
      <w:r>
        <w:rPr>
          <w:rFonts w:ascii="Times New Roman;Times;serif" w:hAnsi="Times New Roman;Times;serif"/>
          <w:sz w:val="18"/>
        </w:rPr>
        <w:t>™</w:t>
      </w:r>
      <w:r>
        <w:rPr>
          <w:rFonts w:ascii="Times New Roman;Times;serif" w:hAnsi="Times New Roman;Times;serif"/>
          <w:sz w:val="20"/>
        </w:rPr>
        <w:t>," "Judith Ripka Legacy</w:t>
      </w:r>
      <w:r>
        <w:rPr>
          <w:rFonts w:ascii="Times New Roman;Times;serif" w:hAnsi="Times New Roman;Times;serif"/>
          <w:sz w:val="18"/>
        </w:rPr>
        <w:t>™</w:t>
      </w:r>
      <w:r>
        <w:rPr>
          <w:rFonts w:ascii="Times New Roman;Times;serif" w:hAnsi="Times New Roman;Times;serif"/>
          <w:sz w:val="20"/>
        </w:rPr>
        <w:t>," "Judith Ripka</w:t>
      </w:r>
      <w:r>
        <w:rPr>
          <w:rFonts w:ascii="Times New Roman;Times;serif" w:hAnsi="Times New Roman;Times;serif"/>
          <w:sz w:val="14"/>
        </w:rPr>
        <w:t>®</w:t>
      </w:r>
      <w:r>
        <w:rPr>
          <w:rFonts w:ascii="Times New Roman;Times;serif" w:hAnsi="Times New Roman;Times;serif"/>
          <w:sz w:val="20"/>
        </w:rPr>
        <w:t>,” "Judith Ripka Sterling</w:t>
      </w:r>
      <w:r>
        <w:rPr>
          <w:rFonts w:ascii="Times New Roman;Times;serif" w:hAnsi="Times New Roman;Times;serif"/>
          <w:sz w:val="18"/>
        </w:rPr>
        <w:t>™</w:t>
      </w:r>
      <w:r>
        <w:rPr>
          <w:rFonts w:ascii="Times New Roman;Times;serif" w:hAnsi="Times New Roman;Times;serif"/>
          <w:sz w:val="20"/>
        </w:rPr>
        <w:t>," "C. Wonder</w:t>
      </w:r>
      <w:r>
        <w:rPr>
          <w:rFonts w:ascii="Times New Roman;Times;serif" w:hAnsi="Times New Roman;Times;serif"/>
          <w:sz w:val="18"/>
        </w:rPr>
        <w:t>™</w:t>
      </w:r>
      <w:r>
        <w:rPr>
          <w:rFonts w:ascii="Times New Roman;Times;serif" w:hAnsi="Times New Roman;Times;serif"/>
          <w:sz w:val="20"/>
        </w:rPr>
        <w:t>," and "C. Wonder Limited</w:t>
      </w:r>
      <w:r>
        <w:rPr>
          <w:rFonts w:ascii="Times New Roman;Times;serif" w:hAnsi="Times New Roman;Times;serif"/>
          <w:sz w:val="18"/>
        </w:rPr>
        <w:t>™</w:t>
      </w:r>
      <w:r>
        <w:rPr>
          <w:rFonts w:ascii="Times New Roman;Times;serif" w:hAnsi="Times New Roman;Times;serif"/>
          <w:sz w:val="20"/>
        </w:rPr>
        <w:t>" brands and all related logos and other trademarks or service marks of the Company appearing in this Annual Report are the property of the Company. Brands and all related logos and other trademarks or service marks of other entities (for example, QVC, HSN, etc.) are the property of those respective entities.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23" w:name="Item1Business_928886"/>
      <w:bookmarkStart w:id="24" w:name="_2d5e275c_672c_474b_a748_5d0c1c568a87"/>
      <w:bookmarkEnd w:id="23"/>
      <w:bookmarkEnd w:id="24"/>
      <w:r>
        <w:rPr>
          <w:rFonts w:ascii="Times New Roman;Times;serif" w:hAnsi="Times New Roman;Times;serif"/>
          <w:b/>
          <w:sz w:val="20"/>
        </w:rPr>
        <w:t>Item 1.   Business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Brands, Inc. (the “Company,” “Xcel,” or “We”)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Lori Goldstein Brand, Halston Brand, Ripka Brand, and C Wonder Brand are wholly owned by the Company.</w:t>
            </w:r>
          </w:p>
        </w:tc>
      </w:tr>
    </w:tbl>
    <w:tbl>
      <w:tblPr>
        <w:tblW w:w="9006" w:type="dxa"/>
        <w:jc w:val="left"/>
        <w:tblInd w:w="0" w:type="dxa"/>
        <w:tblCellMar>
          <w:top w:w="28" w:type="dxa"/>
          <w:left w:w="28" w:type="dxa"/>
          <w:bottom w:w="28" w:type="dxa"/>
          <w:right w:w="28" w:type="dxa"/>
        </w:tblCellMar>
      </w:tblPr>
      <w:tblGrid>
        <w:gridCol w:w="124"/>
        <w:gridCol w:w="256"/>
        <w:gridCol w:w="8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Longaberger Brand through our 50% ownership interest in Longaberger Licensing, LLC.</w:t>
            </w:r>
          </w:p>
        </w:tc>
      </w:tr>
    </w:tbl>
    <w:tbl>
      <w:tblPr>
        <w:tblW w:w="7566" w:type="dxa"/>
        <w:jc w:val="left"/>
        <w:tblInd w:w="0" w:type="dxa"/>
        <w:tblCellMar>
          <w:top w:w="28" w:type="dxa"/>
          <w:left w:w="28" w:type="dxa"/>
          <w:bottom w:w="28" w:type="dxa"/>
          <w:right w:w="28" w:type="dxa"/>
        </w:tblCellMar>
      </w:tblPr>
      <w:tblGrid>
        <w:gridCol w:w="124"/>
        <w:gridCol w:w="256"/>
        <w:gridCol w:w="7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Q Optix business through our 50% ownership interest in Q Optix, LLC.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wholly owned and managed the Isaac Mizrahi Brand through May 31, 2022. On May 31, 2022, we sold a majority interest in the brand to a third party, but retained a 30% noncontrolling interest in the brand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274" w:type="dxa"/>
        <w:jc w:val="left"/>
        <w:tblInd w:w="0" w:type="dxa"/>
        <w:tblCellMar>
          <w:top w:w="28" w:type="dxa"/>
          <w:left w:w="28" w:type="dxa"/>
          <w:bottom w:w="28" w:type="dxa"/>
          <w:right w:w="28" w:type="dxa"/>
        </w:tblCellMar>
      </w:tblPr>
      <w:tblGrid>
        <w:gridCol w:w="124"/>
        <w:gridCol w:w="109"/>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continue to participate in the operations of the business.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is pioneering a true omni-channel sales strategy which includes the promotion and sale of products under its brands through interactive television, digital live-stream shopping, brick-and-mortar retail, wholesale,  and e-commerce channels, to be everywhere its customers shop. The Company’s brands have generated over $3 billion in retail sales via live streaming in interactive television and digital channels alone.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objective is to build a diversified portfolio of lifestyle consumer products brands through organic growth and the strategic acquisition of new brands. To grow our brands, we are focused on the following primary strategies: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and/or licensing of our brands for sale through interactive television (i.e., QVC, HSN, The Shopping Channel, TVSN, CJO, JTV, etc.);</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wholesale distribution through joint ventures or licensing of our brands to retailers that sell to the end consumer;</w:t>
            </w:r>
          </w:p>
        </w:tc>
      </w:tr>
    </w:tbl>
    <w:tbl>
      <w:tblPr>
        <w:tblW w:w="7536" w:type="dxa"/>
        <w:jc w:val="left"/>
        <w:tblInd w:w="0" w:type="dxa"/>
        <w:tblCellMar>
          <w:top w:w="28" w:type="dxa"/>
          <w:left w:w="28" w:type="dxa"/>
          <w:bottom w:w="28" w:type="dxa"/>
          <w:right w:w="28" w:type="dxa"/>
        </w:tblCellMar>
      </w:tblPr>
      <w:tblGrid>
        <w:gridCol w:w="124"/>
        <w:gridCol w:w="25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direct-to-consumer distribution of our brands through e-commerce and live streaming;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our brands to manufacturers and retailers for promotion and distribution through e-commerce, social commerce, and traditional brick-and-mortar retail channels whereby we provide certain design services;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additional consumer brands and integrating them into our operating platform and leveraging our operating infrastructure and distribution relationships.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Xcel offers a unique value proposition to our retail and direct-to-consumer customers, and our licensees for the following reasons:</w:t>
      </w:r>
    </w:p>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including our officers’ and directors’ experience in, and relationships within the industry;</w:t>
            </w:r>
          </w:p>
        </w:tc>
      </w:tr>
    </w:tbl>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deep knowledge, expertise, and proprietary technology in live streaming;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design, production, sales, marketing, and supply chain and integrated technology platform that enables us to design and distribute trend-right product; and </w:t>
            </w:r>
          </w:p>
        </w:tc>
      </w:tr>
    </w:tbl>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media and internet presence and distribution.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Highlights and Developments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April 2021, we acquired the Lori Goldstein brands, including LOGO by Lori Goldstein, a sophisticated lifestyle brand designed to bring style to the masses and that speaks to everyday women. The acquisition focuses on growing the popular brand through our omni-channel approach including live streaming, e-commerce, and interactive television, and expanding the brand into new products and categories.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2022, we sold a majority interest in the Isaac Mizrahi Brand to a third party, but retained a 30% noncontrolling interest in the brand and continue to participate in the operations of the business. This sale was a transformative moment in Xcel’s history and represents the first time we have monetized one of our brands since Xcel was founded in 2011. We used the proceeds from the sale to repay all of our outstanding debt and position us to fund various strategic initiatives as we concentrate our resources on growing our brands, new brand launches, and investing in live streaming technology and new business partnerships.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third quarter of 2022, we launched Q Optix, a multi-branded optical business on HSN and QVC. The business is conducted through a joint venture whereby we leverage inventory and systems of our partner without any material working capital investments.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first quarter of 2023, we began to restructure our business operations by entering into new licensing agreements and joint venture arrangements with best-in-class business partners. We entered into a new interactive television licensing agreement with America’s Collectibles Network, Inc. d/b/a JTV (“JTV”) for the Ripka Brand, and a separate license with JTV for the Ripka Brand’s e-commerce business. For apparel, similar transactions have recently been executed. In conjunction with the launch of the C Wonder Brand on HSN, we licensed the wholesale production operations related to the brand to One Jeanswear Group, LLC (“OJG”); this new license with OJG also includes other new celebrity brands that we plan to launch in 2023 and beyond. For the Halston Brand, we plan on entering into a joint venture related to the brand’s wholesale apparel business with another leading manufacturer (the “Halston JV”).  The Halston JV will develop an apparel business under the H Halston brand through department stores, e-commerce, and other retailers. We expect the transition of these operating businesses to be completed by the second quarter of 2023. We believe that this evolution of our operating model will provide us with significant cost savings and allow us to reduce and better manage our exposure to operating risks. We expect that our new partnerships will result in excess of $10 million of cost savings on an annualized basis, with the majority of these savings beginning in the beginning of the second quarter of 2023. Based on these new operating structures, including cost savings and significantly reducing the Company’s exposure to operating risk, the Company expects to generate sufficient cash flow to fund its obligations and operating needs.</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Company History and Corporate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principal office is located at 1333 Broadway, New York, NY 10018. Our telephone number is (347) 727-2474.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we maintain websites for our respective brands and an e-commerce site for our Judith Ripka brand at www.isaacmizrahi.com, www.halston.com, www.cwonder.com, www.longaberger.com, www.lorigoldstein.com, and www.judithripka.com. Our corporate website is www.xcelbrands.com. None of the content on our websites is incorporated by reference into this Annual Report on Form 10-K.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Brand Portfolio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Currently, our brand portfolio consists of the Lori Goldstein, Halston, Judith Ripka, C Wonder, Longaberger, and Isaac Mizrahi Brands, and other proprietary brands, including the various labels under these brands.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Lori Goldstein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Lori Goldstein helped the fashion industry recognize the value and influence of a visionary stylist by telling powerful, transformative, and authentic stories through the static image. After 35 years behind the camera, Lori ventured in front of it in 2009 when she launched LOGO by Lori Goldstein, an exclusive collection for QVC. LOGO was born from Lori's lifelong passion for layering clothes and her "anything goes with everything" approach to fashion, and is a sophisticated lifestyle brand that embraces Lori's aesthetic and speaks to everyday women. LOGO draws inspiration from the beauty of women of all ages and sizes and gives them the tools and fashion pieces to be their most fabulous selves. We acquired the Lori Goldstein brands, including LOGO by Lori Goldstein, in April 2021, and the brand is currently available through the QVC channel.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Halston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brand is available across various distribution channels including premium and better department stores, e-commerce, interactive television, and national specialty retailers.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Judith Ripka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Ms. Ripka launched an innovative collection of fine jewelry on QVC under the Judith Ripka Brand in 1996, where the brand offers customers fine jewelry, watches, and accessories at more accessible price points, including precious and semi-precious stones. We acquired the Ripka brand in April 2014. In December 2017, we launched our Judith Ripka Fine Jewelry e-commerce operations and in January 2018, we launched the Judith Ripka Fine Jewelry wholesale operations. In 2021, we opened a retail store for Judith Ripka Fine Jewelry in Westchester, New York; we subsequently closed the store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 Wonder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the brand is available at mass merchant retailers, clubs, and certain off-price retailers.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Longaberger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Longaberger is an iconic American heritage home and collectibles brand that began making baskets in 1896 and launched a direct sales company in 1973 by the Longaberger family. The brand is best known for its distinctive handwoven baskets. We acquired a 50% ownership interest in this brand through a business venture with Hilco Global in November 2019, and are actively managing this brand to build on its history and bring it into the future as a digital first live-streaming and social commerce business. We launched our Longaberger e-commerce and live-streaming operations in February 2020.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Q Optix</w:t>
      </w:r>
    </w:p>
    <w:p>
      <w:pPr>
        <w:pStyle w:val="TextBody"/>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Q Optix is a multi-branded optical business on HSN and QVC. The business is conducted through a joint venture, which was formed in June 2022 and in which we hold a 50% ownership interest, whereby we leverage inventory and systems of our partner without any material working capital investments. We launched sales of Q Optix products in June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Isaac Mizrahi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omni-channel retail sales strategy, the brand is available across various distribution channels to reach customers wherever they shop: better department stores, such as Saks and Hudson’s Bay; interactive television, including QVC and The Shopping Channel; and national specialty retailers. The brand is also sold in various global locations, including Canada, Italy, the United Kingdom, and Japan. We acquired the Isaac Mizrahi brand in September 2011, and in May 2022, we sold a majority interest in the brand to a third party, retaining a 30% noncontrolling interest in the brand.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Growth Strategy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vision is intended to reimagine shopping, entertainment, and social media as one thing. To fulfill this vision, we plan to continue to grow the reach of our brand portfolio by leveraging our technology and live-streaming platforms, design expertise, our integrated design, production and supply chain technology platforms, marketing expertise, and our relationships with our retail and direct-to-consumer customers, key licensees, manufacturers, and retailers. We also continue to market our brands through our innovative true omni-channel retail sales strategy. Our strategy includes distribution through interactive television, e-commerce, live streaming,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Acquire, Develop or Partner with Brands.</w:t>
            </w:r>
            <w:r>
              <w:rPr>
                <w:caps w:val="false"/>
                <w:smallCaps w:val="false"/>
              </w:rPr>
              <w:t xml:space="preserve"> </w:t>
            </w:r>
            <w:r>
              <w:rPr>
                <w:rFonts w:ascii="Times New Roman;Times;serif" w:hAnsi="Times New Roman;Times;serif"/>
                <w:b w:val="false"/>
                <w:i w:val="false"/>
                <w:caps w:val="false"/>
                <w:smallCaps w:val="false"/>
                <w:sz w:val="20"/>
              </w:rPr>
              <w:t>We plan to continue to pursue the acquisition and/or development of additional brands or the rights to brands which we believe are synergistic and complementary to our overall strategy. Our brand acquisition and development strategy are focused on dynamic brands that we believe are synergistic to our existing portfolio of brands, strategic to our growth in a channel of distribution, and expected to be accretive to our earnings.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Expand and Leverage our Live-Streaming Platform.</w:t>
            </w:r>
            <w:r>
              <w:rPr>
                <w:caps w:val="false"/>
                <w:smallCaps w:val="false"/>
              </w:rPr>
              <w:t xml:space="preserve"> </w:t>
            </w:r>
            <w:r>
              <w:rPr>
                <w:rFonts w:ascii="Times New Roman;Times;serif" w:hAnsi="Times New Roman;Times;serif"/>
                <w:b w:val="false"/>
                <w:i w:val="false"/>
                <w:caps w:val="false"/>
                <w:smallCaps w:val="false"/>
                <w:sz w:val="20"/>
              </w:rPr>
              <w:t>In 2020, we launched our live-streaming platform through our Longaberger brand social commerce technology platform with the goal to build the world’s largest digital marketplace powered by live-streaming and micro-influencers for home and other related products designed to create a better lifestyle. We plan to leverage this technology across our other brands.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Continue to Develop our Integrated Technologies Platform.</w:t>
            </w:r>
            <w:r>
              <w:rPr>
                <w:caps w:val="false"/>
                <w:smallCaps w:val="false"/>
              </w:rPr>
              <w:t xml:space="preserve"> </w:t>
            </w:r>
            <w:r>
              <w:rPr>
                <w:rFonts w:ascii="Times New Roman;Times;serif" w:hAnsi="Times New Roman;Times;serif"/>
                <w:b w:val="false"/>
                <w:i w:val="false"/>
                <w:caps w:val="false"/>
                <w:smallCaps w:val="false"/>
                <w:sz w:val="20"/>
              </w:rPr>
              <w:t>We continue to develop our integrated technologies including live-streaming and direct sales, e-commerce, customer relationship management, 3D design, trend analytics, data science, and consumer insight testing as a refinement of our marketing, design, production and supply chain capabilities in order to market, design, plan, and distribute our products more efficiently and intelligently. Driven by short-lead marketing, such as live streaming, social media, and new direct-to-consumer business models, consumers now expect more from brands and retailers, and we believe that the solution is to deliver to the customer what they want, when they want it, at a price that is fair. Advances in 3D design technologies and software allow us to design more efficiently, seamlessly communicate technical aspects of designs with our manufacturing partners, and produce better,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 internet searches, social media, and inventory trends provide a forward-looking view of consumer design preferences and allow us to design into trends early-on, while data analytics will allow us to review performance and respond quickly in our read-and-react design, production and supply chain model. Live streaming and customer relationship management systems enable us to better demonstrate our products and foster high engagement with our customers. We will also seek to utilize machine learning and artificial intelligence to automate at least a portion of these functions.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We believe that our investment into these technologies position us to provide unique solutions to a rapidly changing environment. More importantly, we believe that it will help us continue to grow our business across our brands, and the integrated technologies platform itself should develop more significant value as we continue to build and develop it.</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Expand Other Retail Partnerships.</w:t>
            </w:r>
            <w:r>
              <w:rPr>
                <w:caps w:val="false"/>
                <w:smallCaps w:val="false"/>
              </w:rPr>
              <w:t xml:space="preserve"> </w:t>
            </w:r>
            <w:r>
              <w:rPr>
                <w:rFonts w:ascii="Times New Roman;Times;serif" w:hAnsi="Times New Roman;Times;serif"/>
                <w:b w:val="false"/>
                <w:i w:val="false"/>
                <w:caps w:val="false"/>
                <w:smallCaps w:val="false"/>
                <w:sz w:val="20"/>
              </w:rPr>
              <w:t>We have entered into promotional collaborations and/or marketing agreements with large global companies such as Sesame Street, Crayola, 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Expand Wholesale License Relationships.</w:t>
            </w:r>
            <w:r>
              <w:rPr>
                <w:caps w:val="false"/>
                <w:smallCaps w:val="false"/>
              </w:rPr>
              <w:t xml:space="preserve"> </w:t>
            </w:r>
            <w:r>
              <w:rPr>
                <w:rFonts w:ascii="Times New Roman;Times;serif" w:hAnsi="Times New Roman;Times;serif"/>
                <w:b w:val="false"/>
                <w:i w:val="false"/>
                <w:caps w:val="false"/>
                <w:smallCaps w:val="false"/>
                <w:sz w:val="20"/>
              </w:rPr>
              <w:t>We have entered into numerous license agreements for various product categories under our brands. We have expanded the presence of our brands at department stores and have launched additional categories in the department store channel, including footwear, handbags, dresses, costume jewelry, and sunglasses.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Deliver Quality Product Offerings.</w:t>
            </w:r>
            <w:r>
              <w:rPr>
                <w:caps w:val="false"/>
                <w:smallCaps w:val="false"/>
              </w:rPr>
              <w:t xml:space="preserve"> </w:t>
            </w:r>
            <w:r>
              <w:rPr>
                <w:rFonts w:ascii="Times New Roman;Times;serif" w:hAnsi="Times New Roman;Times;serif"/>
                <w:b w:val="false"/>
                <w:i w:val="false"/>
                <w:caps w:val="false"/>
                <w:smallCaps w:val="false"/>
                <w:sz w:val="20"/>
              </w:rPr>
              <w:t>We employ a professional team to provide best in class design, production and distribution to ensure that our products adhere to stringent quality standards and design specifications that we have developed. We intend to continue to invest in our design and marketing capabilities in order to differentiate our services to our customers and licensees and our brands in the marketplace.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Licensing, Design, Production and Marketing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Interactive TV</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Qurate Retail Group (“Qurate”) is an important strategic partner in our interactive television business, and is our largest licensee for our Lori Goldstein and Isaac Mizrahi brands. Qurate’s business model is to promote and sell products through its interactive television programs featured on QVC and HSN and related e-commerce and mobile platforms. We employ and manage on-air spokespersons under each of these brands in order to promote products under our brands on QVC and HSN. Qurate’s programming currently reaches over 200 million homes worldwide. Our agreements with Qurate allow our on-air spokespersons to promote our non-Qurate product lines and strategic partnerships under the Mizrahi, Ripka, and Halston brands through QVC’s and HSN’s programs, subject to certain parameters including the payment of a portion of our non-Qurate revenues to Qurate. We believe that our ability to continue to leverage Qurate’s media platform, reach, and attractive customer base to cross-promote products in and drive traffic to our other channels of distribution provides us a unique advantage.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licensing business model allows us to focus on our core competencies of design, production, marketing, and brand management without much of the investment requirements in inventory associated with traditional consumer product companies. Our brands licensed to Qurate are licensed through our various wholly owned subsidiaries.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Qurate Agreements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Through our wholly owned subsidiaries, we have entered into direct-to-retail license agreements with Qurate, pursuant to which we design, and Qurate sources and sells, various products under our LOGO by Lori Goldstein brand, the Longaberger brand, and the Judith Ripka brand. These agreements include, respectively, the Qurate Agreement for the LOGO by Lori Goldstein Brand (the “LOGO Qurate Agreement”) and the Qurate Agreement for the Longaberger Brand (the “Longaberger Qurate Agreement”). We were also previously party to similar agreements with Qurate related to the IsaacMizrahiLIVE brand (the “IM Qurate Agreement”) and the H Halston brand (the “H Qurate Agreement. Qurate owns the rights to all designs produced under these agreements (collectively, the “Qurate Agreements”), and the agreements include the sale of products across various categories through Qurate’s television media and related internet sites.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these agreements, we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543"/>
        <w:gridCol w:w="326"/>
        <w:gridCol w:w="1666"/>
        <w:gridCol w:w="326"/>
        <w:gridCol w:w="1531"/>
        <w:gridCol w:w="326"/>
        <w:gridCol w:w="1419"/>
        <w:gridCol w:w="326"/>
        <w:gridCol w:w="1742"/>
      </w:tblGrid>
      <w:tr>
        <w:trPr/>
        <w:tc>
          <w:tcPr>
            <w:tcW w:w="2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4805" cy="175260"/>
                      <wp:effectExtent l="0" t="0" r="0" b="0"/>
                      <wp:wrapNone/>
                      <wp:docPr id="1" name="Frame1"/>
                      <a:graphic xmlns:a="http://schemas.openxmlformats.org/drawingml/2006/main">
                        <a:graphicData uri="http://schemas.microsoft.com/office/word/2010/wordprocessingShape">
                          <wps:wsp>
                            <wps:cNvSpPr txBox="1"/>
                            <wps:spPr>
                              <a:xfrm>
                                <a:off x="0" y="0"/>
                                <a:ext cx="1614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057910" cy="175260"/>
                      <wp:effectExtent l="0" t="0" r="0" b="0"/>
                      <wp:wrapNone/>
                      <wp:docPr id="3" name="Frame3"/>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2185" cy="175260"/>
                      <wp:effectExtent l="0" t="0" r="0" b="0"/>
                      <wp:wrapNone/>
                      <wp:docPr id="5" name="Frame5"/>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01065" cy="175260"/>
                      <wp:effectExtent l="0" t="0" r="0" b="0"/>
                      <wp:wrapNone/>
                      <wp:docPr id="7" name="Frame7"/>
                      <a:graphic xmlns:a="http://schemas.openxmlformats.org/drawingml/2006/main">
                        <a:graphicData uri="http://schemas.microsoft.com/office/word/2010/wordprocessingShape">
                          <wps:wsp>
                            <wps:cNvSpPr txBox="1"/>
                            <wps:spPr>
                              <a:xfrm>
                                <a:off x="0" y="0"/>
                                <a:ext cx="901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106170" cy="175260"/>
                      <wp:effectExtent l="0" t="0" r="0" b="0"/>
                      <wp:wrapNone/>
                      <wp:docPr id="9" name="Frame9"/>
                      <a:graphic xmlns:a="http://schemas.openxmlformats.org/drawingml/2006/main">
                        <a:graphicData uri="http://schemas.microsoft.com/office/word/2010/wordprocessingShape">
                          <wps:wsp>
                            <wps:cNvSpPr txBox="1"/>
                            <wps:spPr>
                              <a:xfrm>
                                <a:off x="0" y="0"/>
                                <a:ext cx="1106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1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Xcel Commenced</w:t>
            </w:r>
          </w:p>
        </w:tc>
        <w:tc>
          <w:tcPr>
            <w:tcW w:w="326" w:type="dxa"/>
            <w:tcBorders/>
            <w:shd w:fill="auto" w:val="clear"/>
            <w:vAlign w:val="center"/>
          </w:tcPr>
          <w:p>
            <w:pPr>
              <w:pStyle w:val="TableContents"/>
              <w:spacing w:before="0" w:after="1"/>
              <w:ind w:left="0" w:right="0" w:hanging="0"/>
              <w:rPr/>
            </w:pPr>
            <w:r>
              <w:rPr/>
              <w:t>​</w:t>
            </w:r>
          </w:p>
        </w:tc>
        <w:tc>
          <w:tcPr>
            <w:tcW w:w="1742" w:type="dxa"/>
            <w:tcBorders/>
            <w:shd w:fill="auto" w:val="clear"/>
            <w:vAlign w:val="center"/>
          </w:tcPr>
          <w:p>
            <w:pPr>
              <w:pStyle w:val="TableContents"/>
              <w:spacing w:before="0" w:after="1"/>
              <w:ind w:left="0" w:right="0" w:hanging="0"/>
              <w:rPr/>
            </w:pPr>
            <w:r>
              <w:rPr/>
              <w:t>​</w:t>
            </w:r>
          </w:p>
        </w:tc>
      </w:tr>
      <w:tr>
        <w:trPr/>
        <w:tc>
          <w:tcPr>
            <w:tcW w:w="254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Agreement</w:t>
            </w:r>
          </w:p>
        </w:tc>
        <w:tc>
          <w:tcPr>
            <w:tcW w:w="326" w:type="dxa"/>
            <w:tcBorders/>
            <w:shd w:fill="auto" w:val="clear"/>
            <w:vAlign w:val="center"/>
          </w:tcPr>
          <w:p>
            <w:pPr>
              <w:pStyle w:val="TableContents"/>
              <w:spacing w:before="0" w:after="1"/>
              <w:ind w:left="0" w:right="0" w:hanging="0"/>
              <w:jc w:val="center"/>
              <w:rPr/>
            </w:pPr>
            <w:r>
              <w:rPr/>
              <w:t>    </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 Term Expiry</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Automatic Renewal</w:t>
            </w:r>
          </w:p>
        </w:tc>
        <w:tc>
          <w:tcPr>
            <w:tcW w:w="326" w:type="dxa"/>
            <w:tcBorders/>
            <w:shd w:fill="auto" w:val="clear"/>
            <w:vAlign w:val="center"/>
          </w:tcPr>
          <w:p>
            <w:pPr>
              <w:pStyle w:val="TableContents"/>
              <w:spacing w:before="0" w:after="1"/>
              <w:ind w:left="0" w:right="0" w:hanging="0"/>
              <w:jc w:val="center"/>
              <w:rPr/>
            </w:pPr>
            <w:r>
              <w:rPr/>
              <w:t>    </w:t>
            </w:r>
          </w:p>
        </w:tc>
        <w:tc>
          <w:tcPr>
            <w:tcW w:w="141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Brand with QVC</w:t>
            </w:r>
          </w:p>
        </w:tc>
        <w:tc>
          <w:tcPr>
            <w:tcW w:w="326" w:type="dxa"/>
            <w:tcBorders/>
            <w:shd w:fill="auto" w:val="clear"/>
            <w:vAlign w:val="center"/>
          </w:tcPr>
          <w:p>
            <w:pPr>
              <w:pStyle w:val="TableContents"/>
              <w:spacing w:before="0" w:after="1"/>
              <w:ind w:left="0" w:right="0" w:hanging="0"/>
              <w:jc w:val="center"/>
              <w:rPr/>
            </w:pPr>
            <w:r>
              <w:rPr/>
              <w:t>    </w:t>
            </w:r>
          </w:p>
        </w:tc>
        <w:tc>
          <w:tcPr>
            <w:tcW w:w="17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QVC Product Launch</w:t>
            </w:r>
          </w:p>
        </w:tc>
      </w:tr>
      <w:tr>
        <w:trPr/>
        <w:tc>
          <w:tcPr>
            <w:tcW w:w="25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LOGO Qurate Agreement</w:t>
            </w:r>
          </w:p>
        </w:tc>
        <w:tc>
          <w:tcPr>
            <w:tcW w:w="326" w:type="dxa"/>
            <w:tcBorders/>
            <w:shd w:fill="CCEEFF" w:val="clear"/>
            <w:vAlign w:val="center"/>
          </w:tcPr>
          <w:p>
            <w:pPr>
              <w:pStyle w:val="TableContents"/>
              <w:spacing w:before="0" w:after="1"/>
              <w:ind w:left="0" w:right="0" w:hanging="0"/>
              <w:jc w:val="center"/>
              <w:rPr/>
            </w:pPr>
            <w:r>
              <w:rPr/>
              <w:t>​</w:t>
            </w:r>
          </w:p>
        </w:tc>
        <w:tc>
          <w:tcPr>
            <w:tcW w:w="16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November 1, 2023</w:t>
            </w:r>
          </w:p>
        </w:tc>
        <w:tc>
          <w:tcPr>
            <w:tcW w:w="326" w:type="dxa"/>
            <w:tcBorders/>
            <w:shd w:fill="CCEEFF" w:val="clear"/>
            <w:vAlign w:val="center"/>
          </w:tcPr>
          <w:p>
            <w:pPr>
              <w:pStyle w:val="TableContents"/>
              <w:spacing w:before="0" w:after="1"/>
              <w:ind w:left="0" w:right="0" w:hanging="0"/>
              <w:jc w:val="center"/>
              <w:rPr/>
            </w:pPr>
            <w:r>
              <w:rPr/>
              <w:t>​</w:t>
            </w:r>
          </w:p>
        </w:tc>
        <w:tc>
          <w:tcPr>
            <w:tcW w:w="15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one-year period</w:t>
            </w:r>
          </w:p>
        </w:tc>
        <w:tc>
          <w:tcPr>
            <w:tcW w:w="326" w:type="dxa"/>
            <w:tcBorders/>
            <w:shd w:fill="CCEEFF" w:val="clear"/>
            <w:vAlign w:val="center"/>
          </w:tcPr>
          <w:p>
            <w:pPr>
              <w:pStyle w:val="TableContents"/>
              <w:spacing w:before="0" w:after="1"/>
              <w:ind w:left="0" w:right="0" w:hanging="0"/>
              <w:jc w:val="center"/>
              <w:rPr/>
            </w:pPr>
            <w:r>
              <w:rPr/>
              <w:t>​</w:t>
            </w:r>
          </w:p>
        </w:tc>
        <w:tc>
          <w:tcPr>
            <w:tcW w:w="14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April 2021</w:t>
            </w:r>
          </w:p>
        </w:tc>
        <w:tc>
          <w:tcPr>
            <w:tcW w:w="326" w:type="dxa"/>
            <w:tcBorders/>
            <w:shd w:fill="CCEEFF" w:val="clear"/>
            <w:vAlign w:val="center"/>
          </w:tcPr>
          <w:p>
            <w:pPr>
              <w:pStyle w:val="TableContents"/>
              <w:spacing w:before="0" w:after="1"/>
              <w:ind w:left="0" w:right="0" w:hanging="0"/>
              <w:jc w:val="center"/>
              <w:rPr/>
            </w:pPr>
            <w:r>
              <w:rPr/>
              <w:t>​</w:t>
            </w:r>
          </w:p>
        </w:tc>
        <w:tc>
          <w:tcPr>
            <w:tcW w:w="174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2009</w:t>
            </w:r>
          </w:p>
        </w:tc>
      </w:tr>
      <w:tr>
        <w:trPr/>
        <w:tc>
          <w:tcPr>
            <w:tcW w:w="25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Longaberger Qurate Agreement</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October 31, 2023</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two-year period</w:t>
            </w:r>
          </w:p>
        </w:tc>
        <w:tc>
          <w:tcPr>
            <w:tcW w:w="326" w:type="dxa"/>
            <w:tcBorders/>
            <w:shd w:fill="auto" w:val="clear"/>
            <w:vAlign w:val="center"/>
          </w:tcPr>
          <w:p>
            <w:pPr>
              <w:pStyle w:val="TableContents"/>
              <w:spacing w:before="0" w:after="1"/>
              <w:ind w:left="0" w:right="0" w:hanging="0"/>
              <w:rPr/>
            </w:pPr>
            <w:r>
              <w:rPr/>
              <w:t> </w:t>
            </w:r>
          </w:p>
        </w:tc>
        <w:tc>
          <w:tcPr>
            <w:tcW w:w="14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November 2019</w:t>
            </w:r>
          </w:p>
        </w:tc>
        <w:tc>
          <w:tcPr>
            <w:tcW w:w="326" w:type="dxa"/>
            <w:tcBorders/>
            <w:shd w:fill="auto" w:val="clear"/>
            <w:vAlign w:val="center"/>
          </w:tcPr>
          <w:p>
            <w:pPr>
              <w:pStyle w:val="TableContents"/>
              <w:spacing w:before="0" w:after="1"/>
              <w:ind w:left="0" w:right="0" w:hanging="0"/>
              <w:rPr/>
            </w:pPr>
            <w:r>
              <w:rPr/>
              <w:t> </w:t>
            </w:r>
          </w:p>
        </w:tc>
        <w:tc>
          <w:tcPr>
            <w:tcW w:w="174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5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 Qurate Agreement</w:t>
            </w:r>
          </w:p>
        </w:tc>
        <w:tc>
          <w:tcPr>
            <w:tcW w:w="326" w:type="dxa"/>
            <w:tcBorders/>
            <w:shd w:fill="CCEEFF" w:val="clear"/>
            <w:vAlign w:val="center"/>
          </w:tcPr>
          <w:p>
            <w:pPr>
              <w:pStyle w:val="TableContents"/>
              <w:spacing w:before="0" w:after="1"/>
              <w:ind w:left="0" w:right="0" w:hanging="0"/>
              <w:jc w:val="center"/>
              <w:rPr/>
            </w:pPr>
            <w:r>
              <w:rPr/>
              <w:t>​</w:t>
            </w:r>
          </w:p>
        </w:tc>
        <w:tc>
          <w:tcPr>
            <w:tcW w:w="16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jc w:val="center"/>
              <w:rPr/>
            </w:pPr>
            <w:r>
              <w:rPr/>
              <w:t>​</w:t>
            </w:r>
          </w:p>
        </w:tc>
        <w:tc>
          <w:tcPr>
            <w:tcW w:w="15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326" w:type="dxa"/>
            <w:tcBorders/>
            <w:shd w:fill="CCEEFF" w:val="clear"/>
            <w:vAlign w:val="center"/>
          </w:tcPr>
          <w:p>
            <w:pPr>
              <w:pStyle w:val="TableContents"/>
              <w:spacing w:before="0" w:after="1"/>
              <w:ind w:left="0" w:right="0" w:hanging="0"/>
              <w:jc w:val="center"/>
              <w:rPr/>
            </w:pPr>
            <w:r>
              <w:rPr/>
              <w:t>​</w:t>
            </w:r>
          </w:p>
        </w:tc>
        <w:tc>
          <w:tcPr>
            <w:tcW w:w="141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September 2011</w:t>
            </w:r>
          </w:p>
        </w:tc>
        <w:tc>
          <w:tcPr>
            <w:tcW w:w="326" w:type="dxa"/>
            <w:tcBorders/>
            <w:shd w:fill="CCEEFF" w:val="clear"/>
            <w:vAlign w:val="center"/>
          </w:tcPr>
          <w:p>
            <w:pPr>
              <w:pStyle w:val="TableContents"/>
              <w:spacing w:before="0" w:after="1"/>
              <w:ind w:left="0" w:right="0" w:hanging="0"/>
              <w:jc w:val="center"/>
              <w:rPr/>
            </w:pPr>
            <w:r>
              <w:rPr/>
              <w:t>​</w:t>
            </w:r>
          </w:p>
        </w:tc>
        <w:tc>
          <w:tcPr>
            <w:tcW w:w="1742"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2010</w:t>
            </w:r>
          </w:p>
        </w:tc>
      </w:tr>
      <w:tr>
        <w:trPr/>
        <w:tc>
          <w:tcPr>
            <w:tcW w:w="25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 Qurate Agreement</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326" w:type="dxa"/>
            <w:tcBorders/>
            <w:shd w:fill="auto" w:val="clear"/>
            <w:vAlign w:val="center"/>
          </w:tcPr>
          <w:p>
            <w:pPr>
              <w:pStyle w:val="TableContents"/>
              <w:spacing w:before="0" w:after="1"/>
              <w:ind w:left="0" w:right="0" w:hanging="0"/>
              <w:rPr/>
            </w:pPr>
            <w:r>
              <w:rPr/>
              <w:t> </w:t>
            </w:r>
          </w:p>
        </w:tc>
        <w:tc>
          <w:tcPr>
            <w:tcW w:w="141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2015</w:t>
            </w:r>
          </w:p>
        </w:tc>
        <w:tc>
          <w:tcPr>
            <w:tcW w:w="326" w:type="dxa"/>
            <w:tcBorders/>
            <w:shd w:fill="auto" w:val="clear"/>
            <w:vAlign w:val="center"/>
          </w:tcPr>
          <w:p>
            <w:pPr>
              <w:pStyle w:val="TableContents"/>
              <w:spacing w:before="0" w:after="1"/>
              <w:ind w:left="0" w:right="0" w:hanging="0"/>
              <w:rPr/>
            </w:pPr>
            <w:r>
              <w:rPr/>
              <w:t> </w:t>
            </w:r>
          </w:p>
        </w:tc>
        <w:tc>
          <w:tcPr>
            <w:tcW w:w="1742"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2015</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On May 31, 2022, in connection with the sale of a majority interest in the Isaac Mizrahi brand to a third party, this agreement was assigned to IM Topco, LLC, in which Xcel retains a noncontrolling interest.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In the fourth quarter of 2020, the Company transitioned and discontinued licensing of the H Halston brand to Qurate. The Company began wholesale supply sales of the H Halston products under arrangements with HSN and certain Qurate global affiliates and other unrelated interactive television networks.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agreements, on August 30, 2022, Qurate and Xcel amended its licensing agreement for the Judith Ripka brand to terminate the license period effective December 31, 2021. Effective January 1, 2022, the agreement is effective with respect to a sell-off period, under which Qurate may continue to license the Ripka brand on a non-exclusive basis for as long as necessary to sell off any of its remaining 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foregoing and during the same periods, Qurate and its subsidiaries have the exclusive, worldwide right to use the names, likenesses, images, voices, and performances of our spokespersons to promote the respective products.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Qurate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our grant of worldwide promotion rights to Qurate, we may, with the permission of Qurate,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Qurate based on the net retail sales of such products through such channels – with the exception of the Longaberger Brand, for which no reverse royalty payments are required to be made to Qurate under the terms of the applicable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under the Qurate Agreements, except for the Longaberger Qurate Agreement, we are required for a period of time to pay a royalty participation fee to Qurate on revenue earned from the sale, license, consignment, or any other form of distribution of any products, bearing, marketed in connection with or otherwise associated with the specified trademarks and brands. Such royalty participation fees are recorded as a reduction to net licensing revenue.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Qurate Agreements, we are generally restricted from selling products under the specified respective brands or trademarks (including the trademarks, copyrights, designs, logos, and related intellectual property themselves) to certain mass merchants. The Qurate Agreements generally prohibit us from selling products under the specified respective brands or any of our other trademarks and brands to a direct competitor of Qurate (generally defined as any entity other than Qurate whose primary means of deriving revenue is the transmission of interactive television programs) without Qurate’s consent. In addition, during the term of the Ripka Qurate Agreement, and for one year thereafter, we may not, without Qurate’s consent, promote, advertise, endorse, or sell (i) the specified branded products through any means or (ii) any products through interactive television. During the term of the H Qurate Agreement, and for one year thereafter, we may not, without Qurate’s consent, promote, advertise, endorse, or sell any products, including the H by Halston brands,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through interactive television. In addition to the foregoing, certain of the agreements permit us to promote brick-and-mortar collections on Qurate’s television programs subject to certain terms and restrictions.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2022 and 2021, net licensing revenue from Qurate collectively accounted for 44% and 50%, respectively, of the total net revenue of the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Licensing Agreements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numerous other licensing agreements for sales and distribution through e-commerce and traditional brick-and-mortar retailers. Authorized distribution channels include department stores, mass merchant retailers, clubs, and national specialty retailers.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in discussions with other potential licensees and strategic partners to license and/or co-brand our brand portfolio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through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Wholesale and e-Commerce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2022, we added our Q Optix business to our wholesale operations. Our focus is to continue to grow our direct-to-consumer and live-streaming businesses into a significant portion of our overall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Collaborations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certain cases, the Company collaborates with and provides promotional services to other brands or companies, which arrangements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have included promotions with Sesame Street, Crayola, Hewlett Packard, Revlon, Johnson &amp; Johnson, and Kleenex.</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provide certain technology services to our retail partners and certain of our licensees under our proprietary integrated technology platform.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Marketing is a critical element to maximize brand value to our licensees and our Company. We employ live streaming, social media, and other marketing and public relations support for our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Given our true omni-channel retail sales strategy focusing on the sale of branded products through various distribution channels (including live-streaming, e-commerce, interactive television, and traditional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 partners to leverage their marketing resources, including e-commerce platforms and related digital marketing campaigns, social media platforms, direct mail pieces, and public relations efforts.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market the Judith Ripka Fine Jewelry brand through www.judithripka.com, Halston Brand through www.halston.com, the C Wonder brand through www.cwonder.com, the Lori Goldstein brand through www.lorigoldstein.com, and the Longaberger brand through www.longaberger.com. Through our websites, we are able to present the products under our brands to customers with branding that reflects each brand’s heritage and unique point of 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e-commerce businesses’ growth is dependent on live-streaming and other marketing to drive traffic to our websites and converting our visitors into customers.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including our officers’ and directors’ historical track records and relationships within the industry;</w:t>
            </w:r>
          </w:p>
        </w:tc>
      </w:tr>
    </w:tbl>
    <w:tbl>
      <w:tblPr>
        <w:tblW w:w="9441" w:type="dxa"/>
        <w:jc w:val="left"/>
        <w:tblInd w:w="0" w:type="dxa"/>
        <w:tblCellMar>
          <w:top w:w="28" w:type="dxa"/>
          <w:left w:w="28" w:type="dxa"/>
          <w:bottom w:w="28" w:type="dxa"/>
          <w:right w:w="28" w:type="dxa"/>
        </w:tblCellMar>
      </w:tblPr>
      <w:tblGrid>
        <w:gridCol w:w="124"/>
        <w:gridCol w:w="256"/>
        <w:gridCol w:w="9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management platform, which has a strong focus on design, product, marketing, and technology;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strategies of wholesale and direct-to consumer sales and licensing brands with significant media presence and driving sales through our true omni-channel retail sales strategy across interactive television, brick-and-mortar, live streaming, and e-commerce distribution channels.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markets for their products, and we may not be able to continue to compete successfully with respect to our licensing arrangements.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Trademarks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through its wholly owned subsidiaries, owns and exploits the Lori Goldstein brands, which include the trademarks and brands LOGO by Lori Goldstein, LOGO, LOGO Links, LOGO Lounge, LOGO Layers, and LOGO Luna; the Halston brands, which include the trademarks and brands Halston, Halston Heritage, Roy Frowick, H by Halston, and H Halston; the Ripka brands, which include the trademarks and brands Judith Ripka LTD, Judith Ripka Collection, Judith Ripka Legacy, Judith Ripka, and Judith Ripka Sterling; and the C Wonder brands, which include the trademarks and brands C Wonder and C Wonder Limited. We manage and have a 50% ownership interest in the brands and trademarks of the Longaberger brand through our business venture with Hilco Global. We have a 50% ownership interest in the brands and trademarks of the Q Optix brand through our business venture with Vita Frame LLC. We also have a 30% ownership interest in the Mizrahi brands, which include the trademarks and brands Isaac Mizrahi, Isaac Mizrahi New York, IMNYC Isaac Mizrahi, and IsaacMizrahiLIVE, through our business venture with WHP Global.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Human 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employees’ knowledge, social, and personality attributes enable our company to achieve its goals, develop our business, and remain innovative. As of December 31, 2022, we had 69 full-time employees and 12 part-time employees. We value our employees and are committed to providing a healthy and safe work environment. For certain key employees, including our executives, brand ambassadors, and spokespersons, we typically enter into multi-year employment agreements. Overall, we believe that our relationship with our employees is good. None of our employees are represented by a labor union.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Government Regulation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25" w:name="Item1ARiskFactors_64763"/>
      <w:bookmarkStart w:id="26" w:name="_e232d73a_8f8d_48d1_9d80_5ee802d6daa8"/>
      <w:bookmarkEnd w:id="25"/>
      <w:bookmarkEnd w:id="26"/>
      <w:r>
        <w:rPr>
          <w:rFonts w:ascii="Times New Roman;Times;serif" w:hAnsi="Times New Roman;Times;serif"/>
          <w:b/>
          <w:sz w:val="20"/>
        </w:rPr>
        <w:t>Item 1A.   Risk Factors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Our business is subject to a number of risks, which include, but are not limited to, risks related to:</w:t>
      </w:r>
    </w:p>
    <w:tbl>
      <w:tblPr>
        <w:tblW w:w="2811" w:type="dxa"/>
        <w:jc w:val="left"/>
        <w:tblInd w:w="0" w:type="dxa"/>
        <w:tblCellMar>
          <w:top w:w="28" w:type="dxa"/>
          <w:left w:w="28" w:type="dxa"/>
          <w:bottom w:w="28" w:type="dxa"/>
          <w:right w:w="28" w:type="dxa"/>
        </w:tblCellMar>
      </w:tblPr>
      <w:tblGrid>
        <w:gridCol w:w="124"/>
        <w:gridCol w:w="256"/>
        <w:gridCol w:w="24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limited amount of cash; </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concentration of revenue with a limited number of licensees; </w:t>
            </w:r>
          </w:p>
        </w:tc>
      </w:tr>
    </w:tbl>
    <w:tbl>
      <w:tblPr>
        <w:tblW w:w="5046" w:type="dxa"/>
        <w:jc w:val="left"/>
        <w:tblInd w:w="0" w:type="dxa"/>
        <w:tblCellMar>
          <w:top w:w="28" w:type="dxa"/>
          <w:left w:w="28" w:type="dxa"/>
          <w:bottom w:w="28" w:type="dxa"/>
          <w:right w:w="28" w:type="dxa"/>
        </w:tblCellMar>
      </w:tblPr>
      <w:tblGrid>
        <w:gridCol w:w="124"/>
        <w:gridCol w:w="256"/>
        <w:gridCol w:w="4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restrictions related to certain key licensing agreements; </w:t>
            </w:r>
          </w:p>
        </w:tc>
      </w:tr>
    </w:tbl>
    <w:tbl>
      <w:tblPr>
        <w:tblW w:w="7686" w:type="dxa"/>
        <w:jc w:val="left"/>
        <w:tblInd w:w="0" w:type="dxa"/>
        <w:tblCellMar>
          <w:top w:w="28" w:type="dxa"/>
          <w:left w:w="28" w:type="dxa"/>
          <w:bottom w:w="28" w:type="dxa"/>
          <w:right w:w="28" w:type="dxa"/>
        </w:tblCellMar>
      </w:tblPr>
      <w:tblGrid>
        <w:gridCol w:w="124"/>
        <w:gridCol w:w="256"/>
        <w:gridCol w:w="7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operations through joint ventures and our dependence on the joint ventures;</w:t>
            </w:r>
          </w:p>
        </w:tc>
      </w:tr>
    </w:tbl>
    <w:tbl>
      <w:tblPr>
        <w:tblW w:w="3891" w:type="dxa"/>
        <w:jc w:val="left"/>
        <w:tblInd w:w="0" w:type="dxa"/>
        <w:tblCellMar>
          <w:top w:w="28" w:type="dxa"/>
          <w:left w:w="28" w:type="dxa"/>
          <w:bottom w:w="28" w:type="dxa"/>
          <w:right w:w="28" w:type="dxa"/>
        </w:tblCellMar>
      </w:tblPr>
      <w:tblGrid>
        <w:gridCol w:w="124"/>
        <w:gridCol w:w="256"/>
        <w:gridCol w:w="35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dependency upon our spokespersons;</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operational performance and/or strategic initiatives of our licensees and retail partners; </w:t>
            </w:r>
          </w:p>
        </w:tc>
      </w:tr>
    </w:tbl>
    <w:tbl>
      <w:tblPr>
        <w:tblW w:w="5211" w:type="dxa"/>
        <w:jc w:val="left"/>
        <w:tblInd w:w="0" w:type="dxa"/>
        <w:tblCellMar>
          <w:top w:w="28" w:type="dxa"/>
          <w:left w:w="28" w:type="dxa"/>
          <w:bottom w:w="28" w:type="dxa"/>
          <w:right w:w="28" w:type="dxa"/>
        </w:tblCellMar>
      </w:tblPr>
      <w:tblGrid>
        <w:gridCol w:w="124"/>
        <w:gridCol w:w="256"/>
        <w:gridCol w:w="4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continued market acceptance of our brands and products; </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use of social media and influencers to market brands and products; </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changing consumer preferences and shifting industry trends; </w:t>
            </w:r>
          </w:p>
        </w:tc>
      </w:tr>
    </w:tbl>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execution of our growth strategy, including the acquisition of new brands; </w:t>
            </w:r>
          </w:p>
        </w:tc>
      </w:tr>
    </w:tbl>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dependency on our Chief Executive Officer and other key executives; </w:t>
            </w:r>
          </w:p>
        </w:tc>
      </w:tr>
    </w:tbl>
    <w:tbl>
      <w:tblPr>
        <w:tblW w:w="8766" w:type="dxa"/>
        <w:jc w:val="left"/>
        <w:tblInd w:w="0" w:type="dxa"/>
        <w:tblCellMar>
          <w:top w:w="28" w:type="dxa"/>
          <w:left w:w="28" w:type="dxa"/>
          <w:bottom w:w="28" w:type="dxa"/>
          <w:right w:w="28" w:type="dxa"/>
        </w:tblCellMar>
      </w:tblPr>
      <w:tblGrid>
        <w:gridCol w:w="124"/>
        <w:gridCol w:w="256"/>
        <w:gridCol w:w="8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intense competition in the apparel, fashion, and jewelry industries, and within our licensees’ markets;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sourcing, including our arrangements with foreign suppliers, supply and logistics considerations, and our dependency on independent manufacturers; and </w:t>
            </w:r>
          </w:p>
        </w:tc>
      </w:tr>
    </w:tbl>
    <w:tbl>
      <w:tblPr>
        <w:tblW w:w="5901" w:type="dxa"/>
        <w:jc w:val="left"/>
        <w:tblInd w:w="0" w:type="dxa"/>
        <w:tblCellMar>
          <w:top w:w="28" w:type="dxa"/>
          <w:left w:w="28" w:type="dxa"/>
          <w:bottom w:w="28" w:type="dxa"/>
          <w:right w:w="28" w:type="dxa"/>
        </w:tblCellMar>
      </w:tblPr>
      <w:tblGrid>
        <w:gridCol w:w="124"/>
        <w:gridCol w:w="25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trademarks and other intellectual property rights.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sz w:val="20"/>
        </w:rPr>
        <w:t>An investment in our securities</w:t>
      </w:r>
      <w:r>
        <w:rPr>
          <w:rFonts w:ascii="Times New Roman;Times;serif" w:hAnsi="Times New Roman;Times;serif"/>
          <w:b/>
          <w:sz w:val="20"/>
        </w:rPr>
        <w:t xml:space="preserve"> </w:t>
      </w:r>
      <w:r>
        <w:rPr>
          <w:rFonts w:ascii="Times New Roman;Times;serif" w:hAnsi="Times New Roman;Times;serif"/>
          <w:b w:val="false"/>
          <w:sz w:val="20"/>
        </w:rPr>
        <w:t>is subject to a number of risks, which include, but are not limited to, risks related to:</w:t>
      </w:r>
    </w:p>
    <w:tbl>
      <w:tblPr>
        <w:tblW w:w="6936" w:type="dxa"/>
        <w:jc w:val="left"/>
        <w:tblInd w:w="0" w:type="dxa"/>
        <w:tblCellMar>
          <w:top w:w="28" w:type="dxa"/>
          <w:left w:w="28" w:type="dxa"/>
          <w:bottom w:w="28" w:type="dxa"/>
          <w:right w:w="28" w:type="dxa"/>
        </w:tblCellMar>
      </w:tblPr>
      <w:tblGrid>
        <w:gridCol w:w="124"/>
        <w:gridCol w:w="25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management’s significant control over matters requiring shareholder approval; </w:t>
            </w:r>
          </w:p>
        </w:tc>
      </w:tr>
    </w:tbl>
    <w:tbl>
      <w:tblPr>
        <w:tblW w:w="7041" w:type="dxa"/>
        <w:jc w:val="left"/>
        <w:tblInd w:w="0" w:type="dxa"/>
        <w:tblCellMar>
          <w:top w:w="28" w:type="dxa"/>
          <w:left w:w="28" w:type="dxa"/>
          <w:bottom w:w="28" w:type="dxa"/>
          <w:right w:w="28" w:type="dxa"/>
        </w:tblCellMar>
      </w:tblPr>
      <w:tblGrid>
        <w:gridCol w:w="124"/>
        <w:gridCol w:w="256"/>
        <w:gridCol w:w="6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difficulty in liquidating an investment in shares of our common stock; </w:t>
            </w:r>
          </w:p>
        </w:tc>
      </w:tr>
    </w:tbl>
    <w:tbl>
      <w:tblPr>
        <w:tblW w:w="8241" w:type="dxa"/>
        <w:jc w:val="left"/>
        <w:tblInd w:w="0" w:type="dxa"/>
        <w:tblCellMar>
          <w:top w:w="28" w:type="dxa"/>
          <w:left w:w="28" w:type="dxa"/>
          <w:bottom w:w="28" w:type="dxa"/>
          <w:right w:w="28" w:type="dxa"/>
        </w:tblCellMar>
      </w:tblPr>
      <w:tblGrid>
        <w:gridCol w:w="124"/>
        <w:gridCol w:w="256"/>
        <w:gridCol w:w="7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impact of SEC “penny stock” rules on trading of our shares of our common stock; </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declines of and volatility in the market price of our common stock;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636" w:type="dxa"/>
        <w:jc w:val="left"/>
        <w:tblInd w:w="0" w:type="dxa"/>
        <w:tblCellMar>
          <w:top w:w="28" w:type="dxa"/>
          <w:left w:w="28" w:type="dxa"/>
          <w:bottom w:w="28" w:type="dxa"/>
          <w:right w:w="28" w:type="dxa"/>
        </w:tblCellMar>
      </w:tblPr>
      <w:tblGrid>
        <w:gridCol w:w="124"/>
        <w:gridCol w:w="25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issuance of a substantial number of shares of common stock upon exercise of warrants and options; </w:t>
            </w:r>
          </w:p>
        </w:tc>
      </w:tr>
    </w:tbl>
    <w:tbl>
      <w:tblPr>
        <w:tblW w:w="8916" w:type="dxa"/>
        <w:jc w:val="left"/>
        <w:tblInd w:w="0" w:type="dxa"/>
        <w:tblCellMar>
          <w:top w:w="28" w:type="dxa"/>
          <w:left w:w="28" w:type="dxa"/>
          <w:bottom w:w="28" w:type="dxa"/>
          <w:right w:w="28" w:type="dxa"/>
        </w:tblCellMar>
      </w:tblPr>
      <w:tblGrid>
        <w:gridCol w:w="124"/>
        <w:gridCol w:w="256"/>
        <w:gridCol w:w="8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impact of Rule 144 restrictions on our shares of common stock as a former shell company; </w:t>
            </w:r>
          </w:p>
        </w:tc>
      </w:tr>
    </w:tbl>
    <w:tbl>
      <w:tblPr>
        <w:tblW w:w="6306" w:type="dxa"/>
        <w:jc w:val="left"/>
        <w:tblInd w:w="0" w:type="dxa"/>
        <w:tblCellMar>
          <w:top w:w="28" w:type="dxa"/>
          <w:left w:w="28" w:type="dxa"/>
          <w:bottom w:w="28" w:type="dxa"/>
          <w:right w:w="28" w:type="dxa"/>
        </w:tblCellMar>
      </w:tblPr>
      <w:tblGrid>
        <w:gridCol w:w="124"/>
        <w:gridCol w:w="256"/>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intent to not pay any cash dividends for the foreseeable future; and </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corporate charter documents which could delay or prevent change of control.</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subject to general risks, which include, but are not limited to, risks related to:</w:t>
      </w:r>
    </w:p>
    <w:tbl>
      <w:tblPr>
        <w:tblW w:w="7791" w:type="dxa"/>
        <w:jc w:val="left"/>
        <w:tblInd w:w="0" w:type="dxa"/>
        <w:tblCellMar>
          <w:top w:w="28" w:type="dxa"/>
          <w:left w:w="28" w:type="dxa"/>
          <w:bottom w:w="28" w:type="dxa"/>
          <w:right w:w="28" w:type="dxa"/>
        </w:tblCellMar>
      </w:tblPr>
      <w:tblGrid>
        <w:gridCol w:w="124"/>
        <w:gridCol w:w="25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pandemic or outbreak of disease or similar public health threat, or fear of such an event; </w:t>
            </w:r>
          </w:p>
        </w:tc>
      </w:tr>
    </w:tbl>
    <w:tbl>
      <w:tblPr>
        <w:tblW w:w="2646" w:type="dxa"/>
        <w:jc w:val="left"/>
        <w:tblInd w:w="0" w:type="dxa"/>
        <w:tblCellMar>
          <w:top w:w="28" w:type="dxa"/>
          <w:left w:w="28" w:type="dxa"/>
          <w:bottom w:w="28" w:type="dxa"/>
          <w:right w:w="28" w:type="dxa"/>
        </w:tblCellMar>
      </w:tblPr>
      <w:tblGrid>
        <w:gridCol w:w="124"/>
        <w:gridCol w:w="256"/>
        <w:gridCol w:w="2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supply chain disruptions; </w:t>
            </w:r>
          </w:p>
        </w:tc>
      </w:tr>
    </w:tbl>
    <w:tbl>
      <w:tblPr>
        <w:tblW w:w="3126" w:type="dxa"/>
        <w:jc w:val="left"/>
        <w:tblInd w:w="0" w:type="dxa"/>
        <w:tblCellMar>
          <w:top w:w="28" w:type="dxa"/>
          <w:left w:w="28" w:type="dxa"/>
          <w:bottom w:w="28" w:type="dxa"/>
          <w:right w:w="28" w:type="dxa"/>
        </w:tblCellMar>
      </w:tblPr>
      <w:tblGrid>
        <w:gridCol w:w="124"/>
        <w:gridCol w:w="256"/>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Ukrainian-Russian conflict; </w:t>
            </w:r>
          </w:p>
        </w:tc>
      </w:tr>
    </w:tbl>
    <w:tbl>
      <w:tblPr>
        <w:tblW w:w="6336" w:type="dxa"/>
        <w:jc w:val="left"/>
        <w:tblInd w:w="0" w:type="dxa"/>
        <w:tblCellMar>
          <w:top w:w="28" w:type="dxa"/>
          <w:left w:w="28" w:type="dxa"/>
          <w:bottom w:w="28" w:type="dxa"/>
          <w:right w:w="28" w:type="dxa"/>
        </w:tblCellMar>
      </w:tblPr>
      <w:tblGrid>
        <w:gridCol w:w="124"/>
        <w:gridCol w:w="256"/>
        <w:gridCol w:w="5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decline in general economic conditions or consumer spending levels; </w:t>
            </w:r>
          </w:p>
        </w:tc>
      </w:tr>
    </w:tbl>
    <w:tbl>
      <w:tblPr>
        <w:tblW w:w="3621" w:type="dxa"/>
        <w:jc w:val="left"/>
        <w:tblInd w:w="0" w:type="dxa"/>
        <w:tblCellMar>
          <w:top w:w="28" w:type="dxa"/>
          <w:left w:w="28" w:type="dxa"/>
          <w:bottom w:w="28" w:type="dxa"/>
          <w:right w:w="28" w:type="dxa"/>
        </w:tblCellMar>
      </w:tblPr>
      <w:tblGrid>
        <w:gridCol w:w="124"/>
        <w:gridCol w:w="256"/>
        <w:gridCol w:w="3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inflation and/or a potential recession; </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extreme or unseasonable weather conditions; </w:t>
            </w:r>
          </w:p>
        </w:tc>
      </w:tr>
    </w:tbl>
    <w:tbl>
      <w:tblPr>
        <w:tblW w:w="8376" w:type="dxa"/>
        <w:jc w:val="left"/>
        <w:tblInd w:w="0" w:type="dxa"/>
        <w:tblCellMar>
          <w:top w:w="28" w:type="dxa"/>
          <w:left w:w="28" w:type="dxa"/>
          <w:bottom w:w="28" w:type="dxa"/>
          <w:right w:w="28" w:type="dxa"/>
        </w:tblCellMar>
      </w:tblPr>
      <w:tblGrid>
        <w:gridCol w:w="124"/>
        <w:gridCol w:w="256"/>
        <w:gridCol w:w="7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impairment of our trademarks and other intangible assets under accounting guidelines; </w:t>
            </w:r>
          </w:p>
        </w:tc>
      </w:tr>
    </w:tbl>
    <w:tbl>
      <w:tblPr>
        <w:tblW w:w="8661" w:type="dxa"/>
        <w:jc w:val="left"/>
        <w:tblInd w:w="0" w:type="dxa"/>
        <w:tblCellMar>
          <w:top w:w="28" w:type="dxa"/>
          <w:left w:w="28" w:type="dxa"/>
          <w:bottom w:w="28" w:type="dxa"/>
          <w:right w:w="28" w:type="dxa"/>
        </w:tblCellMar>
      </w:tblPr>
      <w:tblGrid>
        <w:gridCol w:w="124"/>
        <w:gridCol w:w="256"/>
        <w:gridCol w:w="8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our effective tax rates or adverse outcomes resulting from examination of our tax returns; </w:t>
            </w:r>
          </w:p>
        </w:tc>
      </w:tr>
    </w:tbl>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maintenance and security of our information technology systems; </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laws and regulations; </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 effective system of internal control; and</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liabilities of our directors and executive officers.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we had cash and cash equivalents of approximately $4.6 million, and during the year ended December 31, 2022, we used $14.2 million of cash in operating activities. Although we believe that our existing cash and our anticipated cash flow from operations will be sufficient to sustain our operations at our current expense levels for at least twelve months subsequent to the date of the filing of this Annual Report on Form 10-K, we may require significant additional cash to satisfy our working capital requirements, expand our operations or acquire and develop additional brands.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substantial portion of our net licensing revenue is concentrated with a limited number of licensees such that the loss of any of such licensees could decrease our revenue and impair our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substantial portion of our net licensing revenue has been paid by Qurate, through the respective agreements with Qurate through QVC and HSN. During the years ended December 31, 2022 and 2021, Qurate accounted for approximately 44% and 50%, respectively, of our total net revenue. Because we are dependent on these agreements with Qurate for a significant portion of our revenues, if Qurate were to have financial difficulties, or if Qurate decides not to renew or extend its existing agreements with us, our revenue and cash flows could be reduced substantially. Our cash flow would also be significantly impacted if there were significant delays in our collection of receivables from Qurate. Additionally, we have limited control over the programming that Qurate devotes to our brands or its promotional sales with our brands (such as “Today’s Special Value” sales). Qurate has reduced the programming time it devotes to jewelry and, accordingly, also to our Ripka brand, and if Qurate further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our business with Qurate has grown since we first launched one of our brands on QVC, our Qurate revenues declined from 2021 to 2022, as a result of the May 31, 2022 sale of a controlling interest of the Isaac Mizrachi brand through the sale of a 70% interest in IM Topco, LLC. There can be no guarantee that our Qurate revenues will grow in the future or that they will not decline further.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recently begun to conduct certain of our operations through a joint venture. Joint ventures could fail to meet our expectations or cease to deliver anticipated benefits. There could also be disagreements with our joint venture partners that could adversely affect our interest a joint venture.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May 2022, we sold a majority interest in Isaac Mizrachi brand through the sale of a 70% interest in IM Topco, LLC. We may enter into additional joint ventures in the future. Our operating results are, in part, dependent upon the performance of IM Topco, LLC and, in the future, could also be dependent in part upon the performance of future joint ventures. Joint ventures involve numerous risks, and could fail to meet our initial or ongoing expectations. We provide certain services to IM Topco, LLC and may provide services to future joint ventures, but we do not control the day-to-day operations of IM Topco, LLC and may not control the day-to-day operations of future joint ventures.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joint ventures to provide timely and accurate information about their sales and operations, which we rely upon to effectively manage their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IM Topco, LLC is, and we expect future joint ventures will be, contractually obligated to provide timely and accurate information regarding their sales and operations. We rely on this information to prepare our consolidated financial statements. Any delay in reporting reduces our visibility into the results of operations for IM Topco, LLC and any future joint ventures, and our inability to collect timely and accurate information may affect our ability to timely complete our financial statements and timely file reports and other information with the SEC and may adversely affect our business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dependent upon the promotional services of Lori Goldstein and our other spokespersons as they relate to our respective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we lose the services of Lori Goldstein, we may not be able to fully comply with the terms of our agreement with Qurate, and it may result in significant reductions in the value of the LOGO by Lori Goldstein brand and our prospects, revenues, and cash flows. Lori Goldstein is a key individual in our continued promotion of the LOGO by Lori Goldstein brand and the principal salesperson of the LOGO by Lori Goldstein brand on Qurate. Failure of Lori Goldstein to provide services to Qurate could result in a termination of related agreements with Qurate, which could trigger an event of default under our credit facility. Although we have entered into an employment agreement with Ms. Goldstein, there is no guarantee that we will not lose her services. To the extent that any of Ms. Goldstein’s services become unavailable to us, we will likely need to find a replacement for Ms. Goldstein to promote the LOGO by Lori Goldstein brand. Competition for skilled designers and high-profile brand promoters is intense, and compensation levels may be high, and there is no guarantee that we would be able to identify and attract a qualified replacement, or if Ms. Goldstein’s services are not available to us, that we would be able to promote the LOGO by Lori Goldstein brand as well as we are able to with Ms. Goldstein. This could significantly affect the value of the LOGO by Lori Goldstein brand and our ability to market the brand, and could impede our ability to fully implement our business plan and future growth strategy, which would harm our business and prospects. Additionally, while we acquired all trademarks, image, and likeness of Lori Goldstein, pursuant to the acquisition of the LOGO by Lori Goldstein assets and her employment agreement, Ms. Goldstein has retained certain rights to participate in outside business activities, including hosting and appearing in television shows, movies and theater productions, and writing and publishing books and other publications. Ms. Goldstein’s participation in these personal business ventures could limit her availability to us and affect her ability to perform under this employment agreement. Finally, there is no guarantee that Ms. Goldstein will not take an action that consumers view as negative, which may harm the LOGO by Lori Goldstein brand as well as our business and prospects.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will also be dependent upon the services of our other spokespersons and our joint venture partner’s spokesperson to promote our other brands and the brands of our joint venture. The loss of a spokesperson or a joint ventures’ spokesperson could significantly affect the value of the related brand or our related joint venture interest and our or our related joint venture’s ability to market the brand which would harm our business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failure of our licensees to adequately produce, market, source, and sell quality products bearing our brand names in their license categories or to pay their obligations under their license agreements could result in a decline in our results of operations.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minimums) due to us. A weak economy or softness in the apparel and retail sectors could exacerbate this risk. This, in turn, could decrease our potential revenues. The concurrent failure by several of our material licensees to meet their financial obligations to us could adversely affect our business, results of operations, and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the risks associated with our Judith Ripka brand’s wholesale and direct-to-consumer model.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commenced e-commerce sales and wholesale distribution of our Judith Ripka brand in 2017 and 2018, respectively. In 2019, we completed the transition of our non-interactive television operations of our Judith Ripka brand from a licensing model to a wholesale and direct-to-consumer model. We opened a brick-and-mortar retail store for the Judith Ripka brand in 2021, which we subsequently closed in 2022. As a result, we do not have a well-established history of conducting these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produce product for our Judith Ripka brands to hold as inventory for sales through our website and wholesale accounts. If we misjudge the market for our Judith Ripka products, we may be faced with significant excess inventory for some products and missed opportunities for other products. In addition, weak sales and mark downs by our retailers or our need to liquidate excess inventory could adversely affect our results of operations. If we are not successful in managing our inventory balances, our cash flows and operating results may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retail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retail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dependent on continued market acceptance of our brands, our joint venture brands, and any future brands we may acquire directly or through a joint venture, and the products of our licensees.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certain of our licensees guarantee minimum net sales and minimum royalties to us, some of our licensees are not yet selling licensed products or currently have limited distribution of licensed products, and a failure of our brands or of our joint venture brands or of products bearing our brands or our joint venture brands to achieve or maintain broad market acceptance could cause a reduction of our licensing revenues, diminish the value of and generally affect the operating results of our joint ventures, and could further cause existing licensees not to renew their agreements. Such failure could also cause the devaluation of our trademarks, which are our primary assets and the primary assets of our joint ventures, making it more difficult for us or our joint ventures to renew our current licenses upon their expiration or enter into new or additional licenses for such trademarks. In addition, if such devaluation of our trademarks were to occur, a material impairment in the carrying value of one or more of our trademarks, which had an aggregate carrying value of $47.7 million as of December 31, 2022, could also occur and be charged as an expense to our operating results. Continued market acceptance of our brands, our joint ventures’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licensees and joint ventures to maintain the quality of their products could harm the reputation and marketability of our brands and our joint ventures’ brands, which would adversely impact our business and the business of our joint ventures.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Negative claims or publicity regarding Xcel, IM Topco, LLC, any future joint ventures, our or their brands, or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social media and influencers may materially and adversely affect our reputation or subject us to fines or other penalties.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use and our joint ventures may use third-party social media platforms as, among other things, marketing tools. We also maintain, and our joint ventures may maintain, relationships with many social media influencers and engage in sponsorship initiatives. As existing e-commerce and social media platforms continue to rapidly evolve and new platforms develop, we and our joint ventures must continue to maintain a presence on these platforms and establish presences on new or emerging popular social media platforms. If we or our joint ventures are unable to cost-effectively use social media platforms as marketing tools or if the social media platforms we or our joint ventures use change their policies or algorithms, we or our joint ventures may not be able to fully optimize such platforms, and our and their ability to maintain and acquire customers and our financial condition may suffer.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an increase in the use of social media for product promotion and marketing may cause an increase in the burden on us and our joint ventures to monitor compliance of such materials, and increase the risk that such materials could contain problematic product or marketing claims in violation of applicable regulations. For example, in some cases, the Federal Trade Commission has sought enforcement action where an endorsement has failed to clearly and conspicuously disclose a financial relationship or material connection between an influencer and an advertiser.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do not prescribe what our influencers post, and if we were held responsible for the content of their posts or their actions, we could be fined or forced to alter our practices, which could have an adverse impact 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Negative commentary regarding us, our joint ventures or our or their products or influencers and other third parties who are affiliated with us or our joint ventures may also be posted on social media platforms and may be adverse to our or our joint ventures’ reputation or business. Influencers with whom we or our joint ventures maintain relationships could engage in behavior or use their platforms to communicate directly with our customers in a manner that reflects poorly on our or our joint ventures’ brand and may be attributed to us or our joint ventures or otherwise adversely affect us or our joint ventures. It is not possible to prevent such behavior, and the precautions we and our joint ventures take to detect this activity may not be effective in all cases. Our and our joint ventures’ target consumers often value readily available information and often act on such information without further investigation and without regard to its accuracy. The harm may be immediate, without affording us and our joint ventures an opportunity for redress or correction.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anticipate and respond to changing customer preferences and shifts in fashion and industry trends in a timely manner, our business, financial condition, and operating results could be harmed.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success largely depends on our ability to consistently gauge tastes and trends and provide a diverse and balanced assortment of merchandise that satisfies customer demands in a timely manner. Our ability to accurately forecast demand for our products could be affected by many factors, including an increase or decrease in demand for our products or for products of our competitors, our failure to accurately forecast acceptance of new products, product introductions by competitors, unanticipated changes in general market conditions, and weakening of economic conditions or consumer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confidence in future economic conditions. We typically enter into agreements to manufacture and purchase our merchandise in advance of the applicable selling season and our failure to anticipate, identify or react appropriately, or in a timely manner to changes in customer preferences, tastes and trends or economic conditions could lead to, among other things, missed opportunities, excess inventory or inventory shortages, markdowns and write-offs, all of which could negatively impact our profitability and have a material adverse effect on our business, financial condition, and operating results. Failure to respond to changing customer preferences and fashion trends could also negatively impact the image of our brands with our customers and result in diminished brand loyalty.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major department, mass merchant, and specialty store chains consolidate, continue to close stores, or cease to do business, our business could be negatively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sell our products through major department, mass merchant, and specialty store chains. Continued consolidation in the retail industry, as well as store closing or retailers ceasing to do business, could negatively impact our business. Various customers of ours have encountered reductions in operations including Macy’s and Kohl’s, as well as other store chains that have reduced the number of stores they operated, Lord &amp; Taylor, which closed all of its stores, and JC Penney and Christopher &amp; Banks, each of which filed for bankruptcy.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expect to achieve growth based upon our plans to expand our business under our existing brands. If we fail to manage our expected future growth, our business and operating results could be materially harmed.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achieve growth in our existing brands through expansion of our wholesale business and e-commerce platforms. Revenue growth is expected to come from new wholesale accounts and increased traffic to our e-commerce sites. We continue to seek new opportunities and international expansion through interactive television and licensing arrangements. The success of our company, however, will still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upon our Chief Executive Officer and other key executives. If we lose the services of these individuals, we may not be able to fully implement our business plan and future growth strategy, which would harm our business and prospects.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identify and successfully acquire additional trademarks, our growth may be limited and, even if additional trademarks are acquired, we may not realize anticipated benefits due to integration or licensing difficulties.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we are focused on growing our existing brands, we intend to selectively seek to acquire additional intellectual property, either directly or through the formation of joint ventures.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associated with the target acquisition or its integration with our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or consummate additional quality business opportunities, including potential licenses and new product lines and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effects on reported results of operations from acquisition related charges and costs, and amortization of acquired intangibles;</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of maintaining focus on, and continuing to execute, core strategies and business plans as our brand and license portfolio grows and becomes more diversified;</w:t>
            </w:r>
          </w:p>
        </w:tc>
      </w:tr>
    </w:tbl>
    <w:tbl>
      <w:tblPr>
        <w:tblW w:w="5436" w:type="dxa"/>
        <w:jc w:val="left"/>
        <w:tblInd w:w="0" w:type="dxa"/>
        <w:tblCellMar>
          <w:top w:w="28" w:type="dxa"/>
          <w:left w:w="28" w:type="dxa"/>
          <w:bottom w:w="28" w:type="dxa"/>
          <w:right w:w="28" w:type="dxa"/>
        </w:tblCellMar>
      </w:tblPr>
      <w:tblGrid>
        <w:gridCol w:w="124"/>
        <w:gridCol w:w="256"/>
        <w:gridCol w:w="5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on existing licensing and other relationships;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entering new domestic and international markets (whether it be with respect to new licensed product categories or new licensed product distribution channels) or markets in which we have limited prior experience;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concentration in our revenues with one or more customers in the event that the brand has distribution channels in which we currently distribute products under one or more of our brands.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there is no guarantee that our stockholders will achieve greater returns as a result of any future acquisitions we complete.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Intense competition in the apparel, fashion, and jewelry industries could reduce our sales and profitability.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tbl>
      <w:tblPr>
        <w:tblW w:w="5271" w:type="dxa"/>
        <w:jc w:val="left"/>
        <w:tblInd w:w="0" w:type="dxa"/>
        <w:tblCellMar>
          <w:top w:w="28" w:type="dxa"/>
          <w:left w:w="28" w:type="dxa"/>
          <w:bottom w:w="28" w:type="dxa"/>
          <w:right w:w="28" w:type="dxa"/>
        </w:tblCellMar>
      </w:tblPr>
      <w:tblGrid>
        <w:gridCol w:w="124"/>
        <w:gridCol w:w="256"/>
        <w:gridCol w:w="4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favorable brand recognition;</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products that appeal to consumers;</w:t>
            </w:r>
          </w:p>
        </w:tc>
      </w:tr>
    </w:tbl>
    <w:tbl>
      <w:tblPr>
        <w:tblW w:w="3066" w:type="dxa"/>
        <w:jc w:val="left"/>
        <w:tblInd w:w="0" w:type="dxa"/>
        <w:tblCellMar>
          <w:top w:w="28" w:type="dxa"/>
          <w:left w:w="28" w:type="dxa"/>
          <w:bottom w:w="28" w:type="dxa"/>
          <w:right w:w="28" w:type="dxa"/>
        </w:tblCellMar>
      </w:tblPr>
      <w:tblGrid>
        <w:gridCol w:w="124"/>
        <w:gridCol w:w="256"/>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products appropriately;</w:t>
            </w:r>
          </w:p>
        </w:tc>
      </w:tr>
    </w:tbl>
    <w:tbl>
      <w:tblPr>
        <w:tblW w:w="4266" w:type="dxa"/>
        <w:jc w:val="left"/>
        <w:tblInd w:w="0" w:type="dxa"/>
        <w:tblCellMar>
          <w:top w:w="28" w:type="dxa"/>
          <w:left w:w="28" w:type="dxa"/>
          <w:bottom w:w="28" w:type="dxa"/>
          <w:right w:w="28" w:type="dxa"/>
        </w:tblCellMar>
      </w:tblPr>
      <w:tblGrid>
        <w:gridCol w:w="124"/>
        <w:gridCol w:w="256"/>
        <w:gridCol w:w="3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maintaining product quality;</w:t>
            </w:r>
          </w:p>
        </w:tc>
      </w:tr>
    </w:tbl>
    <w:tbl>
      <w:tblPr>
        <w:tblW w:w="5361" w:type="dxa"/>
        <w:jc w:val="left"/>
        <w:tblInd w:w="0" w:type="dxa"/>
        <w:tblCellMar>
          <w:top w:w="28" w:type="dxa"/>
          <w:left w:w="28" w:type="dxa"/>
          <w:bottom w:w="28" w:type="dxa"/>
          <w:right w:w="28" w:type="dxa"/>
        </w:tblCellMar>
      </w:tblPr>
      <w:tblGrid>
        <w:gridCol w:w="124"/>
        <w:gridCol w:w="256"/>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access to sufficient floor space in retail locations;</w:t>
            </w:r>
          </w:p>
        </w:tc>
      </w:tr>
    </w:tbl>
    <w:tbl>
      <w:tblPr>
        <w:tblW w:w="4971" w:type="dxa"/>
        <w:jc w:val="left"/>
        <w:tblInd w:w="0" w:type="dxa"/>
        <w:tblCellMar>
          <w:top w:w="28" w:type="dxa"/>
          <w:left w:w="28" w:type="dxa"/>
          <w:bottom w:w="28" w:type="dxa"/>
          <w:right w:w="28" w:type="dxa"/>
        </w:tblCellMar>
      </w:tblPr>
      <w:tblGrid>
        <w:gridCol w:w="124"/>
        <w:gridCol w:w="256"/>
        <w:gridCol w:w="4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appropriate services and support to retailers;</w:t>
            </w:r>
          </w:p>
        </w:tc>
      </w:tr>
    </w:tbl>
    <w:tbl>
      <w:tblPr>
        <w:tblW w:w="3711" w:type="dxa"/>
        <w:jc w:val="left"/>
        <w:tblInd w:w="0" w:type="dxa"/>
        <w:tblCellMar>
          <w:top w:w="28" w:type="dxa"/>
          <w:left w:w="28" w:type="dxa"/>
          <w:bottom w:w="28" w:type="dxa"/>
          <w:right w:w="28" w:type="dxa"/>
        </w:tblCellMar>
      </w:tblPr>
      <w:tblGrid>
        <w:gridCol w:w="124"/>
        <w:gridCol w:w="256"/>
        <w:gridCol w:w="3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growing market share;</w:t>
            </w:r>
          </w:p>
        </w:tc>
      </w:tr>
    </w:tbl>
    <w:tbl>
      <w:tblPr>
        <w:tblW w:w="5406" w:type="dxa"/>
        <w:jc w:val="left"/>
        <w:tblInd w:w="0" w:type="dxa"/>
        <w:tblCellMar>
          <w:top w:w="28" w:type="dxa"/>
          <w:left w:w="28" w:type="dxa"/>
          <w:bottom w:w="28" w:type="dxa"/>
          <w:right w:w="28" w:type="dxa"/>
        </w:tblCellMar>
      </w:tblPr>
      <w:tblGrid>
        <w:gridCol w:w="124"/>
        <w:gridCol w:w="256"/>
        <w:gridCol w:w="5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a competitive e-commerce site;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816" w:type="dxa"/>
        <w:jc w:val="left"/>
        <w:tblInd w:w="0" w:type="dxa"/>
        <w:tblCellMar>
          <w:top w:w="28" w:type="dxa"/>
          <w:left w:w="28" w:type="dxa"/>
          <w:bottom w:w="28" w:type="dxa"/>
          <w:right w:w="28" w:type="dxa"/>
        </w:tblCellMar>
      </w:tblPr>
      <w:tblGrid>
        <w:gridCol w:w="124"/>
        <w:gridCol w:w="256"/>
        <w:gridCol w:w="3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and retaining key employees; and</w:t>
            </w:r>
          </w:p>
        </w:tc>
      </w:tr>
    </w:tbl>
    <w:tbl>
      <w:tblPr>
        <w:tblW w:w="3126" w:type="dxa"/>
        <w:jc w:val="left"/>
        <w:tblInd w:w="0" w:type="dxa"/>
        <w:tblCellMar>
          <w:top w:w="28" w:type="dxa"/>
          <w:left w:w="28" w:type="dxa"/>
          <w:bottom w:w="28" w:type="dxa"/>
          <w:right w:w="28" w:type="dxa"/>
        </w:tblCellMar>
      </w:tblPr>
      <w:tblGrid>
        <w:gridCol w:w="124"/>
        <w:gridCol w:w="256"/>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intellectual property.</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Competition in the apparel, fashion and jewelry industries is intense and is dominated by a number of very large brands, many of which have longer operating histories, larger customer bases, more established relationships with a broader set of suppliers,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of the intense competition within our existing and potential wholesale licensees’ markets and the strength of some of their competitors, we and our licensees may not be able to continue to compete successfully.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extent of our foreign sourcing may adversely affect our business.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and our licensees work with several manufacturers overseas, primarily located in China and Thailand. A manufacturing contractor’s failure to ship products to us in a timely manner or to meet the required quality standards could cause us to miss the delivery date requirements of our customers for those items. The failure to make timely deliveries may cause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customers to cancel orders, refuse to accept deliveries or demand reduced prices, any of which could have a material adverse effect on us. As a result of the magnitude of our foreign sourcing, our business is subject to the following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instability in countries or regions, especially Asia, including heightened terrorism and other security concerns, which could subject imported or exported goods to additional or more frequent inspections, leading to delays win deliveries or impoundment of goods;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regulations, quotas and other trade restrictions relating to imports, including quotas imposed by bilateral textile agreements between the U.S. and foreign countries;</w:t>
            </w:r>
          </w:p>
        </w:tc>
      </w:tr>
    </w:tbl>
    <w:tbl>
      <w:tblPr>
        <w:tblW w:w="2541" w:type="dxa"/>
        <w:jc w:val="left"/>
        <w:tblInd w:w="0" w:type="dxa"/>
        <w:tblCellMar>
          <w:top w:w="28" w:type="dxa"/>
          <w:left w:w="28" w:type="dxa"/>
          <w:bottom w:w="28" w:type="dxa"/>
          <w:right w:w="28" w:type="dxa"/>
        </w:tblCellMar>
      </w:tblPr>
      <w:tblGrid>
        <w:gridCol w:w="124"/>
        <w:gridCol w:w="256"/>
        <w:gridCol w:w="2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rates;</w:t>
            </w:r>
          </w:p>
        </w:tc>
      </w:tr>
    </w:tbl>
    <w:tbl>
      <w:tblPr>
        <w:tblW w:w="5931" w:type="dxa"/>
        <w:jc w:val="left"/>
        <w:tblInd w:w="0" w:type="dxa"/>
        <w:tblCellMar>
          <w:top w:w="28" w:type="dxa"/>
          <w:left w:w="28" w:type="dxa"/>
          <w:bottom w:w="28" w:type="dxa"/>
          <w:right w:w="28" w:type="dxa"/>
        </w:tblCellMar>
      </w:tblPr>
      <w:tblGrid>
        <w:gridCol w:w="124"/>
        <w:gridCol w:w="256"/>
        <w:gridCol w:w="5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increased duties, taxes and other charges on imports;</w:t>
            </w:r>
          </w:p>
        </w:tc>
      </w:tr>
    </w:tbl>
    <w:tbl>
      <w:tblPr>
        <w:tblW w:w="4821" w:type="dxa"/>
        <w:jc w:val="left"/>
        <w:tblInd w:w="0" w:type="dxa"/>
        <w:tblCellMar>
          <w:top w:w="28" w:type="dxa"/>
          <w:left w:w="28" w:type="dxa"/>
          <w:bottom w:w="28" w:type="dxa"/>
          <w:right w:w="28" w:type="dxa"/>
        </w:tblCellMar>
      </w:tblPr>
      <w:tblGrid>
        <w:gridCol w:w="124"/>
        <w:gridCol w:w="256"/>
        <w:gridCol w:w="44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pandemics and disease outbreaks such as COVID-19;</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union strikes at ports through which our products enter the U.S.;</w:t>
            </w:r>
          </w:p>
        </w:tc>
      </w:tr>
    </w:tbl>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shortages in countries where contractors and suppliers are located;</w:t>
            </w:r>
          </w:p>
        </w:tc>
      </w:tr>
    </w:tbl>
    <w:tbl>
      <w:tblPr>
        <w:tblW w:w="5661" w:type="dxa"/>
        <w:jc w:val="left"/>
        <w:tblInd w:w="0" w:type="dxa"/>
        <w:tblCellMar>
          <w:top w:w="28" w:type="dxa"/>
          <w:left w:w="28" w:type="dxa"/>
          <w:bottom w:w="28" w:type="dxa"/>
          <w:right w:w="28" w:type="dxa"/>
        </w:tblCellMar>
      </w:tblPr>
      <w:tblGrid>
        <w:gridCol w:w="124"/>
        <w:gridCol w:w="256"/>
        <w:gridCol w:w="5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transfer of funds to or from foreign countries;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disease epidemics and health-related concerns, which could result in closed factories, reduced workforces, scarcity of raw materials and scrutiny or embargoing of goods produced in infected areas;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migration and development of manufacturing contractors, which could affect where our products are or are planned to be produced;</w:t>
            </w:r>
          </w:p>
        </w:tc>
      </w:tr>
    </w:tbl>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costs of fuel, travel and transportation;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manufacturing flexibility because of geographic distance between our foreign manufacturers and us, increasing the risk that we may have to mark down unsold inventory as a result of misjudging the market for a foreign-made product; and</w:t>
            </w:r>
          </w:p>
        </w:tc>
      </w:tr>
    </w:tbl>
    <w:tbl>
      <w:tblPr>
        <w:tblW w:w="8091" w:type="dxa"/>
        <w:jc w:val="left"/>
        <w:tblInd w:w="0" w:type="dxa"/>
        <w:tblCellMar>
          <w:top w:w="28" w:type="dxa"/>
          <w:left w:w="28" w:type="dxa"/>
          <w:bottom w:w="28" w:type="dxa"/>
          <w:right w:w="28" w:type="dxa"/>
        </w:tblCellMar>
      </w:tblPr>
      <w:tblGrid>
        <w:gridCol w:w="124"/>
        <w:gridCol w:w="256"/>
        <w:gridCol w:w="7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by foreign contractors of labor and wage standards and resulting adverse publicity.</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these risks limit or prevent us from manufacturing products in any significant international market, prevent us from acquiring products from foreign suppliers, or significantly increase the cost of our products, our operations could be seriously disrupted until alternative suppliers are found or alternative markets are developed, which could negatively impact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the price, availability and quality of raw materials could cause delays and increase costs and cause our operating results and financial condition to suffer.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Fluctuations in the price, availability and quality of the fabrics or other raw materials, particularly cotton, silk, leather and synthetics used in our manufactured apparel, and gold, silver and other precious and semi-precious metals and gem stones used in our jewelry, could have a material adverse effect on cost of sales or our ability to meet customer demands. The prices of fabrics, precious and semi-precious metals and gemstones depend largely on the market prices of the raw materials used to produce them. The price and availability of the raw materials and, in turn, the fabrics, precious and semi-precious metals and gem stones used in our apparel and jewelry may fluctuate significantly, depending on many factors, including crop yields, weather patterns, labor costs and changes in oil prices. We may not be able to create suitable design solutions that utilize raw materials with attractive prices or, alternatively, to pass higher raw materials prices and related transportation costs on to our customers. We are not always successful in our efforts to protect our business from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volatility of the market price of raw materials, and our business can be materially affected by dramatic movements in prices of raw materials. The ultimate effect of this change on our earnings cannot be quantified, as the effect of movements in raw materials prices on industry selling prices are uncertain, but any significant increase in these prices could have a material adverse effect on our business, financial condition,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reliance on independent manufacturers could cause delays or quality issues which could damage customer relationships.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use approximately eight independent manufacturers to assemble or produce all of our products. We are dependent on the ability of these independent manufacturers to adequately finance the production of goods ordered and maintain sufficient manufacturing capacity. The use of independent manufacturers to produce finished goods and the resulting lack of direct control could subject us to difficulty in obtaining timely delivery of products of acceptable quality. We generally do not have long-term written agreements with any independent manufacturers. As a result, any single manufacturing contractor could unilaterally terminate its relationship with us at any time. Supply disruptions from these manufacturers (or any of our other manufacturers) could have a material adverse effect on our ability to meet customer demands, if we are unable to source suitable replacement materials at acceptable prices or at all. Moreover, alternative manufacturers, if available, may not be able to provide us with products or services of a comparable quality, at an acceptable price or on a timely basis. We may also, from time to time, make a decision to enter into a relationship with a new manufacturer. Identifying a suitable supplier is an involved process that requires us to become satisfied with their quality control, responsiveness and service, financial stability and labor and other ethical practices. There can be no assurance that there will not be a disruption in the supply of our products from independent manufacturers or that any new manufacturer will be successful in producing our products in a manner we expected. The failure of any independent manufacturer to perform or the loss of any independent manufacturer could have a material adverse effect on our business,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independent manufacturers fail to use ethical business practices and comply with applicable laws and regulations, our brand image could be harmed due to negative publicity.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and currently maintain operating guidelines which promote ethical business practices such as fair wage practices, compliance with child labor laws and other local laws. While we monitor compliance with those guidelines, we do not control our independent manufacturers or their business practices. Accordingly, we cannot guarantee their compliance with our guidelines. A lack of demonstrated compliance could lead us to seek alternative suppliers, which could increase our costs and result in delayed delivery of our products, product shortages or other disruptions of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Violation of labor or other laws by our independent manufacturers or the divergence of an independent manufacturer’s labor or other practices from those generally accepted as ethical in the U.S. or other markets in which we do business could also attract negative publicity for us and our brand. From time to time, our audit results have revealed a lack of compliance in certain respects, including with respect to local labor, safety and environmental laws. Other fashion companies have faced criticism after highly-publicized incidents or compliance issues have occurred or been exposed at factories producing their products. To the extent our manufacturers do not bring their operations into compliance with such laws or resolve material issues identified in any of our audit results, we may face similar criticism and negative publicity. This could diminish the value of our brand image and reduce demand for our merchandise. In addition, other fashion companies have encountered organized boycotts of their products in such situations. If we, or other companies in our industry, encounter similar problems in the future, it could harm our brand image, stock price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Monitoring compliance by independent manufacturers is complicated by the fact that expectations of ethical business practices continually evolve, may be substantially more demanding than applicable legal requirements and are driven in part by legal developments and by diverse groups active in publicizing and organizing public responses to perceived ethical shortcomings. Accordingly, we cannot predict how such expectations might develop in the future and cannot be certain that our guidelines would satisfy all parties who are active in monitoring and publicizing perceived shortcomings in labor and other business practices worldwide.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failure to protect our proprietary rights could compromise our competitive position and decrease the value of our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an Investment in Our Securities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Management exercises significant control over matters requiring shareholder approval, which may result in the delay or prevention of a change in our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voting agreements, certain shareholders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certain other stockholders have agreed to appoint Mr. D’Loren as their respective irrevocable proxy and attorney-in-fact with respect to the shares of the common stock issued to them by us. The proxy holder shall vote in favor of matters recommended or approved by the board of directors.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combined voting power of the common stock ownership of our directors and executive officers is approximately 54% of our voting securities as of April 14, 2023. As a result, our management through such stock ownership will exercise significant influence over all matters requiring shareholder approval, including the election of our directors and approval of significant corporate transactions. This concentration of ownership in management may also have the effect of delaying or preventing a change in control of us that may be otherwise viewed as beneficial by stockholders other than management.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also a risk that our existing management and a limited number of stockholders may have interests which are different from certain stockholders and that they will pursue an agenda which is beneficial to themselves at the expense of other stockholders.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meet the continued listing requirements of the Nasdaq Global Market could result in a delisting of our common stock, which could negatively impact the market price and liquidity of our common stock and our ability to access the capital markets.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22, 2022,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letter also states that pursuant to Nasdaq Listing Rules 5810(c)(3)(A), we will be provided 180 calendar days to regain compliance with the minimum bid price requirement, or until May 22,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can regain compliance if, at any time during the Tolling Period or such 180-day period, the closing bid price of our common stock is at least $1.00 for a minimum period of 10 consecutive business days. If by May 22, 2023, we do not regain compliance with the Nasdaq Listing Rules, we may be eligible for additional time to regain compliance pursuant to Nasdaq Listing Rule 5810(c)(3)(A)(ii). To qualify, we would need to submit a transfer application and a $5,000 application fee. We would also need to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 able to cure this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we do not regain compliance within the allotted compliance period, including any extensions that may be granted by Nasdaq, Nasdaq will provide notice that our shares of common stock will be subject to delisting from the Nasdaq Global Market. At such time, we may appeal the delisting determination to a hearings panel.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intend to monitor our common stock closing bid price between now and May 22, 2023 and will consider available options to resolve the Company’s noncompliance with the minimum bid price requirement, as may be necessary. There can be no assurance that the Company will be able to regain compliance with the minimum bid price requirement or will otherwise be in compliance with other Nasdaq listing criteria.</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Rule 3a51-1 of the Exchange Act establishes the definition of a “penny stock,” for purposes relevant to us, as any equity security that has a minimum bid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broker or dealer must also deliver, prior to any transaction in a penny stock, a disclosure schedule prepared by the SEC relating to the penny stock market, which, in highlight form, sets forth:</w:t>
      </w:r>
    </w:p>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on which the broker or dealer made the suitability determination; and</w:t>
            </w:r>
          </w:p>
        </w:tc>
      </w:tr>
    </w:tbl>
    <w:tbl>
      <w:tblPr>
        <w:tblW w:w="8826" w:type="dxa"/>
        <w:jc w:val="left"/>
        <w:tblInd w:w="0" w:type="dxa"/>
        <w:tblCellMar>
          <w:top w:w="28" w:type="dxa"/>
          <w:left w:w="28" w:type="dxa"/>
          <w:bottom w:w="28" w:type="dxa"/>
          <w:right w:w="28" w:type="dxa"/>
        </w:tblCellMar>
      </w:tblPr>
      <w:tblGrid>
        <w:gridCol w:w="124"/>
        <w:gridCol w:w="256"/>
        <w:gridCol w:w="8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broker or dealer received a signed, written agreement from the investor prior to the transaction.</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No assurance can be given that our stock will not be subject to these “penny stock” rules in the future.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common stock has historically been thinly traded, and you may be unable to sell at or near ask prices or at all if you need to sell or liquidate a substantial number of shares at one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Although our common stock is listed on the NASDAQ Global Market, our common stock has historically been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market price of our common stock has declined over the past several years and may be volatile, which could reduce the market price of our common stock.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operating performance. In addition, the trading price of the common stock has been volatile over the past several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issue a substantial number of shares of common stock upon exercise of outstanding warrants and options.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we had outstanding warrants and options to purchase 5,730,375 shares of our common stock with a weighted average exercise price of $2.14.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issuance of shares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we had an aggregate of 3,291,909 shares of common stock available for grants under our 2021 Equity Incentive Plan (the "2021 Plan") to our directors, executive officers, employees, and consultants. Issuances of common stock pursuant to the exercise of stock options or other stock grants or awards which may be granted under our 2021 Plan will dilute your interest in us.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Holders of our common stock may be subject to restrictions on the use of Rule 144 by shell companies or former shell companies.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do not anticipate paying cash dividends on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limits the amount of cash dividends we may pay while amounts under the credit facility are outstanding.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Provisions of our corporate charter documents could delay or prevent change of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A pandemic outbreak of disease or similar public health threat, or fear of such an event, could have a material adverse impact on the Company's business, operating results and financial condition</w:t>
      </w:r>
      <w:r>
        <w:rPr>
          <w:rFonts w:ascii="Times New Roman;Times;serif" w:hAnsi="Times New Roman;Times;serif"/>
          <w:b/>
          <w:sz w:val="20"/>
        </w:rPr>
        <w:t>.</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pandemic or outbreak of disease or similar public health threat, such as the COVID-19 pandemic, or fear of such an event, could have a material adverse impact on our business, operating results, and financial condition. The current COVID-19 pandemic has caused a disruption to our business, beginning in March 2020.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impacts of the ongoing COVID-19 pandemic (including actions taken by national, state, and local governments in response to COVID-19) have negatively impacted the U.S. and global economy, disrupted consumer spending and global supply chains, and created significant volatility and disruption of financial markets. More specifically, COVID-19 has had, and continues to have, a significant negative impact on our business. The initial onset of the pandemic in 2020 resulted in a sudden decrease in sales for many of the Company’s products, from which we have yet to fully recover. The global pandemic has affected the financial health of certain of our customers, and the bankruptcy of certain other customers; as a result, we may be required to make additional adjustments for doubtful accounts which would increase our operating expenses in future periods and negatively impact our operating results. Due to the ongoing COVID-19 pandemic, there is significant uncertainty surrounding the Company’s future results of operations and cash flows. Continued impacts of the pandemic could materially adversely affect our near-term and long-term revenues, earnings, liquidity, and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Supply chain disruptions have adversely affected, and could continue to adversely affect, our ability to import our products in a timely manner and our freight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effects of the COVID-19 pandemic on the shipping industry have negatively impacted our ability to import our products in a manner that allows for timely delivery to our customers. Congestion at ports of loading and ports of entry have caused significant delays in deliveries and changes to the itineraries of our steamship carriers. Use of alternate routes or delivery methods would require additional trucking for us and our customers. Truck driver shortages, shortages of truck equipment and the inability of ports to provide reliable pick up times, have also negatively impacted our ability to timely receive goods. If we are unable to mitigate these supply chain disruptions, our ability to meet customer expectations, manage inventory and complete sales could be materially adversely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Contractual shipping rates have increased as a result of increased demand for container space and the logistical delays experienced by the shipping industry. Our costs have increased as a result of higher contractual shipping rates and the need to purchase additional container space on the secondary market at higher spot rates. Terminals are also now imposing additional fees on importers not picking up containers on time, even when equipment and labor shortages negatively affect the ability of importers to pick up in a timely manner.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secure container space on a vessel due to limited availability, we may experience delays in shipping product from our overseas suppliers and ultimately to our customers. Furthermore, even when we are able to secure space, ports around the world are experiencing congestion, slowing transit times of product through ports of entry which negatively affects our ability to timely receive and deliver product to our retail partners and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mitigate these supply chain disruptions, our ability to meet customer expectations, manage inventory and complete sales could be materially adversely affected. In addition, if we are unable to offset higher freight and other costs through product price increases or other measures, our results of operations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Ukrainian-Russian conflict could have a material adverse impact 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Ukrainian-Russian conflict, the responses thereto, such as sanctions imposed by the United States and other western democracies, and any expansion thereof is likely to have unpredictable and wide-ranging effects on the domestic and global economy and financial markets, which could have an adverse effect on our business and results of operations. Already the conflict has caused market volatility, a sharp increase in certain commodity prices, such as wheat and oil, and an increasing number and frequency of cybersecurity threats. So far, we have not experienced any direct impact from the conflict and, as our business is conducted exclusively in the United States, we are probably less vulnerable than companies with international operations. Nevertheless, we will continue to monitor the situation carefully and, if necessary, take action to protect our business,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decline in general economic conditions resulting in a decrease in consumer spending levels and an inability to access capital may adversely affect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and the impact of natural disasters and pandemics and disease outbreaks such as the COVID-19 pandemic.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Inflation and/or a potential recession could adversely impact our business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Many of the components of our cost of goods sold are subject to price increases that are attributable to factors beyond our control, including but not limited to, global economic conditions, trade barriers or restrictions, supply chain disruptions, changes in crop size, product scarcity, demand dynamics, currency rates, water supply, weather conditions, import and export requirements, and other factors. The cost of raw materials, labor, manufacturing, energy, fuel, shipping and logistics, and other inputs related to the production and distribution of our products have increased and may continue to increase unexpectedly.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Beginning in the first quarter of 2022, input costs increased significantly. We expect the pressures of input cost inflation to continue for at least some portion of 2023. We may not be able to mitigate the impact of inflation and cost increases or pass these costs along to our customers.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poor economic and market conditions, including a potential recession, may negatively impact market sentiment, decreasing the demand for apparel, footwear, accessories, fine jewelry, home goods, and other consumer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Extreme or unseasonable weather conditions could adversely affect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trademarks and other intangible assets are subject to impairment charges under accounting guidelines.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intangible assets including our trademarks had a net carrying value of $47.7 million as of December 31, 2022 and represent a substantial portion of our assets. Under accounting principles generally accepted in the United States of America (“GAAP”), finite-lived intangible assets are amortized over their estimated useful lives, and reviewed for impairment whenever events or changes in circumstances indicate that their carrying value may not be recoverable.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write-down of intangible assets resulting from future periodic evaluations would, as applicable, either decrease our net income or increase our net loss and those decreases or increases could be material.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effective tax rates or adverse outcomes resulting from examination of our income or other tax returns could adversely affect our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years ended December 31, 2019 through December 31, 2022.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must successfully maintain and/or upgrade our information technology systems.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System security risk issues as well as other major system failures could disrupt our internal operations or information technology services, and any such disruption could negatively impact our net sales, increase our expenses and harm our reputation.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Experienced computer programmers and hackers, and even internal users, may be able to penetrate our network security and misappropriate our confidential information or that of third parties, including our customers, enter into or facilitate fraudulent transactions, create system disruptions or cause shutdowns.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 In addition, we rely on third parties for the operation of our websites, and for the various social media tools and websites we use as part of our marketing strategy.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laws could make conducting our business more expensive or otherwise change the way we do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years ended December 31, 2022 and 2021,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There are limitations on the liabilities of our directors and executive officers. Under certain circumstances, we are obligated to indemnify our directors and executive officers against liability and expenses incurred by them in their service to us.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27" w:name="Item1BUnresolvedStaffComments"/>
      <w:bookmarkStart w:id="28" w:name="UnresolvedStaffComments"/>
      <w:bookmarkStart w:id="29" w:name="_80d928be_9295_46c4_892e_ec21fab15761"/>
      <w:bookmarkEnd w:id="27"/>
      <w:bookmarkEnd w:id="28"/>
      <w:bookmarkEnd w:id="29"/>
      <w:r>
        <w:rPr>
          <w:rFonts w:ascii="Times New Roman;Times;serif" w:hAnsi="Times New Roman;Times;serif"/>
          <w:b/>
          <w:i w:val="false"/>
          <w:caps w:val="false"/>
          <w:smallCaps w:val="false"/>
          <w:sz w:val="20"/>
        </w:rPr>
        <w:t xml:space="preserve">Item 1B. </w:t>
      </w:r>
      <w:r>
        <w:rPr>
          <w:rFonts w:ascii="Times New Roman;Times;serif" w:hAnsi="Times New Roman;Times;serif"/>
          <w:b/>
          <w:sz w:val="20"/>
        </w:rPr>
        <w:t>Unresolved Staff Comments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30" w:name="Item2Properties_266659"/>
      <w:bookmarkStart w:id="31" w:name="_651d804f_1908_48db_9172_8e207ec3ed6a"/>
      <w:bookmarkEnd w:id="30"/>
      <w:bookmarkEnd w:id="31"/>
      <w:r>
        <w:rPr>
          <w:rFonts w:ascii="Times New Roman;Times;serif" w:hAnsi="Times New Roman;Times;serif"/>
          <w:b/>
          <w:sz w:val="20"/>
        </w:rPr>
        <w:t>Item 2.      Properties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lease and maintain our corporate offices and operations facility located at 1333 Broadway, 10th floor, New York, New York. We entered into a lease agreement on July 8, 2015 for such offices of approximately 29,600 square feet of office space. This lease commenced on March 1, 2016 and shall expire on October 30, 2027.</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previously leased approximately 18,500 square feet of office space at 475 Tenth Avenue, 4th Floor, New York, New York; this location represented our former corporate offices and operations facility. We subleased the office space at 475 Tenth Avenue to a third-party subtenant through February 27, 2022, and our lease of this office space expired by its terms on February 28, 2022.</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lease approximately 1,300 square feet of retail space for a former retail store location in Westchester, New York, which was closed in the first quarter of 2022. This lease shall expire on January 31, 2029; however, we are currently in the process of negotiating the termination of this lease.</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2" w:name="Item3LegalProceedings_763831"/>
      <w:bookmarkStart w:id="33" w:name="_be3d9443_2005_443a_ba49_d0a6ab27291e"/>
      <w:bookmarkEnd w:id="32"/>
      <w:bookmarkEnd w:id="33"/>
      <w:r>
        <w:rPr>
          <w:rFonts w:ascii="Times New Roman;Times;serif" w:hAnsi="Times New Roman;Times;serif"/>
          <w:b/>
          <w:sz w:val="20"/>
        </w:rPr>
        <w:t>Item 3.      Legal Proceedings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 </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34" w:name="Item4MineSafetyDisclosure_535619"/>
      <w:bookmarkStart w:id="35" w:name="_5250b2b0_42e1_4a56_ac3a_c1227a4d1e0b"/>
      <w:bookmarkEnd w:id="34"/>
      <w:bookmarkEnd w:id="35"/>
      <w:r>
        <w:rPr>
          <w:rFonts w:ascii="Times New Roman;Times;serif" w:hAnsi="Times New Roman;Times;serif"/>
          <w:b/>
          <w:sz w:val="20"/>
        </w:rPr>
        <w:t>Item 4.       Mine Safety Disclosures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None. </w:t>
      </w:r>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bookmarkStart w:id="36" w:name="PARTII_488184"/>
      <w:bookmarkStart w:id="37" w:name="_dd899067_d0be_4389_8a17_01b52d3f8420"/>
      <w:bookmarkEnd w:id="36"/>
      <w:bookmarkEnd w:id="37"/>
      <w:r>
        <w:rPr>
          <w:rFonts w:ascii="Times New Roman;Times;serif" w:hAnsi="Times New Roman;Times;serif"/>
          <w:b/>
          <w:sz w:val="20"/>
        </w:rPr>
        <w:t>PART II</w:t>
      </w:r>
    </w:p>
    <w:p>
      <w:pPr>
        <w:pStyle w:val="TextBody"/>
        <w:spacing w:before="0" w:after="240"/>
        <w:ind w:left="0" w:right="0" w:hanging="0"/>
        <w:rPr>
          <w:rFonts w:ascii="Times New Roman;Times;serif" w:hAnsi="Times New Roman;Times;serif"/>
          <w:b/>
          <w:sz w:val="20"/>
        </w:rPr>
      </w:pPr>
      <w:bookmarkStart w:id="38" w:name="Item5MarketforRegistrantsCommonEquityRel"/>
      <w:bookmarkEnd w:id="38"/>
      <w:r>
        <w:rPr>
          <w:rFonts w:ascii="Times New Roman;Times;serif" w:hAnsi="Times New Roman;Times;serif"/>
          <w:b/>
          <w:i w:val="false"/>
          <w:caps w:val="false"/>
          <w:smallCaps w:val="false"/>
          <w:sz w:val="20"/>
        </w:rPr>
        <w:t>Item 5.</w:t>
      </w:r>
      <w:r>
        <w:rPr>
          <w:rFonts w:ascii="Times New Roman;Times;serif" w:hAnsi="Times New Roman;Times;serif"/>
          <w:b/>
          <w:sz w:val="20"/>
        </w:rPr>
        <w:t>Market for Registrant’s Common Equity, Related Stockholder Matters and Issuer Purchases of Equity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listed on the NASDAQ Global Market, under the trading symbol “XELB.”</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sets forth the range of quarterly high and low sales prices for our common stock in 2022 and 2021:</w:t>
      </w:r>
    </w:p>
    <w:p>
      <w:pPr>
        <w:pStyle w:val="TextBody"/>
        <w:spacing w:before="0" w:after="240"/>
        <w:ind w:left="0" w:right="0" w:hanging="0"/>
        <w:jc w:val="both"/>
        <w:rPr/>
      </w:pPr>
      <w:r>
        <w:rPr/>
        <w:t>​</w:t>
      </w:r>
    </w:p>
    <w:tbl>
      <w:tblPr>
        <w:tblW w:w="3807" w:type="dxa"/>
        <w:jc w:val="left"/>
        <w:tblInd w:w="0" w:type="dxa"/>
        <w:tblCellMar>
          <w:top w:w="0" w:type="dxa"/>
          <w:left w:w="0" w:type="dxa"/>
          <w:bottom w:w="0" w:type="dxa"/>
          <w:right w:w="0" w:type="dxa"/>
        </w:tblCellMar>
      </w:tblPr>
      <w:tblGrid>
        <w:gridCol w:w="1696"/>
        <w:gridCol w:w="326"/>
        <w:gridCol w:w="211"/>
        <w:gridCol w:w="466"/>
        <w:gridCol w:w="326"/>
        <w:gridCol w:w="211"/>
        <w:gridCol w:w="571"/>
      </w:tblGrid>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95910" cy="175260"/>
                      <wp:effectExtent l="0" t="0" r="0" b="0"/>
                      <wp:wrapNone/>
                      <wp:docPr id="12" name="Frame12"/>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62585" cy="175260"/>
                      <wp:effectExtent l="0" t="0" r="0" b="0"/>
                      <wp:wrapNone/>
                      <wp:docPr id="15" name="Frame1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6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46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571" w:type="dxa"/>
            <w:tcBorders/>
            <w:shd w:fill="CCEEFF" w:val="clear"/>
            <w:vAlign w:val="center"/>
          </w:tcPr>
          <w:p>
            <w:pPr>
              <w:pStyle w:val="TableContents"/>
              <w:spacing w:before="0" w:after="0"/>
              <w:ind w:left="0" w:right="0" w:hanging="0"/>
              <w:jc w:val="center"/>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First Quarter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Second Quarter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Third Quarter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Fourth Quarter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First Quarter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Second Quarter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Third Quarter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Fourth Quarter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number of our stockholders of record was 561 (excluding beneficial owners and any shares held in street name or by nominees).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Dividends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declared or paid any cash dividends on our common stock.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2021 Equity Incentive Plan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2021 Equity Incentive Plan, which we refer to as the 2021 Plan, is designed and utilized to enable the Company to offer its employees, officers, directors, consultants, and others whose past, present, and/or potential contributions to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Company have been, are, or will be important to the success of the Company, an opportunity to acquire a proprietary interest in the Company. The following is a description of the 2021 Plan.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provides for the grant of stock options, restricted stock, restricted stock units, performance awards, or cash awards (any grant under the 2021 Plan, an “Award”). The stock options may be incentive stock options or non-qualified stock options.</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4,000,000 shares of common stock are eligible for issuance under the 2021 Plan.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may be administered by the Board of Directors (the “Board”) or a committee consisting of two or more members of the Board of Directors appointed by the Board (for purposes of this description, any such committee, a “Committee”).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and other employees of our Company or any parent or subsidiary of our Company who are at the time of the grant of an Award employed by us or any parent or subsidiary of our Company are eligible to be granted options or other Awards under the 2021 Plan. In addition, non-qualified stock options and other Awards may be granted under the 2021 Plan to any person, including, but not limited to, directors, independent agents, consultants, and attorneys who the Board or the Committee, as the case may be, believes has contributed or will contribute to our success.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 stock option will not be less than the fair market value of the shares underlying the option on the date the option is granted, provided, however, that the exercise price of a stock option granted to a 10% Stockholder may not be less than 110% of such fair market value.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awards may be issued under the 2021 Plan either alone or in addition to or in tandem with other Awards granted under the 2021 Plan or other payments made to a participant not under the 2021 Plan. The Board or Committee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Each cash award shall be confirmed by, and shall be subject to the terms of, an agreement executed</w:t>
            </w:r>
          </w:p>
        </w:tc>
      </w:tr>
    </w:tbl>
    <w:tbl>
      <w:tblPr>
        <w:tblW w:w="8406" w:type="dxa"/>
        <w:jc w:val="left"/>
        <w:tblInd w:w="0" w:type="dxa"/>
        <w:tblCellMar>
          <w:top w:w="28" w:type="dxa"/>
          <w:left w:w="28" w:type="dxa"/>
          <w:bottom w:w="28" w:type="dxa"/>
          <w:right w:w="28" w:type="dxa"/>
        </w:tblCellMar>
      </w:tblPr>
      <w:tblGrid>
        <w:gridCol w:w="124"/>
        <w:gridCol w:w="256"/>
        <w:gridCol w:w="8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Awards may be granted on or after the tenth anniversary of the effective date of the 2021 Plan.</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2011 Equity Incentive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key terms and provisions of our Amended and Restated 2011 Equity Incentive Plan, which we refer to as the 2011 Plan, were substantially similar to the 2021 Plan described above, with the major difference being the number of shares of common stock reserved for issuance under the 2011 Plan. Stock-based awards (including options, warrants, and restricted stock) previously granted under the 2011 Plan remain outstanding, and shares of common stock may be issued to satisfy options or warrants previously granted under the 2011 Plan, although no new awards may be granted under the 2011 Plan.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issues stock-based compensation to its officers, directors, employees, and consultants through its equity compensation plans. The maximum term of options granted is generally five years and generally options vest over a period of six months to two years. However, the Board may approve other vesting schedules. Options may be exercised in whole or in part. The exercise price of stock options granted is generally the fair market value of the Company’s common stock on the date of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related to exercise activity, we use the simplified method to determine the expected term. The risk-free interest rate is based on the U.S. Treasury rates at the date of grant with maturity dates approximately equal to the expected term at the grant date. The historical volatility of our common stock is used as the basis for the volatility assumption. The Company has never paid cash dividends, and does not currently intend to pay cash dividends, and thus assumes a 0% dividend yield.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as of December 31, 2022 regarding compensation plans under which our equity securities are authorized for issuance:  </w:t>
      </w:r>
    </w:p>
    <w:p>
      <w:pPr>
        <w:pStyle w:val="TextBody"/>
        <w:spacing w:before="0" w:after="240"/>
        <w:ind w:left="0" w:right="0" w:hanging="0"/>
        <w:jc w:val="both"/>
        <w:rPr/>
      </w:pPr>
      <w:r>
        <w:rPr/>
        <w:t>​</w:t>
      </w:r>
    </w:p>
    <w:tbl>
      <w:tblPr>
        <w:tblW w:w="9066" w:type="dxa"/>
        <w:jc w:val="left"/>
        <w:tblInd w:w="0" w:type="dxa"/>
        <w:tblCellMar>
          <w:top w:w="0" w:type="dxa"/>
          <w:left w:w="0" w:type="dxa"/>
          <w:bottom w:w="0" w:type="dxa"/>
          <w:right w:w="0" w:type="dxa"/>
        </w:tblCellMar>
      </w:tblPr>
      <w:tblGrid>
        <w:gridCol w:w="2611"/>
        <w:gridCol w:w="326"/>
        <w:gridCol w:w="1666"/>
        <w:gridCol w:w="326"/>
        <w:gridCol w:w="517"/>
        <w:gridCol w:w="1148"/>
        <w:gridCol w:w="326"/>
        <w:gridCol w:w="2146"/>
      </w:tblGrid>
      <w:tr>
        <w:trPr/>
        <w:tc>
          <w:tcPr>
            <w:tcW w:w="2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57985" cy="175260"/>
                      <wp:effectExtent l="0" t="0" r="0" b="0"/>
                      <wp:wrapNone/>
                      <wp:docPr id="16" name="Frame16"/>
                      <a:graphic xmlns:a="http://schemas.openxmlformats.org/drawingml/2006/main">
                        <a:graphicData uri="http://schemas.microsoft.com/office/word/2010/wordprocessingShape">
                          <wps:wsp>
                            <wps:cNvSpPr txBox="1"/>
                            <wps:spPr>
                              <a:xfrm>
                                <a:off x="0" y="0"/>
                                <a:ext cx="1657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57910" cy="175260"/>
                      <wp:effectExtent l="0" t="0" r="0" b="0"/>
                      <wp:wrapNone/>
                      <wp:docPr id="18" name="Frame18"/>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28295" cy="175260"/>
                      <wp:effectExtent l="0" t="0" r="0" b="0"/>
                      <wp:wrapNone/>
                      <wp:docPr id="20" name="Frame20"/>
                      <a:graphic xmlns:a="http://schemas.openxmlformats.org/drawingml/2006/main">
                        <a:graphicData uri="http://schemas.microsoft.com/office/word/2010/wordprocessingShape">
                          <wps:wsp>
                            <wps:cNvSpPr txBox="1"/>
                            <wps:spPr>
                              <a:xfrm>
                                <a:off x="0" y="0"/>
                                <a:ext cx="328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8980" cy="175260"/>
                      <wp:effectExtent l="0" t="0" r="0" b="0"/>
                      <wp:wrapNone/>
                      <wp:docPr id="21" name="Frame21"/>
                      <a:graphic xmlns:a="http://schemas.openxmlformats.org/drawingml/2006/main">
                        <a:graphicData uri="http://schemas.microsoft.com/office/word/2010/wordprocessingShape">
                          <wps:wsp>
                            <wps:cNvSpPr txBox="1"/>
                            <wps:spPr>
                              <a:xfrm>
                                <a:off x="0" y="0"/>
                                <a:ext cx="728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62710" cy="175260"/>
                      <wp:effectExtent l="0" t="0" r="0" b="0"/>
                      <wp:wrapNone/>
                      <wp:docPr id="23" name="Frame23"/>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7" w:type="dxa"/>
            <w:tcBorders/>
            <w:shd w:fill="auto" w:val="clear"/>
            <w:vAlign w:val="center"/>
          </w:tcPr>
          <w:p>
            <w:pPr>
              <w:pStyle w:val="TableContents"/>
              <w:spacing w:before="0" w:after="1"/>
              <w:ind w:left="0" w:right="0" w:hanging="0"/>
              <w:jc w:val="center"/>
              <w:rPr/>
            </w:pPr>
            <w:r>
              <w:rPr/>
              <w:t>​</w:t>
            </w:r>
          </w:p>
        </w:tc>
        <w:tc>
          <w:tcPr>
            <w:tcW w:w="11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26" w:type="dxa"/>
            <w:tcBorders/>
            <w:shd w:fill="auto" w:val="clear"/>
            <w:vAlign w:val="center"/>
          </w:tcPr>
          <w:p>
            <w:pPr>
              <w:pStyle w:val="TableContents"/>
              <w:spacing w:before="0" w:after="1"/>
              <w:ind w:left="0" w:right="0" w:hanging="0"/>
              <w:jc w:val="center"/>
              <w:rPr/>
            </w:pPr>
            <w:r>
              <w:rPr/>
              <w:t>​</w:t>
            </w:r>
          </w:p>
        </w:tc>
        <w:tc>
          <w:tcPr>
            <w:tcW w:w="517" w:type="dxa"/>
            <w:tcBorders/>
            <w:shd w:fill="auto" w:val="clear"/>
            <w:vAlign w:val="center"/>
          </w:tcPr>
          <w:p>
            <w:pPr>
              <w:pStyle w:val="TableContents"/>
              <w:spacing w:before="0" w:after="1"/>
              <w:ind w:left="0" w:right="0" w:hanging="0"/>
              <w:jc w:val="center"/>
              <w:rPr/>
            </w:pPr>
            <w:r>
              <w:rPr/>
              <w:t>​</w:t>
            </w:r>
          </w:p>
        </w:tc>
        <w:tc>
          <w:tcPr>
            <w:tcW w:w="11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26" w:type="dxa"/>
            <w:tcBorders/>
            <w:shd w:fill="auto" w:val="clear"/>
            <w:vAlign w:val="center"/>
          </w:tcPr>
          <w:p>
            <w:pPr>
              <w:pStyle w:val="TableContents"/>
              <w:spacing w:before="0" w:after="1"/>
              <w:ind w:left="0" w:right="0" w:hanging="0"/>
              <w:jc w:val="center"/>
              <w:rPr/>
            </w:pPr>
            <w:r>
              <w:rPr/>
              <w:t>​</w:t>
            </w:r>
          </w:p>
        </w:tc>
        <w:tc>
          <w:tcPr>
            <w:tcW w:w="16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shd w:fill="auto" w:val="clear"/>
            <w:vAlign w:val="center"/>
          </w:tcPr>
          <w:p>
            <w:pPr>
              <w:pStyle w:val="TableContents"/>
              <w:spacing w:before="0" w:after="1"/>
              <w:ind w:left="0" w:right="0" w:hanging="0"/>
              <w:jc w:val="center"/>
              <w:rPr/>
            </w:pPr>
            <w:r>
              <w:rPr/>
              <w:t>​</w:t>
            </w:r>
          </w:p>
        </w:tc>
        <w:tc>
          <w:tcPr>
            <w:tcW w:w="16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 Plans</w: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26" w:type="dxa"/>
            <w:tcBorders/>
            <w:shd w:fill="auto" w:val="clear"/>
            <w:vAlign w:val="center"/>
          </w:tcPr>
          <w:p>
            <w:pPr>
              <w:pStyle w:val="TableContents"/>
              <w:spacing w:before="0" w:after="1"/>
              <w:ind w:left="0" w:right="0" w:hanging="0"/>
              <w:jc w:val="center"/>
              <w:rPr/>
            </w:pPr>
            <w:r>
              <w:rPr/>
              <w:t>​</w:t>
            </w:r>
          </w:p>
        </w:tc>
        <w:tc>
          <w:tcPr>
            <w:tcW w:w="16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r>
      <w:tr>
        <w:trPr/>
        <w:tc>
          <w:tcPr>
            <w:tcW w:w="26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26" w:type="dxa"/>
            <w:tcBorders/>
            <w:shd w:fill="auto" w:val="clear"/>
            <w:vAlign w:val="center"/>
          </w:tcPr>
          <w:p>
            <w:pPr>
              <w:pStyle w:val="TableContents"/>
              <w:spacing w:before="0" w:after="1"/>
              <w:ind w:left="0" w:right="0" w:hanging="0"/>
              <w:jc w:val="center"/>
              <w:rPr/>
            </w:pPr>
            <w:r>
              <w:rPr/>
              <w:t>​</w:t>
            </w:r>
          </w:p>
        </w:tc>
        <w:tc>
          <w:tcPr>
            <w:tcW w:w="16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26" w:type="dxa"/>
            <w:tcBorders/>
            <w:shd w:fill="auto" w:val="clear"/>
            <w:vAlign w:val="center"/>
          </w:tcPr>
          <w:p>
            <w:pPr>
              <w:pStyle w:val="TableContents"/>
              <w:spacing w:before="0" w:after="1"/>
              <w:ind w:left="0" w:right="0" w:hanging="0"/>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r>
      <w:tr>
        <w:trPr/>
        <w:tc>
          <w:tcPr>
            <w:tcW w:w="26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Plan Category</w:t>
            </w:r>
          </w:p>
        </w:tc>
        <w:tc>
          <w:tcPr>
            <w:tcW w:w="326" w:type="dxa"/>
            <w:tcBorders/>
            <w:shd w:fill="auto" w:val="clear"/>
            <w:vAlign w:val="center"/>
          </w:tcPr>
          <w:p>
            <w:pPr>
              <w:pStyle w:val="TableContents"/>
              <w:spacing w:before="0" w:after="1"/>
              <w:ind w:left="0" w:right="0" w:hanging="0"/>
              <w:jc w:val="center"/>
              <w:rPr/>
            </w:pPr>
            <w:r>
              <w:rPr/>
              <w:t>    </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shd w:fill="auto" w:val="clear"/>
            <w:vAlign w:val="center"/>
          </w:tcPr>
          <w:p>
            <w:pPr>
              <w:pStyle w:val="TableContents"/>
              <w:spacing w:before="0" w:after="1"/>
              <w:ind w:left="0" w:right="0" w:hanging="0"/>
              <w:jc w:val="center"/>
              <w:rPr/>
            </w:pPr>
            <w:r>
              <w:rPr/>
              <w:t>    </w:t>
            </w:r>
          </w:p>
        </w:tc>
        <w:tc>
          <w:tcPr>
            <w:tcW w:w="16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shd w:fill="auto" w:val="clear"/>
            <w:vAlign w:val="center"/>
          </w:tcPr>
          <w:p>
            <w:pPr>
              <w:pStyle w:val="TableContents"/>
              <w:spacing w:before="0" w:after="1"/>
              <w:ind w:left="0" w:right="0" w:hanging="0"/>
              <w:jc w:val="center"/>
              <w:rPr/>
            </w:pPr>
            <w:r>
              <w:rPr/>
              <w:t>    </w:t>
            </w:r>
          </w:p>
        </w:tc>
        <w:tc>
          <w:tcPr>
            <w:tcW w:w="21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26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compensation Plans (1)</w:t>
            </w:r>
          </w:p>
        </w:tc>
        <w:tc>
          <w:tcPr>
            <w:tcW w:w="326" w:type="dxa"/>
            <w:tcBorders/>
            <w:shd w:fill="CCEEFF" w:val="clear"/>
            <w:vAlign w:val="center"/>
          </w:tcPr>
          <w:p>
            <w:pPr>
              <w:pStyle w:val="TableContents"/>
              <w:spacing w:before="0" w:after="1"/>
              <w:ind w:left="0" w:right="0" w:hanging="0"/>
              <w:rPr/>
            </w:pPr>
            <w:r>
              <w:rPr/>
              <w:t>​</w:t>
            </w:r>
          </w:p>
        </w:tc>
        <w:tc>
          <w:tcPr>
            <w:tcW w:w="16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5,730,375</w:t>
            </w:r>
          </w:p>
        </w:tc>
        <w:tc>
          <w:tcPr>
            <w:tcW w:w="326" w:type="dxa"/>
            <w:tcBorders/>
            <w:shd w:fill="CCEEFF" w:val="clear"/>
            <w:vAlign w:val="center"/>
          </w:tcPr>
          <w:p>
            <w:pPr>
              <w:pStyle w:val="TableContents"/>
              <w:spacing w:before="0" w:after="1"/>
              <w:ind w:left="0" w:right="0" w:hanging="0"/>
              <w:rPr/>
            </w:pPr>
            <w:r>
              <w:rPr/>
              <w:t>​</w:t>
            </w:r>
          </w:p>
        </w:tc>
        <w:tc>
          <w:tcPr>
            <w:tcW w:w="517"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spacing w:before="0" w:after="1"/>
              <w:ind w:left="0" w:right="0" w:hanging="0"/>
              <w:rPr/>
            </w:pPr>
            <w:r>
              <w:rPr/>
              <w:t>​</w:t>
            </w:r>
          </w:p>
        </w:tc>
        <w:tc>
          <w:tcPr>
            <w:tcW w:w="2146" w:type="dxa"/>
            <w:tcBorders>
              <w:bottom w:val="single" w:sz="2"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3,291,909</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(1)   Pursuant to our 2011 and 2021 Equity Incentive Plans.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sales of unregistered or registered securities during the years ended December 2022 and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did not repurchase any shares of common stock during the fourth fiscal quarter ended December 31, 2022.</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bookmarkStart w:id="39" w:name="Item6SelectedFinancialData_704535"/>
      <w:bookmarkStart w:id="40" w:name="Item6Reserved_704535"/>
      <w:bookmarkStart w:id="41" w:name="_f096857d_f93e_464f_8131_9db5ede4e372"/>
      <w:bookmarkEnd w:id="39"/>
      <w:bookmarkEnd w:id="40"/>
      <w:bookmarkEnd w:id="41"/>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42" w:name="Item7ManagementsDiscussionandAnalysisofF"/>
      <w:bookmarkStart w:id="43" w:name="_d950bf37_fc9e_4fab_949e_996581abe1da"/>
      <w:bookmarkEnd w:id="42"/>
      <w:bookmarkEnd w:id="43"/>
      <w:r>
        <w:rPr>
          <w:rFonts w:ascii="Times New Roman;Times;serif" w:hAnsi="Times New Roman;Times;serif"/>
          <w:b/>
          <w:i w:val="false"/>
          <w:caps w:val="false"/>
          <w:smallCaps w:val="false"/>
          <w:sz w:val="20"/>
        </w:rPr>
        <w:t>Item 7.</w:t>
      </w:r>
      <w:r>
        <w:rPr>
          <w:rFonts w:ascii="Times New Roman;Times;serif" w:hAnsi="Times New Roman;Times;serif"/>
          <w:b/>
          <w:sz w:val="20"/>
        </w:rPr>
        <w:t>Management’s Discussion and Analysis of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2022 and 2021.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Xcel Brands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The Company’s brands have generated over $3 billion in retail sales via live streaming in interactive television and digital channels alone.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was founded in 2011 with a vision to reimagine shopping, entertainment, and social media as one thing. Currently, Xcel’s brand portfolio consists of the LOGO by Lori Goldstein Brand, the Halston Brand, the Ripka Brand, the C Wonder Brand, the Longaberger Brand, the Isaac Mizrahi Brand, and other proprietary brands.</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Lori Goldstein Brand, Halston Brand, Ripka Brand, and C Wonder Brand are wholly owned by the Company.</w:t>
            </w:r>
          </w:p>
        </w:tc>
      </w:tr>
    </w:tbl>
    <w:tbl>
      <w:tblPr>
        <w:tblW w:w="9006" w:type="dxa"/>
        <w:jc w:val="left"/>
        <w:tblInd w:w="0" w:type="dxa"/>
        <w:tblCellMar>
          <w:top w:w="28" w:type="dxa"/>
          <w:left w:w="28" w:type="dxa"/>
          <w:bottom w:w="28" w:type="dxa"/>
          <w:right w:w="28" w:type="dxa"/>
        </w:tblCellMar>
      </w:tblPr>
      <w:tblGrid>
        <w:gridCol w:w="124"/>
        <w:gridCol w:w="256"/>
        <w:gridCol w:w="8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Longaberger Brand through our 50% ownership interest in Longaberger Licensing, LLC.</w:t>
            </w:r>
          </w:p>
        </w:tc>
      </w:tr>
    </w:tbl>
    <w:tbl>
      <w:tblPr>
        <w:tblW w:w="7566" w:type="dxa"/>
        <w:jc w:val="left"/>
        <w:tblInd w:w="0" w:type="dxa"/>
        <w:tblCellMar>
          <w:top w:w="28" w:type="dxa"/>
          <w:left w:w="28" w:type="dxa"/>
          <w:bottom w:w="28" w:type="dxa"/>
          <w:right w:w="28" w:type="dxa"/>
        </w:tblCellMar>
      </w:tblPr>
      <w:tblGrid>
        <w:gridCol w:w="124"/>
        <w:gridCol w:w="256"/>
        <w:gridCol w:w="7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the Q Optix business through our 50% ownership interest in Q Optix, LLC.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wholly owned and managed the Isaac Mizrahi Brand through May 31, 2022. On May 31, 2022, we sold a majority interest in the brand to a third party, but retained a 30% noncontrolling interest in the brand and continue to participate in the operations of the business.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is pioneering a true omni-channel sales strategy which includes the promotion and sale of products under its brands through interactive television, digital live-stream shopping, brick-and-mortar retail, wholesale, and e-commerce channels.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grow our brands, we are focused on the following primary strategies: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and/or licensing of our brands for sale through interactive television (i.e., QVC, HSN, The Shopping Channel, TVSN, CJO, JTV, etc.);</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wholesale distribution through joint ventures or licensing of our brands to retailers that sell to the end consumer;</w:t>
            </w:r>
          </w:p>
        </w:tc>
      </w:tr>
    </w:tbl>
    <w:tbl>
      <w:tblPr>
        <w:tblW w:w="7536" w:type="dxa"/>
        <w:jc w:val="left"/>
        <w:tblInd w:w="0" w:type="dxa"/>
        <w:tblCellMar>
          <w:top w:w="28" w:type="dxa"/>
          <w:left w:w="28" w:type="dxa"/>
          <w:bottom w:w="28" w:type="dxa"/>
          <w:right w:w="28" w:type="dxa"/>
        </w:tblCellMar>
      </w:tblPr>
      <w:tblGrid>
        <w:gridCol w:w="124"/>
        <w:gridCol w:w="25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direct-to-consumer distribution of our brands through e-commerce and live streaming;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our brands to manufacturers and retailers for promotion and distribution through e-commerce, social commerce, and traditional brick-and-mortar retail channels whereby we provide certain design services;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additional consumer brands and integrating them into our operating platform and leveraging our operating infrastructure and distribution relationships.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we offer a unique value proposition to our retail and direct-to-consumer customers, and our licensees for the following reasons:</w:t>
      </w:r>
    </w:p>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including our officers’ and directors’ experience in, and relationships within the industry;</w:t>
            </w:r>
          </w:p>
        </w:tc>
      </w:tr>
    </w:tbl>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deep knowledge, expertise, and proprietary technology in live streaming;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design, production, sales, marketing, and supply chain and integrated technology platform that enables us to design and distribute trend-right product; and </w:t>
            </w:r>
          </w:p>
        </w:tc>
      </w:tr>
    </w:tbl>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media and internet presence and distribution.</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vision is intended to reimagine shopping, entertainment, and social media as one thing. By leveraging live streaming, digital, and social media content across all distribution channels, we seek to drive consumer engagement and generate retail sales across our brands. Our strong relationships with leading retailers, interactive television companies, and streaming networks enable us to reach consumers in over 200 million homes worldwide and hundreds of millions of social media followers.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design, production, and joint venture supply chain platform provides significant competitive advantages compared with traditional wholesale consumer products companies that design, manufacture, and distribute products. We focus on our core competencies of live streaming, marketing, design, integrated technologies, production and joint venture supply chain platform, and brand development. We believe that we offer a 360-degree solution to our retail partners that addresses many of the challenges facing the retail industry today. We believe our platform is highly scalable. Additionally, we believe we can acquire additional brands into our platform in order to leverage our operating infrastructure, marketing capabilities, and distribution network.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Critical accounting estimates are those that involve a significant level of estimation uncertainty and have had or are reasonably likely to have a material impact on our financial condition or results of operations. While our significant accounting policies and estimates are described in more detail in the notes to our consolidated financial statements, our most critical accounting policies and estimates, discussed below, pertain to revenue recognition, trademarks and other intangible assets, income taxes, and equity method investments. These include but are not limited to the estimation of the useful lives of our trademarks, the estimation of the future cash flows related to our trademarks, and the estimation of our incremental borrowing rate (for purposes of accounting for leases).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Licensing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our licensing model, we follow Financial Accounting Standards Board (“FASB”) Accounting Standards Codification (“ASC”) 606-10-55-65, by which we recognize net licensing revenue at the later of when (1) the subsequent sale or usage occurs or (2) the performance obligation to which some or all of the sales- or usage-based royalty has been allocated is satisfied (in whole or in part). More specifically, we separately identify:</w:t>
      </w:r>
    </w:p>
    <w:p>
      <w:pPr>
        <w:pStyle w:val="TextBody"/>
        <w:spacing w:before="0" w:after="240"/>
        <w:ind w:left="432" w:right="0" w:hanging="0"/>
        <w:jc w:val="both"/>
        <w:rPr>
          <w:rFonts w:ascii="Times New Roman;Times;serif" w:hAnsi="Times New Roman;Times;serif"/>
          <w:sz w:val="20"/>
        </w:rPr>
      </w:pPr>
      <w:r>
        <w:rPr>
          <w:rFonts w:ascii="Times New Roman;Times;serif" w:hAnsi="Times New Roman;Times;serif"/>
          <w:sz w:val="20"/>
        </w:rPr>
        <w:t>(i)   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pStyle w:val="TextBody"/>
        <w:spacing w:before="0" w:after="240"/>
        <w:ind w:left="432" w:right="0" w:hanging="0"/>
        <w:jc w:val="both"/>
        <w:rPr>
          <w:rFonts w:ascii="Times New Roman;Times;serif" w:hAnsi="Times New Roman;Times;serif"/>
          <w:sz w:val="20"/>
        </w:rPr>
      </w:pPr>
      <w:r>
        <w:rPr>
          <w:rFonts w:ascii="Times New Roman;Times;serif" w:hAnsi="Times New Roman;Times;serif"/>
          <w:sz w:val="20"/>
        </w:rPr>
        <w:t>(ii)   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Wholesale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generate revenue through sale of branded jewelry and apparel to both domestic and international customers who, in turn, sell the products to their consumers. We recognize revenue within net sales in the accompanying consolidated statements of operations when performance obligations identified under the terms of contracts with our customers are satisfied, which occurs upon the transfer of control of the merchandise in accordance with the contractual terms and conditions of the sale. Shipping to customers is accounted for as a fulfillment activity and is recorded within other selling, general and administrative expenses.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Direct to Consumer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associated with our e-commerce jewelry operations and the Longaberger brand is recognized within net sales in the accompanying consolidated statements of operations at the point in time when product is shipped to the customer. Shipping to customers is accounted for as a fulfillment activity and is recorded within other selling, general and administrative expenses. Revenue associated with our fine jewelry brick-and-mortar retail store is recognized within net sales in the accompanying consolidated statements of operations at the point of sale.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Trademarks and Other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follow ASC Topic 350, “Intangibles - Goodwill and Other.” Under this standard, goodwill and indefinite-lived intangible assets are not amortized, but are required to be assessed for impairment at least annually. Our finite-lived intangible assets are amortized over their estimated useful lives. We estimate the useful lives of our intangible assets based principally on our expected use and strategic plans for each asset, our own historical experience with similar assets, and our expectations related to demand, competition, and other economic factors.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Indefinite-Lived Intangible Asset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tested our indefinite-lived intangible asset for recovery in accordance with ASC 820-10-55-3F, which states that the income approach (“Income Approach”) converts future amounts (for example, cash flows) into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risk associated with future proceeds. A residual or terminal value is also added to the present value of the income to quantify the value of the business beyond the projection period. As such, recoverability of such assets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recoverability of the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re-evaluated on an annual basis whether events and circumstances continue to support an indefinite useful life.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the annual impairment testing as described above for the year ended December 31, 2021, and concluded that there was no impairment of our indefinite-lived intangible asset. We subsequently sold our indefinite-lived intangible asset in May 2022 for a gain.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Finite-Lived Intangibles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With reference to our finite-lived intangible assets’ impairment process, we group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impairment charges recorded for finite-lived intangible assets for the years ended December 31, 2022 and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We consider forecasted earnings, future taxable income, and prudent and feasible tax planning strategies in determined the need for these valuation allowances.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any uncertainties in income taxes recognized in our financial statements, tax positions are initially recognized in the financial statements when it is more likely than not that the position will be sustained upon examination by the tax authorities. Such tax positions are initially and subsequently measured as the largest amount of tax benefit that has a probability of fifty percent or greater of being realized upon ultimate settlement with the tax authority, assuming full knowledge of the position and all relevant facts. Tax years that remain open for assessment for federal and state tax purposes include the years ended December 31, 2019 through December 31, 2022.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Method Investments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account for our investments in entities over which we have the ability to exercise significant influence, but do not control the entity, under the equity method of accounting, and we recognize our proportionate share of income or losses from the entity within other income (expense) in the consolidated statement of operations.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initially measure our investment in an equity method investee at cost. In cases where we retain a noncontrolling interest in an investee which we had previously consolidated, we initially measure such retained interest at fair value. In estimating fair value in such cases, we seek to maximize the use of observable inputs (market data obtained from independent sources)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to minimize the use of unobservable inputs (internal assumptions about how market participants would price assets and liabilities).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Subsequent recognition of an investor’s proportionate share of income or losses of an equity method investee is generally determined based on the investor’s proportional ownership interest. However, in cases where contractual agreements specify allocation ratios for profits and losses, specified costs and expenses, and/or distributions of cash from operations, that differ from our ownership interest, we use such specified allocation ratios for purposes of determining our share of income or losses from the investee if the agreement is considered substantive.</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June 2016, the FASB issued Accounting Standards Update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Subsequently, the FASB issued additional guidance in ASU No. 2019-05 in May 2019, ASU No. 2019-10 and 2019-11 in November 2019, ASU No. 2020-02 in February 2020, and ASU No. 2022-02 in March 2022. Among other things, the additional guidance deferred the application of the new guidance on credit losses for smaller reporting companies to fiscal years beginning after December 15, 2022, including interim periods within those fiscal years. We are currently evaluating the new guidance to determine the impact the adoption of this guidance will have on our results of operations, cash flows, and financial condition when it is adopted during the first quarter of 2023.</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adopted ASU No. 2021-10, “Government Assistance (Topic 823): Disclosures by Business Entities about Government Assistance” effective January 1, 2022. This ASU requires certain financial statement disclosures about transactions with a government that are accounted for by applying a grant or contribution accounting model by analogy. As this ASU only affects financial statement disclosures, the adoption of this guidance did not have any impact on our results of operations, cash flows, or financial condition.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adopted ASU No. 2019-12, “Income Taxes (Topic 740): Simplifying the Accounting for Income Taxes” effective January 1, 2021.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our results of operations, cash flows, or financial condition.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of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and related notes included elsewhere in this Form 10-K are as of or for the years ended December 31, 2022 (the “Current Year”), and December 31, 2021 (the “Prior Year”).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 Year net revenue decreased approximately $12.1 million to $25.8 million from $37.9 million for the Prior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licensing revenue decreased by $7.1 million in the Current Year to approximately $14.7 million, compared with approximately $21.8 million in the Prior Year. This decrease in licensing revenue was primarily attributable to the May 31, 2022 sale of a majority interest in the Isaac Mizrahi brand through the sale of a 70% interest in IM Topco, LLC to WHP, partially offset by increased licensing revenue generated by the Lori Goldstein brand, which we acquired on April 1, 2021.</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decreased by $5.0 million in the Current Year to approximately $11.1 million, compared with approximately $16.1 million in the Prior Year. This decrease in net sales was primarily attributable to declines in apparel wholesale revenue and, to a lesser extent, in wholesale jewelry sales, mainly driven by a combination of retailers pausing on purchases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triggered by excess inventory levels, and the temporary closing of overseas factories due to COVID-19, causing delays in product delivery resulting in cancelled orders.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Goods Sold and Gross Profit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 Year cost of goods sold was $8.0 million, compared with $10.7 million for the Prior Year, due to the lower volumes of product sales in the Current Year. Gross profit (net revenue less cost of goods sold) decreased approximately $9.5 million to $17.8 million from $27.3 million in the Prior Year, primarily driven by the aforementioned decrease in net licensing revenue.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margin from product sales (net sales less cost of goods sold, divided by net sales) declined from approximately 34% in the Prior Year to approximately 28% in the Current Year, primarily due to the selling-off of seasoned apparel inventory during the earlier portion of 2022, and inventory write-downs related to cancelled sales orders for the reasons outlined above in the discussion of revenues.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Costs and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Operating costs and expenses increased approximately $0.5 million, or approximately 1%, from $39.8 million in the Prior Year to $40.3 million in the Current Year. This slight increase was primarily driven by the combination of (i) higher shipping and logistics costs, as well as cost increases from other service providers and vendors due to the current inflationary economic environment, and (ii) increased trademark amortization expense, related to the acquisition of the Lori Goldstein brand on April 1, 2021, largely offset by (iii) lower asset impairment charges in the Current Year, and (iv) the elimination of salary and other expenses associated with the Isaac Mizrahi brand after the sale of a majority interest in that brand on May 31, 2022.</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gain on the sale of a majority interest in the Isaac Mizrahi brand in the Current Year of approximately $20.6 million, which was comprised of $46.2 million of cash proceeds plus the recognition of the fair value of our retained interest in the brand of $19.8 million, less $0.9 million of fees and expenses directly related to the transaction and the derecognition of the brand trademarks previously recorded on our balance sheet of $44.5 million.</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interest in the ongoing operations of IM Topco, LLC using the equity method of accounting. We recognized an equity method loss of approximately $1.2 million related to our investment for Current Year, based on the distribution provisions and preferences set forth in the related business venture agreement.</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(expense) for the Current Year also includes a $0.9 million gain on the reduction of contingent obligations. In connection with our 2019 purchase of the Halston Heritage trademarks, we agreed to pay the seller additional consideration of up to an aggregate of $6.0 million, based on royalties earned from 2019 through December 31, 2022. This potential earn-out was initially recorded as a liability of $0.9 million, based on the difference at the date of acquisition between the fair value of the acquired assets of the Halston Heritage trademarks and the total consideration paid. The final royalty target year ended on December 31, 2022, and the seller ultimately did not earn any additional consideration based on the formula set forth in the related asset purchase agreement.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and Finance Expense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and finance expense for the Current Year was $3.5 million, compared with $3.6 million for the Prior Year.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slight decrease was primarily attributable to the fact that we had no interest expense from June 1, 2022 through December 31, 2022, as all of our outstanding term loan was repaid on May 31, 2022 and we have not incurred any new debt. The decrease was partially offset by the higher loss on early extinguishment of debt as a result of the aforementioned May 31, 2022 repayment in the Current Year, compared with losses on extinguishment in the Prior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 Benefit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effective income tax benefit rate for the Current Year was approximately 10.0% resulting in a $0.4 million income tax benefit. During the Current Year, the effective tax rate was primarily attributable to the impacts of stock-based compensation, which decreased the effective rate by approximately 6.1%, and federal tax true-ups, which decreased the effective tax rate by approximately 5.1%. The effective tax rate was also impacted by recurring permanent differences; the largest such recurring permanent differences were state and local tax provisions, which increased the effective rate in 2022 by approximately 6.1%, and disallowed excess compensation, which decreased the effective rate in 2022 by approximately 5.3%.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effective income tax benefit rate for the Prior Year was approximately 19.3% resulting in a $3.1 million income tax benefit. During the Prior Year, the effective tax rate was impacted by the impact of stock-based compensation, which decreased the effective rate by approximately 5.6%. The effective tax rate was also impacted by recurring permanent differences; the largest such recurring permanent differences were state and local tax provisions, which increased the effective rate in 2021 by approximately 4.6%, and disallowed excess compensation, which decreased the effective rate in 2021 by approximately 0.7%.</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had a net loss of approximately $5.4 million for the Current Year, compared with a net loss of approximately $13.0 million for the Prior Year, as a result of the factors discussed above.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Non-GAAP Net Income, Non-GAAP Diluted EPS, and Adjusted EBITDA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had a non-GAAP net loss of $15.0 million or $(0.77) per share (“non-GAAP diluted EPS”) based on 19,624,669 weighted average shares outstanding for the Current Year, compared with a non-GAAP net loss of $6.2 million, or $(0.32) per share based on 19,455,987 weighted average shares outstanding for the Prior Year. Non-GAAP net income is a non-GAAP unaudited term, which we define as net income (loss) attributable to Xcel Brands, Inc. stockholders, exclusive of asset impairments, amortization of trademarks, our proportional share of trademark amortization of equity method investees, stock-based compensation, loss on early extinguishment of debt, certain adjustments to the provision for doubtful accounts related to the bankruptcy of and economic impact on certain retail customers due to the COVID-19 pandemic, gain on sale of assets, gain on reduction of contingent obligations, and income taxes. Non-GAAP net income and non-GAAP diluted EPS measures do not include the tax effect of the aforementioned adjusting items, due to the nature of these items and the Company’s tax strategy.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had Adjusted EBITDA of approximately $(12.5) million for the Current Year, compared with Adjusted EBITDA of approximately $(2.5) million for the Prior Year. Adjusted EBITDA is a non-GAAP unaudited measure, which we define as net income (loss) attributable to Xcel Brands, Inc. stockholders before asset impairments, depreciation and amortization, our proportional share of trademark amortization of equity method investees, interest and finance expenses (including loss on early extinguishment of debt, if any), income taxes, other state and local franchise taxes, stock-based compensation, certain adjustments to the provision for doubtful accounts related to the bankruptcy of and economic impact on certain retail customers due to the COVID-19 pandemic, gain on sale of assets, and gain on reduction of contingent obligation.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non-GAAP diluted EPS, and Adjusted EBITDA may not be comparable to similarly titled measures of other companies, including companies in our industry, because other companies may calculate these measures in a different manner than we do.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non-GAAP net loss:  </w:t>
      </w:r>
    </w:p>
    <w:p>
      <w:pPr>
        <w:pStyle w:val="TextBody"/>
        <w:spacing w:before="0" w:after="240"/>
        <w:ind w:left="0" w:right="0" w:hanging="0"/>
        <w:jc w:val="both"/>
        <w:rPr/>
      </w:pPr>
      <w:r>
        <w:rPr/>
        <w:t>​</w:t>
      </w:r>
    </w:p>
    <w:tbl>
      <w:tblPr>
        <w:tblW w:w="8442" w:type="dxa"/>
        <w:jc w:val="left"/>
        <w:tblInd w:w="0" w:type="dxa"/>
        <w:tblCellMar>
          <w:top w:w="0" w:type="dxa"/>
          <w:left w:w="0" w:type="dxa"/>
          <w:bottom w:w="0" w:type="dxa"/>
          <w:right w:w="0" w:type="dxa"/>
        </w:tblCellMar>
      </w:tblPr>
      <w:tblGrid>
        <w:gridCol w:w="5911"/>
        <w:gridCol w:w="146"/>
        <w:gridCol w:w="211"/>
        <w:gridCol w:w="796"/>
        <w:gridCol w:w="326"/>
        <w:gridCol w:w="211"/>
        <w:gridCol w:w="841"/>
      </w:tblGrid>
      <w:tr>
        <w:trPr/>
        <w:tc>
          <w:tcPr>
            <w:tcW w:w="59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710" cy="175260"/>
                      <wp:effectExtent l="0" t="0" r="0" b="0"/>
                      <wp:wrapNone/>
                      <wp:docPr id="24" name="Frame2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5460" cy="175260"/>
                      <wp:effectExtent l="0" t="0" r="0" b="0"/>
                      <wp:wrapNone/>
                      <wp:docPr id="26" name="Frame2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4035" cy="175260"/>
                      <wp:effectExtent l="0" t="0" r="0" b="0"/>
                      <wp:wrapNone/>
                      <wp:docPr id="29" name="Frame2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1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9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in thousands)</w:t>
            </w:r>
          </w:p>
        </w:tc>
        <w:tc>
          <w:tcPr>
            <w:tcW w:w="14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(12,184)</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trademarks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early extinguishment of debt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Certain adjustments to provision for doubtful accounts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sale of assets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reduction of contingent obligation</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(3,192)</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net loss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(15,023)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(6,201)</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diluted loss per share to non-GAAP diluted EPS:</w:t>
      </w:r>
    </w:p>
    <w:p>
      <w:pPr>
        <w:pStyle w:val="TextBody"/>
        <w:spacing w:before="0" w:after="240"/>
        <w:ind w:left="0" w:right="0" w:hanging="0"/>
        <w:jc w:val="both"/>
        <w:rPr/>
      </w:pPr>
      <w:r>
        <w:rPr/>
        <w:t>​</w:t>
      </w:r>
    </w:p>
    <w:tbl>
      <w:tblPr>
        <w:tblW w:w="9162" w:type="dxa"/>
        <w:jc w:val="left"/>
        <w:tblInd w:w="0" w:type="dxa"/>
        <w:tblCellMar>
          <w:top w:w="0" w:type="dxa"/>
          <w:left w:w="0" w:type="dxa"/>
          <w:bottom w:w="0" w:type="dxa"/>
          <w:right w:w="0" w:type="dxa"/>
        </w:tblCellMar>
      </w:tblPr>
      <w:tblGrid>
        <w:gridCol w:w="5911"/>
        <w:gridCol w:w="326"/>
        <w:gridCol w:w="211"/>
        <w:gridCol w:w="1036"/>
        <w:gridCol w:w="326"/>
        <w:gridCol w:w="211"/>
        <w:gridCol w:w="1141"/>
      </w:tblGrid>
      <w:tr>
        <w:trPr/>
        <w:tc>
          <w:tcPr>
            <w:tcW w:w="5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57860" cy="175260"/>
                      <wp:effectExtent l="0" t="0" r="0" b="0"/>
                      <wp:wrapNone/>
                      <wp:docPr id="32" name="Frame3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35" name="Frame3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loss per share attributable to Xcel Brands, Inc.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trademarks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early extinguishment of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Certain adjustments to provision for doubtful accounts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sale of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reduction of contingent obligation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diluted EPS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weighted average shares outstanding</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19,624,669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19,455,987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Adjusted EBITDA:</w:t>
      </w:r>
    </w:p>
    <w:p>
      <w:pPr>
        <w:pStyle w:val="TextBody"/>
        <w:spacing w:before="0" w:after="240"/>
        <w:ind w:left="0" w:right="0" w:hanging="0"/>
        <w:jc w:val="both"/>
        <w:rPr/>
      </w:pPr>
      <w:r>
        <w:rPr/>
        <w:t>​</w:t>
      </w:r>
    </w:p>
    <w:tbl>
      <w:tblPr>
        <w:tblW w:w="8731" w:type="dxa"/>
        <w:jc w:val="left"/>
        <w:tblInd w:w="0" w:type="dxa"/>
        <w:tblCellMar>
          <w:top w:w="0" w:type="dxa"/>
          <w:left w:w="0" w:type="dxa"/>
          <w:bottom w:w="0" w:type="dxa"/>
          <w:right w:w="0" w:type="dxa"/>
        </w:tblCellMar>
      </w:tblPr>
      <w:tblGrid>
        <w:gridCol w:w="5911"/>
        <w:gridCol w:w="326"/>
        <w:gridCol w:w="211"/>
        <w:gridCol w:w="796"/>
        <w:gridCol w:w="326"/>
        <w:gridCol w:w="211"/>
        <w:gridCol w:w="796"/>
        <w:gridCol w:w="154"/>
      </w:tblGrid>
      <w:tr>
        <w:trPr/>
        <w:tc>
          <w:tcPr>
            <w:tcW w:w="5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38" name="Frame3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41" name="Frame4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175260"/>
                      <wp:effectExtent l="0" t="0" r="0" b="0"/>
                      <wp:wrapNone/>
                      <wp:docPr id="42" name="Frame4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54" w:type="dxa"/>
            <w:tcBorders/>
            <w:shd w:fill="auto" w:val="clear"/>
            <w:vAlign w:val="center"/>
          </w:tcPr>
          <w:p>
            <w:pPr>
              <w:pStyle w:val="TableContents"/>
              <w:spacing w:before="0" w:after="0"/>
              <w:ind w:left="0" w:right="0" w:hanging="0"/>
              <w:jc w:val="center"/>
              <w:rPr/>
            </w:pPr>
            <w:r>
              <w:rPr/>
              <w:t>​</w:t>
            </w:r>
          </w:p>
        </w:tc>
      </w:tr>
      <w:tr>
        <w:trPr/>
        <w:tc>
          <w:tcPr>
            <w:tcW w:w="59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0"/>
              <w:ind w:left="0" w:right="0" w:hanging="0"/>
              <w:jc w:val="center"/>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(12,184)</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154"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6,830</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Proportional share of trademark amortization of equity method investee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and finance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3,579</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c>
          <w:tcPr>
            <w:tcW w:w="154"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and local franchise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54"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Certain adjustments to provision for doubtful accounts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sale of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reduction of contingent obligation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and 2021, our cash and cash equivalents were $4.6 million and $4.5 million, respectively.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at December 31, 2021 consisted of $0.7 million of cash deposited as collateral for an irrevocable standby letter of credit associated with the lease of our current corporate office and operating facility. There was no restricted cash at December 31, 2022, as the aforementioned letter of credit had expired and was not renewed.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principal capital requirements have been to fund working capital needs, acquire new brands, and to a lesser extent, capital expenditures. Notwithstanding our recent investments in our ERP system and our brick-and-mortal retail store in 2020 and 2021, respectively, our business operating model generally does not require material capital expenditures, and as of December 31, 2022, we have no significant commitments for future capital expenditures. Material cash requirements from known contractual and other obligations are discussed under “Obligations and Commitments”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Working 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working capital (current assets less current liabilities, excluding the current portion of lease obligations and any contingent liabilities payable in common stock) was $8.8 million and $7.9 million as of December 31, 2022 and 2021, respectively. Commentary on components of our cash flows for the Current Year compared with the Prior Year is set forth below.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Management’s Plans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incurred net losses of approximately $5.4 million ($25.9 million excluding the gain on sale of a majority interest in the Isaac Mizrahi brand) and $13.0 million during the years ended December 31, 2022 and 2021, respectively, and had an accumulated deficit of approximately $32.8 million and $28.8 million as of December 31, 2022 and 2021, respectively. Included in the net losses were non-cash expenses of approximately $8.2 million and $7.5 million for the years ended December 31, 2022 and 2021, respectively. Net cash used in operating activities was $14.2 million in 2022 and $6.6 million in 2021. These factors raise uncertainties about the Company’s ability to continue as a going concern.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plans to mitigate an expected shortfall of capital and to support future operations by shifting the business from a wholesale/licensing hybrid model into a licensing plus business model and to divest or restructure the Longaberger brand. In the first quarter of 2023, we began to restructure our business operations by entering into new licensing agreements and joint venture arrangements with best-in-class business partners. We entered into a new interactive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television licensing agreement with America’s Collectibles Network, Inc. d/b/a JTV (“JTV”) for the Ripka Brand, and a separate license with JTV for the Ripka Brand’s e-commerce business. For apparel, similar transactions have recently been executed. In conjunction with the launch of the C Wonder Brand on HSN, we licensed the wholesale production operations related to the brand to One Jeanswear Group, LLC (“OJG”); this new license with OJG also includes other new celebrity brands that we plan to launch in 2023 and beyond. For the Halston Brand, we plan on entering into a joint venture related to the brand’s wholesale apparel business with another leading manufacturer (the “Halston JV”). The Halston JV will develop an apparel business under the H Halston brand through department stores, e-commerce, and other retailers. The Halston JV will include a wholesale license to Xcel. We expect the transition of these operating businesses to be completed by the second quarter of 2023. We believe that this evolution of our operating model will provide us with significant cost savings and allow us to reduce and better manage our exposure to operating risks. As of March 31, 2023, steps have been taken to reduce payroll by $6 million and operating cost by approximately $7 million over the next twelve months. Further, the Company intends to obtain a line of credit to provide additional capital resources. However, there is no assurance that this line of credit or any other external financing will be obtained.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these recent changes in our business model, management expects to generate adequate cash flows to meet the Company’s operating and capital expenditure needs, for at least the twelve months subsequent to the filing date of this Annual Report on Form 10-K, and therefore, such conditions and uncertainties with respect to the Company’s ability to continue as a going concern as of December 31, 2022, have subsequently been alleviated.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provided by operating activities was approximately $(14.2) million and $(6.6) million in the Current Year and Prior Year,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Year’s cash used in operating activities was primarily attributable to the combination of the net loss of $(5.4) million plus non-cash items of approximately $(10.2) million, partially offset by a net change in operating assets and liabilities of approximately $1.4 million. Non-cash items were primarily comprised of, but not limited to, the net gain on sale of assets of $(20.6) million, $7.3 million of depreciation and amortization, a $2.3 million loss on extinguishment of debt, and the $1.2 million undistributed proportional share of net income of equity method investee. The net change in operating assets and liabilities notably included a decrease in accounts receivable of $2.1 million, a decrease in inventory of $0.5 million, a decrease in prepaid expenses and other assets of $0.6 million, and decreases in various operating liabilities of $(1.4) million. The decrease in accounts receivable was primarily related to the Current Year sale of a majority interest in the Isaac Mizrahi brand, resulting in lower licensing revenues and thus lower receivable balances. The decreases in inventory and other operating assets and liabilities were primarily reflective of the declines in our wholesale business due to retailers pausing or canceling orders during the Current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Prior Year’s cash used in operating activities was primarily attributable to the combination of the net loss of $(13.0) million plus non-cash expenses of approximately $7.7 million, and a net change in operating assets and liabilities of approximately $(1.2) million. Non-cash net expenses were primarily comprised of $6.8 million of depreciation and amortization, $1.4 million of asset impairment charges, $0.3 million of amortization of deferred finance costs, a $1.5 million loss on extinguishment of debt, $0.7 million of stock-based compensation, and $(3.2) million of deferred income tax benefit. The net change in operating assets and liabilities notably included a decrease in accounts receivable of $1.1 million, an increase in inventory of $(2.2) million, an increase in prepaid expenses and other assets of $(0.8) million, and an increase in accounts payable, accrued expenses and other current liabilities of $1.2 million. The changes in accounts receivable and payable were primarily related to the timing of collections and payments, while the change in inventory is primarily related to expected increases in wholesales, including our drop-ship programs, and an increase in our direct-to-consumer businesses.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for the Current Year was approximately $44.5 million, and was attributable to $45.4 million of net proceeds from the sale of a majority interest in the Isaac Mizrahi brand to WHP, partially offset by $0.6 million of capital contributions to our equity method investee and approximately $0.3 million of capital expenditures.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Prior Year was approximately $4.8 million, which was primarily attributable to the acquisition of the Lori Goldstein brand on April 1, 2021, and, to a lesser extent, to capital expenditures relating to the fit-out and furnishing of our Judith Ripka fine jewelry retail store (which opened in the second quarter of 2021 and was subsequently closed in the first quarter of 2022).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for the Current Year was approximately $31.0 million, which mainly consisted of $29.0 million of repayments of our term loan debt, and, to a lesser extent, $1.5 million of prepayment and other fees associated with the early extinguishment of debt, as well as $0.4 million of shares repurchased related to withholding taxes on vested restricted stock.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Prior Year was approximately $10.5 million, and was primarily attributable to a net increase in debt obligations of $13.5 million, due to debt refinancing transactions entered into on April 14, 2021 and December 30, 2021, as well as cash contributions received from the noncontrolling interest holder in Longaberger Licensing, LLC of $1.0 million. These sources of cash were partially offset by deferred finance costs and other fees paid in connection with the aforementioned debt refinancing transactions of $(2.7) million, and principal payments made on term loan debt of $(1.3) million during the year.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Obligations and Commitments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Lori Goldstein Earn-Out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1, 2021 purchase of the Lori Goldstein trademarks (see Note 3 of the consolidated financial statements for additional information), we agreed to pay the seller additional cash consideration of up to $12.5 million, based on royalties earned during the six calendar year period commencing in 2021. The Lori Goldstein Earn-Out of $6.6 million is recorded as a liability in the accompanying consolidated balance sheets, based on the difference at the date of acquisition between the fair value of the acquired assets of the Lori Goldstein brand and the total consideration paid. Based on the performance of the Lori Goldstein brand through December 31, 2022, approximately $0.2 million of additional consideration has been earned and is payable to the Seller in 2023. At December 31, 2022, $0.2 million of the balance is recorded as a current liability and $6.4 million is recorded as a long-term liability; at December 31, 2021, the entire balance was recorded as a long-term liability.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Isaac Mizrahi Transaction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May 31, 2022 transaction related to the sale of a majority interest in the Isaac Mizrahi brand, we agreed with WHP (the buyer) that, in the event that IM Topco, LLC receives less than $13.3 million in aggregate royalties for any four consecutive calendar quarters over a three-year period ending on May 31, 2025, WHP will be entitled to receive from us up to $16 million, less all amounts of net cash flow distributed to WHP on an accumulated basis, as an adjustment to the purchase price previously paid by WHP. Such amount would be payable by us in either cash or equity interests in IM Topco, LLC held by us. Based on IM Topco’s earnings from May 31, 2022 through December 31, 2022 and the applicable distribution provisions, WHP earned $4.32 million in cash flow, which reduces the potential purchase price adjustment to $11.68 million. No amount has been recorded in the accompanying consolidated balance sheets related to this contingent obligation, and management believes the likelihood of any such payment is remote.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Halston Heritage Earn-Out</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February 11, 2019 purchase of the Halston Heritage trademarks from the H Company IP, LLC (“HIP”), we agreed to pay HIP additional consideration (the “Halston Heritage Earn-Out”) of up to an aggregate of $6.0 million, based on royalties earned from 2019 through December 31, 2022. This additional consideration would have been payable in shares of our common stock. The Halston Heritage Earn-Out of $0.9 million was recorded as a long-term liability on February 11, 2019 and as of December 31, 2021, based on the difference at the date of acquisition between the fair value of the acquired assets of the Halston Heritage Trademarks and the total consideration paid.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final royalty target year ended on December 31, 2022, and HIP ultimately did not earn any additional consideration based on the formula set forth in the related asset purchase agreement. As such, during the year ended December 31, 2022, we recorded a $0.9 million gain on the reduction of contingent obligations in the accompanying consolidated statement of operations. As of December 31, 2022, there were no amounts remaining under the Halston Heritage Earn-Out.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Real Estate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Item 2 of this Annual Report on Form 10-K, as of December 31, 2022 we had real estate leases for our current office and a retail store location, with remaining lease terms between approximately five to seven years. We recorded an impairment charge related to the right-of-use asset for the retail store as of December 31, 2021, subsequently closed the retail store in 2022, and are currently in the process of negotiating the termination of the retail store lease; however, the lease liability for the retail store remains on our consolidated balance sheet as a liability and is included in the future payment obligations set forth below.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Future payments under our real estate leases are expected to be approximately $1.7 million for each of the years ending December 31, 2023 – 2026, $1.5 million for the year ending December 31, 2027, and $0.2 million thereafter.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Employment Contracts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contracts with certain executives and key employees. The future minimum payments under these contracts is expected to be approximately $19.9 million, of which, approximately $4.3 million is expected to be paid in 2023, approximately $2.1 million is expected to be paid for each of the years ending December 31, 2024 – 2030, and approximately $0.5 million is expected to be paid in 2031.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Off-Balance Sheet Arrangements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off-balance sheet arrangements that have or are reasonably likely to have a current or future material effect on our financial condition, results of operations or liquidity.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Factors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Lori Goldstein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the recent sale of a majority interest in the Isaac Mizrahi brand is expected to result in a short-term decrease in our revenues, as that brand represented a significant portion of our historical revenues, we will seek to replace those revenues in the long-term with new strategic business initiatives. The proceeds from the sale, as well as future cash flows from our retained interest in the Isaac Mizrahi brand, are expected to position us to fund various strategic initiatives as we concentrate our resources on growing our brands, new brand launches, and investing in live streaming technology and new business partnerships.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work towards expanding and developing more efficient ways to operate our wholesale and e-commerce businesses, and complement these operations with our licensing business. In addition, we continue to seek new opportunities, including expansion through interactive television, live streaming, our design, production and supply chain platform, additional domestic and international licensing arrangements, and acquiring additional brands, including recent launches of our Victor Glemaud and C Wonder by Christian Sirano businesses on HSN.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However, the impacts of the ongoing COVID-19 pandemic (including actions taken by national, state, and local governments in response to COVID-19) has negatively impacted the U.S. and global economy, disrupted consumer spending and global supply chains, and created significant volatility and disruption of financial markets. More specifically, COVID-19 has had, and continues to have, a significant negative impact on our business. The initial onset of the pandemic in 2020 resulted in a sudden decrease in sales for many of the Company’s products, from which we have yet to fully recover. The global pandemic has affected the financial health of certain of our customers, and the bankruptcy of certain other customers; as a result, we recognized bad debt expense of approximately $0.4 million and $0.1 million in the Current Year and Prior Year, respectively, and may be required to make additional adjustments for doubtful accounts which would increase our operating expenses in future periods and negatively impact our operating results. Due to the ongoing COVID-19 pandemic, there is significant uncertainty surrounding the Company’s future results of operations and cash flows. Continued impacts of the pandemic could materially adversely affect the Company’s near-term and long-term revenues, earnings, liquidity, and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global shipping industry is currently experiencing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at least some portion of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cost of raw materials, labor, manufacturing, energy, fuel, shipping and logistics, and other inputs related to the production and distribution of our products have increased and may continue to increase unexpectedly. Beginning in the first quarter of 2022, input costs increased significantly. We expect the pressures of input cost inflation to continue for at least some portion of 2023. We may not be able to mitigate the impact of inflation and cost increases or pass these costs along to our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long-term success, however, will still remain largely dependent on our ability to build and maintain our brands’ awareness and continue to attract wholesale and direct-to-consumer customers, and contract with and retain key licensees and potential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Item 1A of this Annual Report on Form 10-K could adversely affect our licensees’ ability to meet and/or exceed their contractual commitments to us and thereby adversely affect our future operating results.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44" w:name="Item7AQuantitativeandQualitativeDisclosu"/>
      <w:bookmarkStart w:id="45" w:name="_31b48bda_7dba_48ea_b3d1_6086229f5a38"/>
      <w:bookmarkEnd w:id="44"/>
      <w:bookmarkEnd w:id="45"/>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46" w:name="Item8FinancialStatementsandSupplementary"/>
      <w:bookmarkStart w:id="47" w:name="_5631366a_675f_42fa_9e2f_c0d338d9b5af"/>
      <w:bookmarkEnd w:id="46"/>
      <w:bookmarkEnd w:id="47"/>
      <w:r>
        <w:rPr>
          <w:rFonts w:ascii="Times New Roman;Times;serif" w:hAnsi="Times New Roman;Times;serif"/>
          <w:b/>
          <w:sz w:val="20"/>
        </w:rPr>
        <w:t>Item 8.      Financial Statements and Supplementary Data</w:t>
      </w:r>
    </w:p>
    <w:tbl>
      <w:tblPr>
        <w:tblW w:w="7228" w:type="dxa"/>
        <w:jc w:val="left"/>
        <w:tblInd w:w="0" w:type="dxa"/>
        <w:tblCellMar>
          <w:top w:w="0" w:type="dxa"/>
          <w:left w:w="0" w:type="dxa"/>
          <w:bottom w:w="0" w:type="dxa"/>
          <w:right w:w="0" w:type="dxa"/>
        </w:tblCellMar>
      </w:tblPr>
      <w:tblGrid>
        <w:gridCol w:w="6331"/>
        <w:gridCol w:w="326"/>
        <w:gridCol w:w="571"/>
      </w:tblGrid>
      <w:tr>
        <w:trPr/>
        <w:tc>
          <w:tcPr>
            <w:tcW w:w="6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6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6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top w:val="single" w:sz="8" w:space="0" w:color="000000"/>
            </w:tcBorders>
            <w:shd w:fill="auto" w:val="clear"/>
            <w:tcMar>
              <w:top w:w="28" w:type="dxa"/>
            </w:tcMar>
            <w:vAlign w:val="center"/>
          </w:tcPr>
          <w:p>
            <w:pPr>
              <w:pStyle w:val="TableContents"/>
              <w:spacing w:before="0" w:after="0"/>
              <w:ind w:left="0" w:right="0" w:hanging="0"/>
              <w:rPr/>
            </w:pPr>
            <w:r>
              <w:rPr/>
              <w:t>​</w:t>
            </w:r>
          </w:p>
        </w:tc>
      </w:tr>
      <w:tr>
        <w:trPr/>
        <w:tc>
          <w:tcPr>
            <w:tcW w:w="6331"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688)</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331" w:type="dxa"/>
            <w:tcBorders/>
            <w:shd w:fill="auto" w:val="clear"/>
            <w:vAlign w:val="center"/>
          </w:tcPr>
          <w:p>
            <w:pPr>
              <w:pStyle w:val="TableContents"/>
              <w:spacing w:before="0" w:after="0"/>
              <w:ind w:left="0" w:right="0" w:hanging="0"/>
              <w:rPr/>
            </w:pPr>
            <w:hyperlink w:anchor="BalanceSheet">
              <w:r>
                <w:rPr>
                  <w:rStyle w:val="InternetLink"/>
                  <w:rFonts w:ascii="Times New Roman;Times;serif" w:hAnsi="Times New Roman;Times;serif"/>
                  <w:b w:val="false"/>
                  <w:i w:val="false"/>
                  <w:caps w:val="false"/>
                  <w:smallCaps w:val="false"/>
                  <w:sz w:val="20"/>
                </w:rPr>
                <w:t>Consolidated Balance Sheets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6331" w:type="dxa"/>
            <w:tcBorders/>
            <w:shd w:fill="auto" w:val="clear"/>
            <w:vAlign w:val="center"/>
          </w:tcPr>
          <w:p>
            <w:pPr>
              <w:pStyle w:val="TableContents"/>
              <w:spacing w:before="0" w:after="0"/>
              <w:ind w:left="0" w:right="0" w:hanging="0"/>
              <w:rPr/>
            </w:pPr>
            <w:hyperlink w:anchor="IncomeStatement">
              <w:r>
                <w:rPr>
                  <w:rStyle w:val="InternetLink"/>
                  <w:rFonts w:ascii="Times New Roman;Times;serif" w:hAnsi="Times New Roman;Times;serif"/>
                  <w:b w:val="false"/>
                  <w:i w:val="false"/>
                  <w:caps w:val="false"/>
                  <w:smallCaps w:val="false"/>
                  <w:sz w:val="20"/>
                </w:rPr>
                <w:t>Consolidated Statements of Operations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331" w:type="dxa"/>
            <w:tcBorders/>
            <w:shd w:fill="auto" w:val="clear"/>
            <w:vAlign w:val="center"/>
          </w:tcPr>
          <w:p>
            <w:pPr>
              <w:pStyle w:val="TableContents"/>
              <w:spacing w:before="0" w:after="0"/>
              <w:ind w:left="0" w:right="0" w:hanging="0"/>
              <w:rPr/>
            </w:pPr>
            <w:hyperlink w:anchor="StockHoldersEquity">
              <w:r>
                <w:rPr>
                  <w:rStyle w:val="InternetLink"/>
                  <w:rFonts w:ascii="Times New Roman;Times;serif" w:hAnsi="Times New Roman;Times;serif"/>
                  <w:b w:val="false"/>
                  <w:i w:val="false"/>
                  <w:caps w:val="false"/>
                  <w:smallCaps w:val="false"/>
                  <w:sz w:val="20"/>
                </w:rPr>
                <w:t>Consolidated Statements of Stockholders’ Equity</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331" w:type="dxa"/>
            <w:tcBorders/>
            <w:shd w:fill="auto" w:val="clear"/>
            <w:vAlign w:val="center"/>
          </w:tcPr>
          <w:p>
            <w:pPr>
              <w:pStyle w:val="TableContents"/>
              <w:spacing w:before="0" w:after="0"/>
              <w:ind w:left="0" w:right="0" w:hanging="0"/>
              <w:rPr/>
            </w:pPr>
            <w:hyperlink w:anchor="CashFlows">
              <w:r>
                <w:rPr>
                  <w:rStyle w:val="InternetLink"/>
                  <w:rFonts w:ascii="Times New Roman;Times;serif" w:hAnsi="Times New Roman;Times;serif"/>
                  <w:b w:val="false"/>
                  <w:i w:val="false"/>
                  <w:caps w:val="false"/>
                  <w:smallCaps w:val="false"/>
                  <w:sz w:val="20"/>
                </w:rPr>
                <w:t>Consolidated Statements of Cash Flows</w:t>
              </w:r>
            </w:hyperlink>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331" w:type="dxa"/>
            <w:tcBorders>
              <w:bottom w:val="single" w:sz="8" w:space="0" w:color="000000"/>
            </w:tcBorders>
            <w:shd w:fill="auto" w:val="clear"/>
            <w:tcMar>
              <w:bottom w:w="28" w:type="dxa"/>
            </w:tcMar>
            <w:vAlign w:val="center"/>
          </w:tcPr>
          <w:p>
            <w:pPr>
              <w:pStyle w:val="TableContents"/>
              <w:spacing w:before="0" w:after="0"/>
              <w:ind w:left="0" w:right="0" w:hanging="0"/>
              <w:rPr/>
            </w:pPr>
            <w:hyperlink w:anchor="NotesToFinancialStatements">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bottom w:val="single" w:sz="8"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8" w:name="REPORTOFINDEPENDENTREGISTEREDPUBLICACCOU"/>
      <w:bookmarkStart w:id="49" w:name="_db135926_12e1_47d5_83b2_06332fba300d"/>
      <w:bookmarkEnd w:id="48"/>
      <w:bookmarkEnd w:id="49"/>
      <w:r>
        <w:rPr>
          <w:rFonts w:ascii="Times New Roman;Times;serif" w:hAnsi="Times New Roman;Times;serif"/>
          <w:b/>
          <w:sz w:val="20"/>
        </w:rPr>
        <w:t>REPORT OF INDEPENDENT REGISTERED PUBLIC ACCOUNTING FIRM</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Stockholders and Board of Directors of</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We have audited the accompanying consolidated balance sheets of Xcel Brands, Inc. and Subsidiaries (the “Company”) as of December 31, 2022 and 2021, the related consolidated statements of operations,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Liquidity and Management’s Plans</w:t>
      </w:r>
    </w:p>
    <w:p>
      <w:pPr>
        <w:pStyle w:val="TextBody"/>
        <w:spacing w:before="0" w:after="0"/>
        <w:ind w:left="360" w:right="0" w:hanging="0"/>
        <w:rPr>
          <w:rFonts w:ascii="Times New Roman;Times;serif" w:hAnsi="Times New Roman;Times;serif"/>
          <w:i/>
          <w:sz w:val="20"/>
        </w:rPr>
      </w:pPr>
      <w:r>
        <w:rPr>
          <w:rFonts w:ascii="Times New Roman;Times;serif" w:hAnsi="Times New Roman;Times;serif"/>
          <w:i/>
          <w:sz w:val="20"/>
        </w:rPr>
        <w:t>Critical Audit Matter Description</w:t>
      </w:r>
    </w:p>
    <w:p>
      <w:pPr>
        <w:pStyle w:val="TextBody"/>
        <w:spacing w:before="0" w:after="0"/>
        <w:ind w:left="360" w:right="0" w:hanging="0"/>
        <w:rPr/>
      </w:pPr>
      <w:r>
        <w:rPr/>
        <w: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As described further in Note 1 to the financial statements, the Company has incurred recurring losses from operations, has an accumulated deficit and insufficient revenues to cover its operating costs. The ability of the Company to continue as a going concern is dependent on executing its business plans and meeting its obligations as they come due within the next twelve months from the filing date of this Annual Report on Form 10-K. Accordingly, the Company has determined that these factors raise substantial doubt and uncertainty as to the Company’s ability to continue as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going concern.  However, management has implemented plans which are expected to mitigate these conditions or events, and therefore, such conditions or events of substantial doubt have been alleviated. </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We determined the Company’s ability to continue as a going concern is a critical audit matter due to the estimation and uncertainty regarding the Company’s available capital and the risk of bias in management’s judgments and assumptions in their determination. Our audit procedures related to considering whether the results of our audit procedures, when considered in the aggregate, indicate that there could be substantial doubt about the Company’s ability to continue as a going concern for a reasonable period of time, obtaining information about management’s plans that are intended to mitigate the effect of such conditions or events, and assessing the likelihood that such plans can be effectively implemented, included the following, among others: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reviewed the Company’s assessment and conclusions regarding their ability to generate cashflows for at least twelve months from the filing date of this Annual Report on Form 10-K.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inquired of Company management and reviewed Company records to assess whether there are additional factors that contribute to the uncertainties disclosed.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assessed whether the Company’s determination that there are factors that raise such uncertainties about its ability to continue as a going concern, was adequately disclosed in the financial statements.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reviewed and evaluated management's plans for alleviating such conditions and uncertainties and considered whether it is likely that these conditions and uncertainties would be mitigated for a reasonable period of time and that such plans can be effectively implemented.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testing procedures such as reviewing; prospective financial information for the twelve-month period beginning with the filing date of this Annual Report on Form 10-K, actual operating performance for periods subsequent to December 31, 2022, implemented reductions in operating expenses, and plans for further reductions to support expected cashflows.  </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 Marcum LLP</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Marcum LLP</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New York, NY</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April 17,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50" w:name="_eaf95200_141d_4fbd_8d03_291853a850f1"/>
      <w:bookmarkEnd w:id="50"/>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bookmarkStart w:id="51" w:name="BalanceSheet"/>
      <w:bookmarkEnd w:id="51"/>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52" w:name="Tc_tNXJJuvMPEOK4at8AnWtLQ_48_5"/>
      <w:bookmarkStart w:id="53" w:name="Tc_Zg8SGf4tgU2G7OZkOX0XEw_48_2"/>
      <w:bookmarkStart w:id="54" w:name="Tc_1bwop22sp0i8zZo8dtVbcw_48_0"/>
      <w:bookmarkStart w:id="55" w:name="Tc_mAgjU8f2nkWgx1Kq0TS7ZQ_46_0"/>
      <w:bookmarkStart w:id="56" w:name="Tc_K1EYyMeJ5E-xZOUWjtDcxw_45_0"/>
      <w:bookmarkStart w:id="57" w:name="Tc_a6cLpm9tcEaWsTVc79cnIg_44_0"/>
      <w:bookmarkStart w:id="58" w:name="Tc_PkQ7OslrdUqAgU7qd0hOmA_43_0"/>
      <w:bookmarkStart w:id="59" w:name="Tc_QQSjhkhpAky4EKqfyPTf7A_42_0"/>
      <w:bookmarkStart w:id="60" w:name="Tc_TllpVUbnPE2WULK746aCcw_41_0"/>
      <w:bookmarkStart w:id="61" w:name="_96ffc24a_ea83_485a_830f_a65d9ed2b394_3"/>
      <w:bookmarkStart w:id="62" w:name="_96ffc24a_ea83_485a_830f_a65d9ed2b394_2"/>
      <w:bookmarkStart w:id="63" w:name="_96ffc24a_ea83_485a_830f_a65d9ed2b394"/>
      <w:bookmarkStart w:id="64" w:name="Tc_crUH4N2dvkCD9XNSHc8bNA_40_0"/>
      <w:bookmarkStart w:id="65" w:name="Tc_yBnAEErF2E6Z2Q-X56zb_Q_39_0"/>
      <w:bookmarkStart w:id="66" w:name="Tc_bND_D3Nq4Uy08J_pR-FKFg_37_0"/>
      <w:bookmarkStart w:id="67" w:name="Tc_ELmc7600DESgmpvU5bxchA_35_0"/>
      <w:bookmarkStart w:id="68" w:name="Tc_CG5IIZX7H0mJQrx68lL4QQ_34_0"/>
      <w:bookmarkStart w:id="69" w:name="Tc_NsUeryaDY0utUY3fiQ_inQ_33_0"/>
      <w:bookmarkStart w:id="70" w:name="Tc_1s1a4IBlf0yaTXGHStflnA_32_3"/>
      <w:bookmarkStart w:id="71" w:name="Tc_g6YKLkp7FUCZVgIzDm2FTA_32_0"/>
      <w:bookmarkStart w:id="72" w:name="Tc_c8J_3xpr-06eic-wW3pOHA_31_0"/>
      <w:bookmarkStart w:id="73" w:name="Tc_qT6xZ7IYXUuw75YFRfqLLw_30_0"/>
      <w:bookmarkStart w:id="74" w:name="Tc_IN2g6UlRcEKjd1zkLmJbow_29_0"/>
      <w:bookmarkStart w:id="75" w:name="Tc_yHLtz9sUAEmODQstWlsW-A_28_6"/>
      <w:bookmarkStart w:id="76" w:name="Tc_2-TQKSdt2U-DxrFMSF4LCQ_28_0"/>
      <w:bookmarkStart w:id="77" w:name="Tc_DbdSv-Wy9EmWUt-Ebey4pg_27_3"/>
      <w:bookmarkStart w:id="78" w:name="Tc_d9yfPsgFFEGuMtOHSSbTPA_27_0"/>
      <w:bookmarkStart w:id="79" w:name="Tc_rr7Lygxn3kqs6qOpsf7H2A_26_0"/>
      <w:bookmarkStart w:id="80" w:name="Tc_RypNDQTCuEW0kAUOU3Dccg_25_0"/>
      <w:bookmarkStart w:id="81" w:name="Tc_m_btCAzOIUCaEg0UbJ_XdA_24_0"/>
      <w:bookmarkStart w:id="82" w:name="Tc_Ao7N_noAAEqJuw5ALKP0vg_23_5"/>
      <w:bookmarkStart w:id="83" w:name="Tc_H9ZsAntrrUWavD9DE9i7ZA_23_2"/>
      <w:bookmarkStart w:id="84" w:name="Tc_X-focLbiMES0TWsfEYKMFg_23_0"/>
      <w:bookmarkStart w:id="85" w:name="Tc_oHlORCrsck-cz7zpx5lGYw_22_0"/>
      <w:bookmarkStart w:id="86" w:name="Tc_kYwXKpe6Zkmg0gW7wJSj-Q_21_0"/>
      <w:bookmarkStart w:id="87" w:name="Tc_Xk-FN-hkh0yRGqB1a85cXA_19_5"/>
      <w:bookmarkStart w:id="88" w:name="Tc_kcg7poacyEW4zA97gyaY4g_19_2"/>
      <w:bookmarkStart w:id="89" w:name="Tc_xVvuU3ehI0-1W6ICJoK_Jg_19_0"/>
      <w:bookmarkStart w:id="90" w:name="Tc_P1ZaN9TqdEyYvclLJgaUAw_17_0"/>
      <w:bookmarkStart w:id="91" w:name="Tc_Wkrg1U28s02Pfl9pHo2f1g_16_0"/>
      <w:bookmarkStart w:id="92" w:name="Tc_kKOqpcZNdEunqiJ8EAkP0g_15_0"/>
      <w:bookmarkStart w:id="93" w:name="Tc_KzE9qfw-e06V4TaRjGr-Bg_14_3"/>
      <w:bookmarkStart w:id="94" w:name="Tc_wNz9zRhkska6-HZXYjz6nA_14_0"/>
      <w:bookmarkStart w:id="95" w:name="Tc_nWnC-dt8kUy7MUNQP3TYhQ_13_6"/>
      <w:bookmarkStart w:id="96" w:name="Tc_phm0kKdeUEmtPD7CTTWmKA_13_0"/>
      <w:bookmarkStart w:id="97" w:name="Tc_IZO9FlfaE0iqfdNTpHQq-A_12_0"/>
      <w:bookmarkStart w:id="98" w:name="Tc_TsxupSyl9EK7AI1pKUeh3A_11_0"/>
      <w:bookmarkStart w:id="99" w:name="Tc_WY5DnXM7t0KnPrtuv4n7Dw_10_0"/>
      <w:bookmarkStart w:id="100" w:name="Tc_uBituhRqCkSnTmn98TuaxQ_9_0"/>
      <w:bookmarkStart w:id="101" w:name="Tc_xwP6njv8eE6uN0qCiDKOzQ_8_0"/>
      <w:bookmarkStart w:id="102" w:name="Tc_fsvTd__SLUi1G5oR6wpysQ_7_0"/>
      <w:bookmarkStart w:id="103" w:name="Tc_V0AQPzqickCOnGhaNkYQTQ_6_0"/>
      <w:bookmarkStart w:id="104" w:name="Tc_vMDWs4pBvkyWr_vyBUfs5Q_5_0"/>
      <w:bookmarkStart w:id="105" w:name="Tc_DXJmR8wuFUCsa60_ZOg3hw_4_5"/>
      <w:bookmarkStart w:id="106" w:name="Tc_PSaFNuTfe0SCyMfmTIIIHw_4_2"/>
      <w:bookmarkStart w:id="107" w:name="Tc_-5kYhXRowkSbDbO1OrRLZA_4_0"/>
      <w:bookmarkStart w:id="108" w:name="Tc_WKQrizgCnEmL-djOgbZvEA_3_0"/>
      <w:bookmarkStart w:id="109" w:name="Tc_3P5q8Jbfq0aiLwlWiZCZjQ_2_0"/>
      <w:bookmarkStart w:id="110" w:name="Tc_TJ1KX9FaN0mo9UGCww9XUg_1_5"/>
      <w:bookmarkStart w:id="111" w:name="Tc_GCOaHjP4jUC_uYMmVfSz3g_1_2"/>
      <w:bookmarkStart w:id="112" w:name="_74968eec_bedf_4e3c_8bdc_c0c6331470a9"/>
      <w:bookmarkStart w:id="113" w:name="Tc_tNXJJuvMPEOK4at8AnWtLQ_48_5"/>
      <w:bookmarkStart w:id="114" w:name="Tc_Zg8SGf4tgU2G7OZkOX0XEw_48_2"/>
      <w:bookmarkStart w:id="115" w:name="Tc_1bwop22sp0i8zZo8dtVbcw_48_0"/>
      <w:bookmarkStart w:id="116" w:name="Tc_mAgjU8f2nkWgx1Kq0TS7ZQ_46_0"/>
      <w:bookmarkStart w:id="117" w:name="Tc_K1EYyMeJ5E-xZOUWjtDcxw_45_0"/>
      <w:bookmarkStart w:id="118" w:name="Tc_a6cLpm9tcEaWsTVc79cnIg_44_0"/>
      <w:bookmarkStart w:id="119" w:name="Tc_PkQ7OslrdUqAgU7qd0hOmA_43_0"/>
      <w:bookmarkStart w:id="120" w:name="Tc_QQSjhkhpAky4EKqfyPTf7A_42_0"/>
      <w:bookmarkStart w:id="121" w:name="Tc_TllpVUbnPE2WULK746aCcw_41_0"/>
      <w:bookmarkStart w:id="122" w:name="_96ffc24a_ea83_485a_830f_a65d9ed2b394_3"/>
      <w:bookmarkStart w:id="123" w:name="_96ffc24a_ea83_485a_830f_a65d9ed2b394_2"/>
      <w:bookmarkStart w:id="124" w:name="_96ffc24a_ea83_485a_830f_a65d9ed2b394"/>
      <w:bookmarkStart w:id="125" w:name="Tc_crUH4N2dvkCD9XNSHc8bNA_40_0"/>
      <w:bookmarkStart w:id="126" w:name="Tc_yBnAEErF2E6Z2Q-X56zb_Q_39_0"/>
      <w:bookmarkStart w:id="127" w:name="Tc_bND_D3Nq4Uy08J_pR-FKFg_37_0"/>
      <w:bookmarkStart w:id="128" w:name="Tc_ELmc7600DESgmpvU5bxchA_35_0"/>
      <w:bookmarkStart w:id="129" w:name="Tc_CG5IIZX7H0mJQrx68lL4QQ_34_0"/>
      <w:bookmarkStart w:id="130" w:name="Tc_NsUeryaDY0utUY3fiQ_inQ_33_0"/>
      <w:bookmarkStart w:id="131" w:name="Tc_1s1a4IBlf0yaTXGHStflnA_32_3"/>
      <w:bookmarkStart w:id="132" w:name="Tc_g6YKLkp7FUCZVgIzDm2FTA_32_0"/>
      <w:bookmarkStart w:id="133" w:name="Tc_c8J_3xpr-06eic-wW3pOHA_31_0"/>
      <w:bookmarkStart w:id="134" w:name="Tc_qT6xZ7IYXUuw75YFRfqLLw_30_0"/>
      <w:bookmarkStart w:id="135" w:name="Tc_IN2g6UlRcEKjd1zkLmJbow_29_0"/>
      <w:bookmarkStart w:id="136" w:name="Tc_yHLtz9sUAEmODQstWlsW-A_28_6"/>
      <w:bookmarkStart w:id="137" w:name="Tc_2-TQKSdt2U-DxrFMSF4LCQ_28_0"/>
      <w:bookmarkStart w:id="138" w:name="Tc_DbdSv-Wy9EmWUt-Ebey4pg_27_3"/>
      <w:bookmarkStart w:id="139" w:name="Tc_d9yfPsgFFEGuMtOHSSbTPA_27_0"/>
      <w:bookmarkStart w:id="140" w:name="Tc_rr7Lygxn3kqs6qOpsf7H2A_26_0"/>
      <w:bookmarkStart w:id="141" w:name="Tc_RypNDQTCuEW0kAUOU3Dccg_25_0"/>
      <w:bookmarkStart w:id="142" w:name="Tc_m_btCAzOIUCaEg0UbJ_XdA_24_0"/>
      <w:bookmarkStart w:id="143" w:name="Tc_Ao7N_noAAEqJuw5ALKP0vg_23_5"/>
      <w:bookmarkStart w:id="144" w:name="Tc_H9ZsAntrrUWavD9DE9i7ZA_23_2"/>
      <w:bookmarkStart w:id="145" w:name="Tc_X-focLbiMES0TWsfEYKMFg_23_0"/>
      <w:bookmarkStart w:id="146" w:name="Tc_oHlORCrsck-cz7zpx5lGYw_22_0"/>
      <w:bookmarkStart w:id="147" w:name="Tc_kYwXKpe6Zkmg0gW7wJSj-Q_21_0"/>
      <w:bookmarkStart w:id="148" w:name="Tc_Xk-FN-hkh0yRGqB1a85cXA_19_5"/>
      <w:bookmarkStart w:id="149" w:name="Tc_kcg7poacyEW4zA97gyaY4g_19_2"/>
      <w:bookmarkStart w:id="150" w:name="Tc_xVvuU3ehI0-1W6ICJoK_Jg_19_0"/>
      <w:bookmarkStart w:id="151" w:name="Tc_P1ZaN9TqdEyYvclLJgaUAw_17_0"/>
      <w:bookmarkStart w:id="152" w:name="Tc_Wkrg1U28s02Pfl9pHo2f1g_16_0"/>
      <w:bookmarkStart w:id="153" w:name="Tc_kKOqpcZNdEunqiJ8EAkP0g_15_0"/>
      <w:bookmarkStart w:id="154" w:name="Tc_KzE9qfw-e06V4TaRjGr-Bg_14_3"/>
      <w:bookmarkStart w:id="155" w:name="Tc_wNz9zRhkska6-HZXYjz6nA_14_0"/>
      <w:bookmarkStart w:id="156" w:name="Tc_nWnC-dt8kUy7MUNQP3TYhQ_13_6"/>
      <w:bookmarkStart w:id="157" w:name="Tc_phm0kKdeUEmtPD7CTTWmKA_13_0"/>
      <w:bookmarkStart w:id="158" w:name="Tc_IZO9FlfaE0iqfdNTpHQq-A_12_0"/>
      <w:bookmarkStart w:id="159" w:name="Tc_TsxupSyl9EK7AI1pKUeh3A_11_0"/>
      <w:bookmarkStart w:id="160" w:name="Tc_WY5DnXM7t0KnPrtuv4n7Dw_10_0"/>
      <w:bookmarkStart w:id="161" w:name="Tc_uBituhRqCkSnTmn98TuaxQ_9_0"/>
      <w:bookmarkStart w:id="162" w:name="Tc_xwP6njv8eE6uN0qCiDKOzQ_8_0"/>
      <w:bookmarkStart w:id="163" w:name="Tc_fsvTd__SLUi1G5oR6wpysQ_7_0"/>
      <w:bookmarkStart w:id="164" w:name="Tc_V0AQPzqickCOnGhaNkYQTQ_6_0"/>
      <w:bookmarkStart w:id="165" w:name="Tc_vMDWs4pBvkyWr_vyBUfs5Q_5_0"/>
      <w:bookmarkStart w:id="166" w:name="Tc_DXJmR8wuFUCsa60_ZOg3hw_4_5"/>
      <w:bookmarkStart w:id="167" w:name="Tc_PSaFNuTfe0SCyMfmTIIIHw_4_2"/>
      <w:bookmarkStart w:id="168" w:name="Tc_-5kYhXRowkSbDbO1OrRLZA_4_0"/>
      <w:bookmarkStart w:id="169" w:name="Tc_WKQrizgCnEmL-djOgbZvEA_3_0"/>
      <w:bookmarkStart w:id="170" w:name="Tc_3P5q8Jbfq0aiLwlWiZCZjQ_2_0"/>
      <w:bookmarkStart w:id="171" w:name="Tc_TJ1KX9FaN0mo9UGCww9XUg_1_5"/>
      <w:bookmarkStart w:id="172" w:name="Tc_GCOaHjP4jUC_uYMmVfSz3g_1_2"/>
      <w:bookmarkStart w:id="173" w:name="_74968eec_bedf_4e3c_8bdc_c0c6331470a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tbl>
      <w:tblPr>
        <w:tblW w:w="10205" w:type="dxa"/>
        <w:jc w:val="left"/>
        <w:tblInd w:w="0" w:type="dxa"/>
        <w:tblCellMar>
          <w:top w:w="0" w:type="dxa"/>
          <w:left w:w="0" w:type="dxa"/>
          <w:bottom w:w="0" w:type="dxa"/>
          <w:right w:w="0" w:type="dxa"/>
        </w:tblCellMar>
      </w:tblPr>
      <w:tblGrid>
        <w:gridCol w:w="6506"/>
        <w:gridCol w:w="326"/>
        <w:gridCol w:w="331"/>
        <w:gridCol w:w="1170"/>
        <w:gridCol w:w="326"/>
        <w:gridCol w:w="305"/>
        <w:gridCol w:w="1241"/>
      </w:tblGrid>
      <w:tr>
        <w:trPr/>
        <w:tc>
          <w:tcPr>
            <w:tcW w:w="6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0185" cy="175260"/>
                      <wp:effectExtent l="0" t="0" r="0" b="0"/>
                      <wp:wrapNone/>
                      <wp:docPr id="44" name="Frame4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42950" cy="175260"/>
                      <wp:effectExtent l="0" t="0" r="0" b="0"/>
                      <wp:wrapNone/>
                      <wp:docPr id="45" name="Frame45"/>
                      <a:graphic xmlns:a="http://schemas.openxmlformats.org/drawingml/2006/main">
                        <a:graphicData uri="http://schemas.microsoft.com/office/word/2010/wordprocessingShape">
                          <wps:wsp>
                            <wps:cNvSpPr txBox="1"/>
                            <wps:spPr>
                              <a:xfrm>
                                <a:off x="0" y="0"/>
                                <a:ext cx="742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3675" cy="175260"/>
                      <wp:effectExtent l="0" t="0" r="0" b="0"/>
                      <wp:wrapNone/>
                      <wp:docPr id="47" name="Frame47"/>
                      <a:graphic xmlns:a="http://schemas.openxmlformats.org/drawingml/2006/main">
                        <a:graphicData uri="http://schemas.microsoft.com/office/word/2010/wordprocessingShape">
                          <wps:wsp>
                            <wps:cNvSpPr txBox="1"/>
                            <wps:spPr>
                              <a:xfrm>
                                <a:off x="0" y="0"/>
                                <a:ext cx="193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88035" cy="175260"/>
                      <wp:effectExtent l="0" t="0" r="0" b="0"/>
                      <wp:wrapNone/>
                      <wp:docPr id="48" name="Frame48"/>
                      <a:graphic xmlns:a="http://schemas.openxmlformats.org/drawingml/2006/main">
                        <a:graphicData uri="http://schemas.microsoft.com/office/word/2010/wordprocessingShape">
                          <wps:wsp>
                            <wps:cNvSpPr txBox="1"/>
                            <wps:spPr>
                              <a:xfrm>
                                <a:off x="0" y="0"/>
                                <a:ext cx="788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jc w:val="right"/>
              <w:rPr/>
            </w:pPr>
            <w:r>
              <w:rPr/>
              <w:t>  </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auto" w:val="clear"/>
            <w:vAlign w:val="center"/>
          </w:tcPr>
          <w:p>
            <w:pPr>
              <w:pStyle w:val="TableContents"/>
              <w:spacing w:before="0" w:after="0"/>
              <w:ind w:left="0" w:right="0" w:hanging="0"/>
              <w:rPr/>
            </w:pPr>
            <w:r>
              <w:rPr/>
              <w:t> </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pPr>
            <w:r>
              <w:rPr/>
              <w:t>  </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4,608</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4,483</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net of allowances of $63 and $1,090, respectively</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5,110</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7,640</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2,845</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3,375</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1,457</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1,681</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14,020</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17,179</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Non-current Assets: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pPr>
            <w:r>
              <w:rPr/>
              <w:t>​</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1,418</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2,549</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5,420</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6,314</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Trademarks and other intangibles, net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47,665</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98,304</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Equity method investment</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19,195</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pPr>
            <w:r>
              <w:rPr/>
              <w:t>—</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739</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tax assets, net</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555</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74,915</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108,602</w:t>
            </w:r>
          </w:p>
        </w:tc>
      </w:tr>
      <w:tr>
        <w:trPr/>
        <w:tc>
          <w:tcPr>
            <w:tcW w:w="65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jc w:val="right"/>
              <w:rPr/>
            </w:pPr>
            <w:r>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17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88,935</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2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125,781</w:t>
            </w:r>
          </w:p>
        </w:tc>
      </w:tr>
      <w:tr>
        <w:trPr/>
        <w:tc>
          <w:tcPr>
            <w:tcW w:w="65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pPr>
            <w:r>
              <w:rPr/>
              <w:t>  </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pPr>
            <w:r>
              <w:rPr/>
              <w:t>  </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 accrued expenses and other current liabilities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3,958</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6,169</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income taxes payable</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568</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payroll</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577</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portion of operating lease obligations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1,207</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portion of contingent obligations</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6,561</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10,517</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pPr>
            <w:r>
              <w:rPr/>
              <w:t>  </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Long-term portion of operating lease obligations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5,839</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7,252</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Long-term debt, net, less current portion</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25,531</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Long-term portion of contingent obligations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6,396</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7,539</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long-term liabilities</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12,235</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40,322</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18,796</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50,839</w:t>
            </w:r>
          </w:p>
        </w:tc>
      </w:tr>
      <w:tr>
        <w:trPr/>
        <w:tc>
          <w:tcPr>
            <w:tcW w:w="65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Commitments and Contingencies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pPr>
            <w:r>
              <w:rPr/>
              <w:t>  </w:t>
            </w:r>
          </w:p>
        </w:tc>
      </w:tr>
      <w:tr>
        <w:trPr/>
        <w:tc>
          <w:tcPr>
            <w:tcW w:w="65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117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w:t>
            </w:r>
          </w:p>
        </w:tc>
        <w:tc>
          <w:tcPr>
            <w:tcW w:w="1241" w:type="dxa"/>
            <w:tcBorders/>
            <w:shd w:fill="CCEEFF" w:val="clear"/>
            <w:vAlign w:val="center"/>
          </w:tcPr>
          <w:p>
            <w:pPr>
              <w:pStyle w:val="TableContents"/>
              <w:spacing w:before="0" w:after="0"/>
              <w:ind w:left="0" w:right="0" w:hanging="0"/>
              <w:rPr/>
            </w:pPr>
            <w:r>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Stockholders' Equity:</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pPr>
            <w:r>
              <w:rPr/>
              <w:t>  </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Preferred stock, $.001 par value, 1,000,000 shares authorized, none issued and outstanding</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50,000,000</w:t>
            </w:r>
            <w:r>
              <w:rPr>
                <w:rFonts w:ascii="Times New Roman;Times;serif" w:hAnsi="Times New Roman;Times;serif"/>
                <w:sz w:val="20"/>
              </w:rPr>
              <w:t xml:space="preserve"> </w:t>
            </w:r>
            <w:r>
              <w:rPr>
                <w:rFonts w:ascii="Times New Roman;Times;serif" w:hAnsi="Times New Roman;Times;serif"/>
                <w:sz w:val="16"/>
              </w:rPr>
              <w:t>shares authorized, and 19,624,860</w:t>
            </w:r>
            <w:r>
              <w:rPr>
                <w:rFonts w:ascii="Times New Roman;Times;serif" w:hAnsi="Times New Roman;Times;serif"/>
                <w:sz w:val="20"/>
              </w:rPr>
              <w:t xml:space="preserve"> </w:t>
            </w:r>
            <w:r>
              <w:rPr>
                <w:rFonts w:ascii="Times New Roman;Times;serif" w:hAnsi="Times New Roman;Times;serif"/>
                <w:sz w:val="16"/>
              </w:rPr>
              <w:t>and 19,571,119</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at December 31, 2022 and December 31, 2021, respectively</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17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 </w:t>
            </w:r>
          </w:p>
        </w:tc>
        <w:tc>
          <w:tcPr>
            <w:tcW w:w="12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Paid-in capital</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103,592</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103,039</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(32,797)</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(28,779)</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Xcel Brands, Inc. stockholders' equity</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17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70,815</w:t>
            </w:r>
          </w:p>
        </w:tc>
        <w:tc>
          <w:tcPr>
            <w:tcW w:w="326" w:type="dxa"/>
            <w:tcBorders/>
            <w:shd w:fill="CCEEFF" w:val="clear"/>
            <w:vAlign w:val="center"/>
          </w:tcPr>
          <w:p>
            <w:pPr>
              <w:pStyle w:val="TableContents"/>
              <w:spacing w:before="0" w:after="0"/>
              <w:ind w:left="0" w:right="0" w:hanging="0"/>
              <w:rPr/>
            </w:pPr>
            <w:r>
              <w:rPr/>
              <w:t>​</w:t>
            </w:r>
          </w:p>
        </w:tc>
        <w:tc>
          <w:tcPr>
            <w:tcW w:w="305"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74,280</w:t>
            </w:r>
          </w:p>
        </w:tc>
      </w:tr>
      <w:tr>
        <w:trPr/>
        <w:tc>
          <w:tcPr>
            <w:tcW w:w="65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Noncontrolling interest</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shd w:fill="auto" w:val="clear"/>
            <w:vAlign w:val="center"/>
          </w:tcPr>
          <w:p>
            <w:pPr>
              <w:pStyle w:val="TableContents"/>
              <w:spacing w:before="0" w:after="0"/>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662</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70,139</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74,942</w:t>
            </w:r>
          </w:p>
        </w:tc>
      </w:tr>
      <w:tr>
        <w:trPr/>
        <w:tc>
          <w:tcPr>
            <w:tcW w:w="65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11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5"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rPr/>
            </w:pPr>
            <w:r>
              <w:rPr/>
              <w:t>​</w:t>
            </w:r>
          </w:p>
        </w:tc>
      </w:tr>
      <w:tr>
        <w:trPr/>
        <w:tc>
          <w:tcPr>
            <w:tcW w:w="650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1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88,935</w:t>
            </w:r>
          </w:p>
        </w:tc>
        <w:tc>
          <w:tcPr>
            <w:tcW w:w="326" w:type="dxa"/>
            <w:tcBorders/>
            <w:shd w:fill="CCEEFF" w:val="clear"/>
            <w:vAlign w:val="center"/>
          </w:tcPr>
          <w:p>
            <w:pPr>
              <w:pStyle w:val="TableContents"/>
              <w:spacing w:before="0" w:after="0"/>
              <w:ind w:left="0" w:right="0" w:hanging="0"/>
              <w:rPr/>
            </w:pPr>
            <w:r>
              <w:rPr/>
              <w:t>​</w:t>
            </w:r>
          </w:p>
        </w:tc>
        <w:tc>
          <w:tcPr>
            <w:tcW w:w="30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2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125,781</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4" w:name="_8156d9e6_74dc_4878_882d_f3f46f54dd4b"/>
      <w:bookmarkEnd w:id="174"/>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bookmarkStart w:id="175" w:name="IncomeStatement"/>
      <w:bookmarkEnd w:id="175"/>
      <w:r>
        <w:rPr>
          <w:rFonts w:ascii="Times New Roman;Times;serif" w:hAnsi="Times New Roman;Times;serif"/>
          <w:b/>
          <w:sz w:val="20"/>
        </w:rPr>
        <w:t>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76" w:name="Tc_lk7XjcZd60Sj7ofurTLjTA_44_0"/>
      <w:bookmarkStart w:id="177" w:name="Tc_ZBObZxnZvEiupVJNCAxOKA_43_0"/>
      <w:bookmarkStart w:id="178" w:name="Tc_AtwKEhs0zke3_XSIBGV2rg_42_0"/>
      <w:bookmarkStart w:id="179" w:name="Tc_y8yUu3dukUOkIMYvtDOn4w_41_0"/>
      <w:bookmarkStart w:id="180" w:name="Tc_mVJPWHTA40ehJtnN091Bzg_39_5"/>
      <w:bookmarkStart w:id="181" w:name="Tc_m_NCVDAhQ0-exULvNCQamw_39_2"/>
      <w:bookmarkStart w:id="182" w:name="Tc_dTokFmDsJECnD0SC0MjBQw_39_0"/>
      <w:bookmarkStart w:id="183" w:name="Tc_Go8P3JTSwE699mvDKh8pmQ_38_0"/>
      <w:bookmarkStart w:id="184" w:name="Tc_qki-BM52BEu6G3Nc1KCTVQ_37_0"/>
      <w:bookmarkStart w:id="185" w:name="Tc_idxhEIyE80ep7H5U5I0TIQ_35_0"/>
      <w:bookmarkStart w:id="186" w:name="Tc_ZbqmWrlql063RVqTYba-rg_33_0"/>
      <w:bookmarkStart w:id="187" w:name="Tc_rRV3k1xZn0uplj-QFjK17Q_31_0"/>
      <w:bookmarkStart w:id="188" w:name="Tc_hO5GECwTJEm_w9YLtArcGA_30_0"/>
      <w:bookmarkStart w:id="189" w:name="Tc_ve2nxltNGUi4gH26fwAf0Q_29_0"/>
      <w:bookmarkStart w:id="190" w:name="Tc_JupJNELaR0uefRnRXxSP5w_28_0"/>
      <w:bookmarkStart w:id="191" w:name="Tc_kJNel5b7ok60pb169v_rBA_27_0"/>
      <w:bookmarkStart w:id="192" w:name="Tc_Q6gu3VStWUeiYdcpwu9QBA_25_0"/>
      <w:bookmarkStart w:id="193" w:name="Tc_UE2MObuoAUWY3vci4LhTSQ_23_6"/>
      <w:bookmarkStart w:id="194" w:name="Tc_i0ONpz1vqU2eOiY7fbWhFw_23_0"/>
      <w:bookmarkStart w:id="195" w:name="Tc_0SLhTrMUNk6Re_IyAv1NNA_22_6"/>
      <w:bookmarkStart w:id="196" w:name="Tc_mvW56JqprU-R1P1elN8nQQ_22_0"/>
      <w:bookmarkStart w:id="197" w:name="Tc_ZR7h5m6KFE6YiJfRyqmZbw_21_6"/>
      <w:bookmarkStart w:id="198" w:name="Tc_RtLLmrY2t0eFHq6IuoW5yg_21_0"/>
      <w:bookmarkStart w:id="199" w:name="Tc_fXn2BrGXk0OFQQi0QxewLw_20_6"/>
      <w:bookmarkStart w:id="200" w:name="Tc_epmeYi4LAEKxPoZGY8IDag_20_0"/>
      <w:bookmarkStart w:id="201" w:name="Tc_tvQVS7_Zr0yrv0uYeB5IoQ_19_0"/>
      <w:bookmarkStart w:id="202" w:name="Tc_-RKjsfMZx06aRqjCnedCvw_17_0"/>
      <w:bookmarkStart w:id="203" w:name="Tc_wqC49DHh_kOSJP1EHf843g_16_0"/>
      <w:bookmarkStart w:id="204" w:name="Tc_TMzyVXH0SkOpNDb1CD0FvA_15_0"/>
      <w:bookmarkStart w:id="205" w:name="Tc_VtqFT5Xmr0iRNGK4dIPKTQ_14_0"/>
      <w:bookmarkStart w:id="206" w:name="Tc_q6dB8NspPUek_3UZumqBzQ_13_0"/>
      <w:bookmarkStart w:id="207" w:name="Tc_sEgMrAB4ykatb-CiM9cdkA_12_0"/>
      <w:bookmarkStart w:id="208" w:name="Tc_i-YMkX7zCUahvl99uEVcOw_11_0"/>
      <w:bookmarkStart w:id="209" w:name="Tc_qH8Y8Jt4rUSczc05DPU0IA_9_0"/>
      <w:bookmarkStart w:id="210" w:name="Tc_VJsbItoeUUOMpWzSA8RVcA_8_0"/>
      <w:bookmarkStart w:id="211" w:name="Tc_boQvCkcmfUm8_fGObUzLXw_7_0"/>
      <w:bookmarkStart w:id="212" w:name="Tc_C9ZQcvWnRUaKF1tNZ07ZDw_6_0"/>
      <w:bookmarkStart w:id="213" w:name="Tc_s0haVQiLeEyS54t9lVVAWA_5_5"/>
      <w:bookmarkStart w:id="214" w:name="Tc_LamrNOTE0U6l0mplNpjfjg_5_2"/>
      <w:bookmarkStart w:id="215" w:name="Tc_mBt4-X52R0CkpWSouKHbYA_5_0"/>
      <w:bookmarkStart w:id="216" w:name="Tc_Bkh-IwhpvUG0Z2x2rFlVSQ_4_0"/>
      <w:bookmarkStart w:id="217" w:name="Tc_R_JrQi9ynEOix28DiQc5vQ_3_5"/>
      <w:bookmarkStart w:id="218" w:name="Tc_E8F3gQoB2keT7FWxTQubhQ_3_2"/>
      <w:bookmarkStart w:id="219" w:name="Tc_ebLbq8ngpE6WW2Gr8aW7cw_2_2"/>
      <w:bookmarkStart w:id="220" w:name="Tc_dMAp8YVgwEGLg8eUKQkQog_1_2"/>
      <w:bookmarkStart w:id="221" w:name="_1d884083_1ca4_4811_8a7f_c4f24338680e"/>
      <w:bookmarkStart w:id="222" w:name="Tc_lk7XjcZd60Sj7ofurTLjTA_44_0"/>
      <w:bookmarkStart w:id="223" w:name="Tc_ZBObZxnZvEiupVJNCAxOKA_43_0"/>
      <w:bookmarkStart w:id="224" w:name="Tc_AtwKEhs0zke3_XSIBGV2rg_42_0"/>
      <w:bookmarkStart w:id="225" w:name="Tc_y8yUu3dukUOkIMYvtDOn4w_41_0"/>
      <w:bookmarkStart w:id="226" w:name="Tc_mVJPWHTA40ehJtnN091Bzg_39_5"/>
      <w:bookmarkStart w:id="227" w:name="Tc_m_NCVDAhQ0-exULvNCQamw_39_2"/>
      <w:bookmarkStart w:id="228" w:name="Tc_dTokFmDsJECnD0SC0MjBQw_39_0"/>
      <w:bookmarkStart w:id="229" w:name="Tc_Go8P3JTSwE699mvDKh8pmQ_38_0"/>
      <w:bookmarkStart w:id="230" w:name="Tc_qki-BM52BEu6G3Nc1KCTVQ_37_0"/>
      <w:bookmarkStart w:id="231" w:name="Tc_idxhEIyE80ep7H5U5I0TIQ_35_0"/>
      <w:bookmarkStart w:id="232" w:name="Tc_ZbqmWrlql063RVqTYba-rg_33_0"/>
      <w:bookmarkStart w:id="233" w:name="Tc_rRV3k1xZn0uplj-QFjK17Q_31_0"/>
      <w:bookmarkStart w:id="234" w:name="Tc_hO5GECwTJEm_w9YLtArcGA_30_0"/>
      <w:bookmarkStart w:id="235" w:name="Tc_ve2nxltNGUi4gH26fwAf0Q_29_0"/>
      <w:bookmarkStart w:id="236" w:name="Tc_JupJNELaR0uefRnRXxSP5w_28_0"/>
      <w:bookmarkStart w:id="237" w:name="Tc_kJNel5b7ok60pb169v_rBA_27_0"/>
      <w:bookmarkStart w:id="238" w:name="Tc_Q6gu3VStWUeiYdcpwu9QBA_25_0"/>
      <w:bookmarkStart w:id="239" w:name="Tc_UE2MObuoAUWY3vci4LhTSQ_23_6"/>
      <w:bookmarkStart w:id="240" w:name="Tc_i0ONpz1vqU2eOiY7fbWhFw_23_0"/>
      <w:bookmarkStart w:id="241" w:name="Tc_0SLhTrMUNk6Re_IyAv1NNA_22_6"/>
      <w:bookmarkStart w:id="242" w:name="Tc_mvW56JqprU-R1P1elN8nQQ_22_0"/>
      <w:bookmarkStart w:id="243" w:name="Tc_ZR7h5m6KFE6YiJfRyqmZbw_21_6"/>
      <w:bookmarkStart w:id="244" w:name="Tc_RtLLmrY2t0eFHq6IuoW5yg_21_0"/>
      <w:bookmarkStart w:id="245" w:name="Tc_fXn2BrGXk0OFQQi0QxewLw_20_6"/>
      <w:bookmarkStart w:id="246" w:name="Tc_epmeYi4LAEKxPoZGY8IDag_20_0"/>
      <w:bookmarkStart w:id="247" w:name="Tc_tvQVS7_Zr0yrv0uYeB5IoQ_19_0"/>
      <w:bookmarkStart w:id="248" w:name="Tc_-RKjsfMZx06aRqjCnedCvw_17_0"/>
      <w:bookmarkStart w:id="249" w:name="Tc_wqC49DHh_kOSJP1EHf843g_16_0"/>
      <w:bookmarkStart w:id="250" w:name="Tc_TMzyVXH0SkOpNDb1CD0FvA_15_0"/>
      <w:bookmarkStart w:id="251" w:name="Tc_VtqFT5Xmr0iRNGK4dIPKTQ_14_0"/>
      <w:bookmarkStart w:id="252" w:name="Tc_q6dB8NspPUek_3UZumqBzQ_13_0"/>
      <w:bookmarkStart w:id="253" w:name="Tc_sEgMrAB4ykatb-CiM9cdkA_12_0"/>
      <w:bookmarkStart w:id="254" w:name="Tc_i-YMkX7zCUahvl99uEVcOw_11_0"/>
      <w:bookmarkStart w:id="255" w:name="Tc_qH8Y8Jt4rUSczc05DPU0IA_9_0"/>
      <w:bookmarkStart w:id="256" w:name="Tc_VJsbItoeUUOMpWzSA8RVcA_8_0"/>
      <w:bookmarkStart w:id="257" w:name="Tc_boQvCkcmfUm8_fGObUzLXw_7_0"/>
      <w:bookmarkStart w:id="258" w:name="Tc_C9ZQcvWnRUaKF1tNZ07ZDw_6_0"/>
      <w:bookmarkStart w:id="259" w:name="Tc_s0haVQiLeEyS54t9lVVAWA_5_5"/>
      <w:bookmarkStart w:id="260" w:name="Tc_LamrNOTE0U6l0mplNpjfjg_5_2"/>
      <w:bookmarkStart w:id="261" w:name="Tc_mBt4-X52R0CkpWSouKHbYA_5_0"/>
      <w:bookmarkStart w:id="262" w:name="Tc_Bkh-IwhpvUG0Z2x2rFlVSQ_4_0"/>
      <w:bookmarkStart w:id="263" w:name="Tc_R_JrQi9ynEOix28DiQc5vQ_3_5"/>
      <w:bookmarkStart w:id="264" w:name="Tc_E8F3gQoB2keT7FWxTQubhQ_3_2"/>
      <w:bookmarkStart w:id="265" w:name="Tc_ebLbq8ngpE6WW2Gr8aW7cw_2_2"/>
      <w:bookmarkStart w:id="266" w:name="Tc_dMAp8YVgwEGLg8eUKQkQog_1_2"/>
      <w:bookmarkStart w:id="267" w:name="_1d884083_1ca4_4811_8a7f_c4f24338680e"/>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W w:w="8810" w:type="dxa"/>
        <w:jc w:val="left"/>
        <w:tblInd w:w="0" w:type="dxa"/>
        <w:tblCellMar>
          <w:top w:w="0" w:type="dxa"/>
          <w:left w:w="0" w:type="dxa"/>
          <w:bottom w:w="0" w:type="dxa"/>
          <w:right w:w="0" w:type="dxa"/>
        </w:tblCellMar>
      </w:tblPr>
      <w:tblGrid>
        <w:gridCol w:w="5776"/>
        <w:gridCol w:w="109"/>
        <w:gridCol w:w="211"/>
        <w:gridCol w:w="1036"/>
        <w:gridCol w:w="326"/>
        <w:gridCol w:w="211"/>
        <w:gridCol w:w="1141"/>
      </w:tblGrid>
      <w:tr>
        <w:trPr/>
        <w:tc>
          <w:tcPr>
            <w:tcW w:w="57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57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licensing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21,876</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16,056</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37,932</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goods sold</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27,265</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costs and expenses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Salaries, benefits and employment taxes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16,535</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selling, general and administrative expenses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14,364</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6,830</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 impairment charges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costs and expenses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39,821</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income (expense)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sale of majority interest in Isaac Mizrahi brand</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20,586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equity method investment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reduction of contingent obligation</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(12,556)</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Interest and finance expense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 term loan debt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interest and finance charges, net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early extinguishment of debt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 and finance expense</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3,579</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 before income taxes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(16,135)</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 </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(5,356)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(13,029)</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noncontrolling interest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 attributable to Xcel Brands, Inc. stockholders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(4,018)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(12,184)</w:t>
            </w:r>
          </w:p>
        </w:tc>
      </w:tr>
      <w:tr>
        <w:trPr/>
        <w:tc>
          <w:tcPr>
            <w:tcW w:w="57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per common share attributable to Xcel Brands, Inc. stockholders: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net loss per share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common shares outstanding:</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5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weighted average common shares outstanding</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19,624,669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19,455,987</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68" w:name="_c921689c_f8ec_4482_b7fe_8c8a962e795f"/>
      <w:bookmarkEnd w:id="268"/>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bookmarkStart w:id="269" w:name="StockHoldersEquity"/>
      <w:bookmarkEnd w:id="269"/>
      <w:r>
        <w:rPr>
          <w:rFonts w:ascii="Times New Roman;Times;serif" w:hAnsi="Times New Roman;Times;serif"/>
          <w:b/>
          <w:sz w:val="20"/>
        </w:rPr>
        <w:t>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70" w:name="Tc_U-EN2Zj8IEmAZi4CmUbokw_44_16"/>
      <w:bookmarkStart w:id="271" w:name="Tc_SXWmu7YgSEitUTQoX58SJQ_44_13"/>
      <w:bookmarkStart w:id="272" w:name="Tc_30svzoQ7WU6S81kK4b9vgw_44_10"/>
      <w:bookmarkStart w:id="273" w:name="Tc_qyyEEL_5ZkClLRLLHZRrsQ_44_7"/>
      <w:bookmarkStart w:id="274" w:name="Tc_-Vqwu2U8OEO3Z2fxbPUS3A_44_4"/>
      <w:bookmarkStart w:id="275" w:name="Tc_24iTPU8QLkCkyMr1BMe80g_44_0"/>
      <w:bookmarkStart w:id="276" w:name="Tc_FPcXh5pKvUOLznA8s5CWwQ_42_8"/>
      <w:bookmarkStart w:id="277" w:name="Tc_L-aF_jm3gkqy5SH9-qS0Cw_42_5"/>
      <w:bookmarkStart w:id="278" w:name="Tc_UvpIwf3mpEi7cFHoX38QCw_42_2"/>
      <w:bookmarkStart w:id="279" w:name="Tc_aP3uiwGTiUmXG4giEM2oNw_42_0"/>
      <w:bookmarkStart w:id="280" w:name="Tc_U6HfHaJz_UqNzdVgC4X4EA_40_14"/>
      <w:bookmarkStart w:id="281" w:name="Tc_TLNMe5-b-UmC7ZofEucaTA_40_11"/>
      <w:bookmarkStart w:id="282" w:name="Tc_qq9N0YSSWEaEaYWJykr9pA_40_5"/>
      <w:bookmarkStart w:id="283" w:name="Tc_3pmYfLPUtUa-d_33RdqzmQ_40_0"/>
      <w:bookmarkStart w:id="284" w:name="Tc_HYHGygJ76E-WM6EJI81nFw_38_14"/>
      <w:bookmarkStart w:id="285" w:name="Tc_ewyrCnPv0E6I3rtqyFy93Q_38_11"/>
      <w:bookmarkStart w:id="286" w:name="Tc_eoO7NAo2m0yPCDCkgzHmqA_38_5"/>
      <w:bookmarkStart w:id="287" w:name="Tc_jgdJa71iUUSp4qNAkamS_A_38_0"/>
      <w:bookmarkStart w:id="288" w:name="Tc__2l9_SKxbUGMTDeh_cgFMw_36_14"/>
      <w:bookmarkStart w:id="289" w:name="Tc_CfX6Da6YX0OodsWZzgzF1w_36_11"/>
      <w:bookmarkStart w:id="290" w:name="Tc_xId9cTS5nE20M61tKr0kvQ_36_5"/>
      <w:bookmarkStart w:id="291" w:name="Tc_OBBqM8FToEG0SzDhc22hQg_36_0"/>
      <w:bookmarkStart w:id="292" w:name="Tc_alPX4ysUYUuRHk0Hi4FOHg_34_14"/>
      <w:bookmarkStart w:id="293" w:name="Tc_niCeROCwwU2_L3PiKvkmzg_34_11"/>
      <w:bookmarkStart w:id="294" w:name="Tc_tvAHCwGJzkK2PbumyS82QQ_34_5"/>
      <w:bookmarkStart w:id="295" w:name="Tc_DdHs0Jn4Uk6cHm5J-meQSg_34_0"/>
      <w:bookmarkStart w:id="296" w:name="Tc_I44-LAHbF0aeVciaBDxClQ_32_17"/>
      <w:bookmarkStart w:id="297" w:name="Tc_YBjd3BK0aEGKv9s-1AQsqQ_32_14"/>
      <w:bookmarkStart w:id="298" w:name="Tc_WrWluKUuJ0GxAszVmk22MQ_32_11"/>
      <w:bookmarkStart w:id="299" w:name="Tc_Htl6Sr4sWEG4_i4F6nAwBQ_32_8"/>
      <w:bookmarkStart w:id="300" w:name="Tc_rZAYh4SMcEGYUlCogcWgnA_32_5"/>
      <w:bookmarkStart w:id="301" w:name="Tc_OsiWc6l7TkyG8dvxECScZw_32_0"/>
      <w:bookmarkStart w:id="302" w:name="Tc_fllKD9GJMUKx2yC0BV1Zjw_30_14"/>
      <w:bookmarkStart w:id="303" w:name="Tc_Kzit4pEjj0Wpc3dW250kNw_30_11"/>
      <w:bookmarkStart w:id="304" w:name="Tc_yvTpaFnT00CZOeDbriWQPw_30_5"/>
      <w:bookmarkStart w:id="305" w:name="Tc_pnBDvcMuREWgkBVhQUCk4g_30_0"/>
      <w:bookmarkStart w:id="306" w:name="Tc_edgaa7BbEU-d95XwfDz3TQ_28_14"/>
      <w:bookmarkStart w:id="307" w:name="Tc_ByCohJwKCUOVTiWipDrr_Q_28_11"/>
      <w:bookmarkStart w:id="308" w:name="Tc_TNtBtSoBYkGzqtrCgM-Csg_28_5"/>
      <w:bookmarkStart w:id="309" w:name="Tc_Jil9JAShGUGG0LU-zIrhwQ_28_0"/>
      <w:bookmarkStart w:id="310" w:name="Tc_6XOVSDo4ZEq4WS-bv7i67A_26_14"/>
      <w:bookmarkStart w:id="311" w:name="Tc_oycvZr8CbkuY8XmG3-N3ag_26_11"/>
      <w:bookmarkStart w:id="312" w:name="Tc_BhNlafMLx0CkyFDQg3g_Xw_26_5"/>
      <w:bookmarkStart w:id="313" w:name="Tc_JZ91x_3b_UW15i1YJkSzDQ_26_2"/>
      <w:bookmarkStart w:id="314" w:name="Tc_-S2l303H-kGCzsK8n3BpPw_26_0"/>
      <w:bookmarkStart w:id="315" w:name="Tc_OIIHl0noPEqwiJM9HqSquQ_24_0"/>
      <w:bookmarkStart w:id="316" w:name="Tc_1XuI2-Bg7EyuFlwOIJ0E6g_22_8"/>
      <w:bookmarkStart w:id="317" w:name="Tc_N0_KIEyoO0Krr_9ovtscfA_22_5"/>
      <w:bookmarkStart w:id="318" w:name="Tc_0ze2DB_kLEKMkvyABDNbXg_22_2"/>
      <w:bookmarkStart w:id="319" w:name="Tc_IcdXDxzwhUmh34pXqXqrcQ_22_0"/>
      <w:bookmarkStart w:id="320" w:name="Tc__NNrbk_Q5EmY3If_wYdcug_20_11"/>
      <w:bookmarkStart w:id="321" w:name="Tc_Vj4ay6ZlAE6gXEWPFtQPsQ_20_8"/>
      <w:bookmarkStart w:id="322" w:name="Tc_O44I_bUiw0ya_bU_7rkP0w_20_5"/>
      <w:bookmarkStart w:id="323" w:name="Tc_CD21ceODDkKvqAz3Dgt9uQ_20_2"/>
      <w:bookmarkStart w:id="324" w:name="Tc_otI8RB0jlUy9i9rqx2hUiw_20_0"/>
      <w:bookmarkStart w:id="325" w:name="Tc_tyuXfbl_nEOfUN7a2tmuAw_18_14"/>
      <w:bookmarkStart w:id="326" w:name="Tc__udPS1-1TUuCsspsBlHRFA_18_11"/>
      <w:bookmarkStart w:id="327" w:name="Tc_NSXd6SNgHUClxpLitsbLug_18_5"/>
      <w:bookmarkStart w:id="328" w:name="Tc_NWaDcbpyCUSFNUf9OhFPEg_18_0"/>
      <w:bookmarkStart w:id="329" w:name="Tc_QQ4_k4ScT06jY8hXfu7uTw_16_17"/>
      <w:bookmarkStart w:id="330" w:name="Tc_7kiU225zkkqXT4xi65H6Cw_16_14"/>
      <w:bookmarkStart w:id="331" w:name="Tc_EitbUr-ik06tgBzepleEaQ_16_11"/>
      <w:bookmarkStart w:id="332" w:name="Tc_fFA17wTuvUW2COiggtYvKA_16_8"/>
      <w:bookmarkStart w:id="333" w:name="Tc_TzIAb5JvYEWRCnlk4gQMpg_16_5"/>
      <w:bookmarkStart w:id="334" w:name="Tc_DNMdIyjZ5USMSjMx09eJOA_16_0"/>
      <w:bookmarkStart w:id="335" w:name="Tc_HPPdKVsdwUmjt47exotxbA_14_14"/>
      <w:bookmarkStart w:id="336" w:name="Tc_qKgSakDs5EO5YdiB07g5Cg_14_11"/>
      <w:bookmarkStart w:id="337" w:name="Tc_l7s8xow0LkqwNUUdx8Q2zw_14_5"/>
      <w:bookmarkStart w:id="338" w:name="Tc_0jFgvyBFb0qdrtjMkhsQBg_14_0"/>
      <w:bookmarkStart w:id="339" w:name="Tc_icdwoklYB0uG6OR738OF7g_12_14"/>
      <w:bookmarkStart w:id="340" w:name="Tc__Hw682SyjEabPb8srcezug_12_11"/>
      <w:bookmarkStart w:id="341" w:name="Tc_Q89KK3jF7068qOEDP7xOeQ_12_5"/>
      <w:bookmarkStart w:id="342" w:name="Tc_t-Vl6NgL7UacwpO9AhGx1g_12_0"/>
      <w:bookmarkStart w:id="343" w:name="Tc_nkdoGGoQkE2WRfY6E_jkEA_10_17"/>
      <w:bookmarkStart w:id="344" w:name="Tc_WRDGof-3jUKp5YOf4p_vHw_10_14"/>
      <w:bookmarkStart w:id="345" w:name="Tc_-VFjEdbVfkqkPl-nhU5eGQ_10_11"/>
      <w:bookmarkStart w:id="346" w:name="Tc_EW3L_Wm480usZQ31EOZFAw_10_8"/>
      <w:bookmarkStart w:id="347" w:name="Tc_jzTZfev95kmmpStF0y2R0w_10_5"/>
      <w:bookmarkStart w:id="348" w:name="Tc_znZIqPeR3Em8xsOHaYscWg_10_0"/>
      <w:bookmarkStart w:id="349" w:name="Tc_AJXVaTeu0UC16orWHSuufg_8_14"/>
      <w:bookmarkStart w:id="350" w:name="Tc_Yf31BC3AFk6IhGwRNBfeVg_8_11"/>
      <w:bookmarkStart w:id="351" w:name="Tc_n22_Dvz2nEC2s6vR9jlP4A_8_0"/>
      <w:bookmarkStart w:id="352" w:name="Tc_WpIgkSPivEC5epUnWpj30A_6_14"/>
      <w:bookmarkStart w:id="353" w:name="Tc_ijvWpDMtXUK1PqMLAqwVQw_6_11"/>
      <w:bookmarkStart w:id="354" w:name="Tc_W9n90d5GEE62robFTYrllg_6_5"/>
      <w:bookmarkStart w:id="355" w:name="Tc_REDyjGUEVkipX2qnZwdf8A_6_2"/>
      <w:bookmarkStart w:id="356" w:name="Tc_d393QUdUtEu2j0Bm8HBp7g_6_0"/>
      <w:bookmarkStart w:id="357" w:name="Tc_DbmDgWLiXUK62OptdW5xmg_4_16"/>
      <w:bookmarkStart w:id="358" w:name="Tc_9IsARJEjFkGkhpGpiZY0sg_4_0"/>
      <w:bookmarkStart w:id="359" w:name="Tc_3fX-uTUsDkaT1kOv25xAFw_3_16"/>
      <w:bookmarkStart w:id="360" w:name="Tc_iKYxix6VYUyd4tj8dMxQtA_3_13"/>
      <w:bookmarkStart w:id="361" w:name="Tc_Gj7uMBcaNkmxugKny9XogA_3_10"/>
      <w:bookmarkStart w:id="362" w:name="Tc_zX4WpJEVBEqhektU-K4RDg_3_7"/>
      <w:bookmarkStart w:id="363" w:name="Tc_ES4PMnRQlEKaAWzVXiMbaQ_3_4"/>
      <w:bookmarkStart w:id="364" w:name="Tc_puVYvFwO7UKJ0Yr_2Gsljw_3_2"/>
      <w:bookmarkStart w:id="365" w:name="Tc_NrVXaU2OHE60zoKCEn3lQw_2_13"/>
      <w:bookmarkStart w:id="366" w:name="Tc_cI-7hONwjUK0-qM5oC2lig_2_10"/>
      <w:bookmarkStart w:id="367" w:name="Tc_KdReoF-d9kuaUPrwzmf83A_2_7"/>
      <w:bookmarkStart w:id="368" w:name="Tc_ubxdHtjUxkOH7ZG7gif7mg_2_2"/>
      <w:bookmarkStart w:id="369" w:name="Tc_5iWzo0gnNk60syxsDtav5Q_1_2"/>
      <w:bookmarkStart w:id="370" w:name="_3c9cb3d0_dec7_49c0_9488_6b3d2959e4b0"/>
      <w:bookmarkStart w:id="371" w:name="Tc_U-EN2Zj8IEmAZi4CmUbokw_44_16"/>
      <w:bookmarkStart w:id="372" w:name="Tc_SXWmu7YgSEitUTQoX58SJQ_44_13"/>
      <w:bookmarkStart w:id="373" w:name="Tc_30svzoQ7WU6S81kK4b9vgw_44_10"/>
      <w:bookmarkStart w:id="374" w:name="Tc_qyyEEL_5ZkClLRLLHZRrsQ_44_7"/>
      <w:bookmarkStart w:id="375" w:name="Tc_-Vqwu2U8OEO3Z2fxbPUS3A_44_4"/>
      <w:bookmarkStart w:id="376" w:name="Tc_24iTPU8QLkCkyMr1BMe80g_44_0"/>
      <w:bookmarkStart w:id="377" w:name="Tc_FPcXh5pKvUOLznA8s5CWwQ_42_8"/>
      <w:bookmarkStart w:id="378" w:name="Tc_L-aF_jm3gkqy5SH9-qS0Cw_42_5"/>
      <w:bookmarkStart w:id="379" w:name="Tc_UvpIwf3mpEi7cFHoX38QCw_42_2"/>
      <w:bookmarkStart w:id="380" w:name="Tc_aP3uiwGTiUmXG4giEM2oNw_42_0"/>
      <w:bookmarkStart w:id="381" w:name="Tc_U6HfHaJz_UqNzdVgC4X4EA_40_14"/>
      <w:bookmarkStart w:id="382" w:name="Tc_TLNMe5-b-UmC7ZofEucaTA_40_11"/>
      <w:bookmarkStart w:id="383" w:name="Tc_qq9N0YSSWEaEaYWJykr9pA_40_5"/>
      <w:bookmarkStart w:id="384" w:name="Tc_3pmYfLPUtUa-d_33RdqzmQ_40_0"/>
      <w:bookmarkStart w:id="385" w:name="Tc_HYHGygJ76E-WM6EJI81nFw_38_14"/>
      <w:bookmarkStart w:id="386" w:name="Tc_ewyrCnPv0E6I3rtqyFy93Q_38_11"/>
      <w:bookmarkStart w:id="387" w:name="Tc_eoO7NAo2m0yPCDCkgzHmqA_38_5"/>
      <w:bookmarkStart w:id="388" w:name="Tc_jgdJa71iUUSp4qNAkamS_A_38_0"/>
      <w:bookmarkStart w:id="389" w:name="Tc__2l9_SKxbUGMTDeh_cgFMw_36_14"/>
      <w:bookmarkStart w:id="390" w:name="Tc_CfX6Da6YX0OodsWZzgzF1w_36_11"/>
      <w:bookmarkStart w:id="391" w:name="Tc_xId9cTS5nE20M61tKr0kvQ_36_5"/>
      <w:bookmarkStart w:id="392" w:name="Tc_OBBqM8FToEG0SzDhc22hQg_36_0"/>
      <w:bookmarkStart w:id="393" w:name="Tc_alPX4ysUYUuRHk0Hi4FOHg_34_14"/>
      <w:bookmarkStart w:id="394" w:name="Tc_niCeROCwwU2_L3PiKvkmzg_34_11"/>
      <w:bookmarkStart w:id="395" w:name="Tc_tvAHCwGJzkK2PbumyS82QQ_34_5"/>
      <w:bookmarkStart w:id="396" w:name="Tc_DdHs0Jn4Uk6cHm5J-meQSg_34_0"/>
      <w:bookmarkStart w:id="397" w:name="Tc_I44-LAHbF0aeVciaBDxClQ_32_17"/>
      <w:bookmarkStart w:id="398" w:name="Tc_YBjd3BK0aEGKv9s-1AQsqQ_32_14"/>
      <w:bookmarkStart w:id="399" w:name="Tc_WrWluKUuJ0GxAszVmk22MQ_32_11"/>
      <w:bookmarkStart w:id="400" w:name="Tc_Htl6Sr4sWEG4_i4F6nAwBQ_32_8"/>
      <w:bookmarkStart w:id="401" w:name="Tc_rZAYh4SMcEGYUlCogcWgnA_32_5"/>
      <w:bookmarkStart w:id="402" w:name="Tc_OsiWc6l7TkyG8dvxECScZw_32_0"/>
      <w:bookmarkStart w:id="403" w:name="Tc_fllKD9GJMUKx2yC0BV1Zjw_30_14"/>
      <w:bookmarkStart w:id="404" w:name="Tc_Kzit4pEjj0Wpc3dW250kNw_30_11"/>
      <w:bookmarkStart w:id="405" w:name="Tc_yvTpaFnT00CZOeDbriWQPw_30_5"/>
      <w:bookmarkStart w:id="406" w:name="Tc_pnBDvcMuREWgkBVhQUCk4g_30_0"/>
      <w:bookmarkStart w:id="407" w:name="Tc_edgaa7BbEU-d95XwfDz3TQ_28_14"/>
      <w:bookmarkStart w:id="408" w:name="Tc_ByCohJwKCUOVTiWipDrr_Q_28_11"/>
      <w:bookmarkStart w:id="409" w:name="Tc_TNtBtSoBYkGzqtrCgM-Csg_28_5"/>
      <w:bookmarkStart w:id="410" w:name="Tc_Jil9JAShGUGG0LU-zIrhwQ_28_0"/>
      <w:bookmarkStart w:id="411" w:name="Tc_6XOVSDo4ZEq4WS-bv7i67A_26_14"/>
      <w:bookmarkStart w:id="412" w:name="Tc_oycvZr8CbkuY8XmG3-N3ag_26_11"/>
      <w:bookmarkStart w:id="413" w:name="Tc_BhNlafMLx0CkyFDQg3g_Xw_26_5"/>
      <w:bookmarkStart w:id="414" w:name="Tc_JZ91x_3b_UW15i1YJkSzDQ_26_2"/>
      <w:bookmarkStart w:id="415" w:name="Tc_-S2l303H-kGCzsK8n3BpPw_26_0"/>
      <w:bookmarkStart w:id="416" w:name="Tc_OIIHl0noPEqwiJM9HqSquQ_24_0"/>
      <w:bookmarkStart w:id="417" w:name="Tc_1XuI2-Bg7EyuFlwOIJ0E6g_22_8"/>
      <w:bookmarkStart w:id="418" w:name="Tc_N0_KIEyoO0Krr_9ovtscfA_22_5"/>
      <w:bookmarkStart w:id="419" w:name="Tc_0ze2DB_kLEKMkvyABDNbXg_22_2"/>
      <w:bookmarkStart w:id="420" w:name="Tc_IcdXDxzwhUmh34pXqXqrcQ_22_0"/>
      <w:bookmarkStart w:id="421" w:name="Tc__NNrbk_Q5EmY3If_wYdcug_20_11"/>
      <w:bookmarkStart w:id="422" w:name="Tc_Vj4ay6ZlAE6gXEWPFtQPsQ_20_8"/>
      <w:bookmarkStart w:id="423" w:name="Tc_O44I_bUiw0ya_bU_7rkP0w_20_5"/>
      <w:bookmarkStart w:id="424" w:name="Tc_CD21ceODDkKvqAz3Dgt9uQ_20_2"/>
      <w:bookmarkStart w:id="425" w:name="Tc_otI8RB0jlUy9i9rqx2hUiw_20_0"/>
      <w:bookmarkStart w:id="426" w:name="Tc_tyuXfbl_nEOfUN7a2tmuAw_18_14"/>
      <w:bookmarkStart w:id="427" w:name="Tc__udPS1-1TUuCsspsBlHRFA_18_11"/>
      <w:bookmarkStart w:id="428" w:name="Tc_NSXd6SNgHUClxpLitsbLug_18_5"/>
      <w:bookmarkStart w:id="429" w:name="Tc_NWaDcbpyCUSFNUf9OhFPEg_18_0"/>
      <w:bookmarkStart w:id="430" w:name="Tc_QQ4_k4ScT06jY8hXfu7uTw_16_17"/>
      <w:bookmarkStart w:id="431" w:name="Tc_7kiU225zkkqXT4xi65H6Cw_16_14"/>
      <w:bookmarkStart w:id="432" w:name="Tc_EitbUr-ik06tgBzepleEaQ_16_11"/>
      <w:bookmarkStart w:id="433" w:name="Tc_fFA17wTuvUW2COiggtYvKA_16_8"/>
      <w:bookmarkStart w:id="434" w:name="Tc_TzIAb5JvYEWRCnlk4gQMpg_16_5"/>
      <w:bookmarkStart w:id="435" w:name="Tc_DNMdIyjZ5USMSjMx09eJOA_16_0"/>
      <w:bookmarkStart w:id="436" w:name="Tc_HPPdKVsdwUmjt47exotxbA_14_14"/>
      <w:bookmarkStart w:id="437" w:name="Tc_qKgSakDs5EO5YdiB07g5Cg_14_11"/>
      <w:bookmarkStart w:id="438" w:name="Tc_l7s8xow0LkqwNUUdx8Q2zw_14_5"/>
      <w:bookmarkStart w:id="439" w:name="Tc_0jFgvyBFb0qdrtjMkhsQBg_14_0"/>
      <w:bookmarkStart w:id="440" w:name="Tc_icdwoklYB0uG6OR738OF7g_12_14"/>
      <w:bookmarkStart w:id="441" w:name="Tc__Hw682SyjEabPb8srcezug_12_11"/>
      <w:bookmarkStart w:id="442" w:name="Tc_Q89KK3jF7068qOEDP7xOeQ_12_5"/>
      <w:bookmarkStart w:id="443" w:name="Tc_t-Vl6NgL7UacwpO9AhGx1g_12_0"/>
      <w:bookmarkStart w:id="444" w:name="Tc_nkdoGGoQkE2WRfY6E_jkEA_10_17"/>
      <w:bookmarkStart w:id="445" w:name="Tc_WRDGof-3jUKp5YOf4p_vHw_10_14"/>
      <w:bookmarkStart w:id="446" w:name="Tc_-VFjEdbVfkqkPl-nhU5eGQ_10_11"/>
      <w:bookmarkStart w:id="447" w:name="Tc_EW3L_Wm480usZQ31EOZFAw_10_8"/>
      <w:bookmarkStart w:id="448" w:name="Tc_jzTZfev95kmmpStF0y2R0w_10_5"/>
      <w:bookmarkStart w:id="449" w:name="Tc_znZIqPeR3Em8xsOHaYscWg_10_0"/>
      <w:bookmarkStart w:id="450" w:name="Tc_AJXVaTeu0UC16orWHSuufg_8_14"/>
      <w:bookmarkStart w:id="451" w:name="Tc_Yf31BC3AFk6IhGwRNBfeVg_8_11"/>
      <w:bookmarkStart w:id="452" w:name="Tc_n22_Dvz2nEC2s6vR9jlP4A_8_0"/>
      <w:bookmarkStart w:id="453" w:name="Tc_WpIgkSPivEC5epUnWpj30A_6_14"/>
      <w:bookmarkStart w:id="454" w:name="Tc_ijvWpDMtXUK1PqMLAqwVQw_6_11"/>
      <w:bookmarkStart w:id="455" w:name="Tc_W9n90d5GEE62robFTYrllg_6_5"/>
      <w:bookmarkStart w:id="456" w:name="Tc_REDyjGUEVkipX2qnZwdf8A_6_2"/>
      <w:bookmarkStart w:id="457" w:name="Tc_d393QUdUtEu2j0Bm8HBp7g_6_0"/>
      <w:bookmarkStart w:id="458" w:name="Tc_DbmDgWLiXUK62OptdW5xmg_4_16"/>
      <w:bookmarkStart w:id="459" w:name="Tc_9IsARJEjFkGkhpGpiZY0sg_4_0"/>
      <w:bookmarkStart w:id="460" w:name="Tc_3fX-uTUsDkaT1kOv25xAFw_3_16"/>
      <w:bookmarkStart w:id="461" w:name="Tc_iKYxix6VYUyd4tj8dMxQtA_3_13"/>
      <w:bookmarkStart w:id="462" w:name="Tc_Gj7uMBcaNkmxugKny9XogA_3_10"/>
      <w:bookmarkStart w:id="463" w:name="Tc_zX4WpJEVBEqhektU-K4RDg_3_7"/>
      <w:bookmarkStart w:id="464" w:name="Tc_ES4PMnRQlEKaAWzVXiMbaQ_3_4"/>
      <w:bookmarkStart w:id="465" w:name="Tc_puVYvFwO7UKJ0Yr_2Gsljw_3_2"/>
      <w:bookmarkStart w:id="466" w:name="Tc_NrVXaU2OHE60zoKCEn3lQw_2_13"/>
      <w:bookmarkStart w:id="467" w:name="Tc_cI-7hONwjUK0-qM5oC2lig_2_10"/>
      <w:bookmarkStart w:id="468" w:name="Tc_KdReoF-d9kuaUPrwzmf83A_2_7"/>
      <w:bookmarkStart w:id="469" w:name="Tc_ubxdHtjUxkOH7ZG7gif7mg_2_2"/>
      <w:bookmarkStart w:id="470" w:name="Tc_5iWzo0gnNk60syxsDtav5Q_1_2"/>
      <w:bookmarkStart w:id="471" w:name="_3c9cb3d0_dec7_49c0_9488_6b3d2959e4b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0205" w:type="dxa"/>
        <w:jc w:val="left"/>
        <w:tblInd w:w="0" w:type="dxa"/>
        <w:tblCellMar>
          <w:top w:w="0" w:type="dxa"/>
          <w:left w:w="0" w:type="dxa"/>
          <w:bottom w:w="0" w:type="dxa"/>
          <w:right w:w="0" w:type="dxa"/>
        </w:tblCellMar>
      </w:tblPr>
      <w:tblGrid>
        <w:gridCol w:w="2590"/>
        <w:gridCol w:w="326"/>
        <w:gridCol w:w="916"/>
        <w:gridCol w:w="326"/>
        <w:gridCol w:w="249"/>
        <w:gridCol w:w="442"/>
        <w:gridCol w:w="326"/>
        <w:gridCol w:w="196"/>
        <w:gridCol w:w="691"/>
        <w:gridCol w:w="326"/>
        <w:gridCol w:w="240"/>
        <w:gridCol w:w="811"/>
        <w:gridCol w:w="326"/>
        <w:gridCol w:w="306"/>
        <w:gridCol w:w="895"/>
        <w:gridCol w:w="326"/>
        <w:gridCol w:w="196"/>
        <w:gridCol w:w="717"/>
      </w:tblGrid>
      <w:tr>
        <w:trPr/>
        <w:tc>
          <w:tcPr>
            <w:tcW w:w="25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44650" cy="175260"/>
                      <wp:effectExtent l="0" t="0" r="0" b="0"/>
                      <wp:wrapNone/>
                      <wp:docPr id="49" name="Frame49"/>
                      <a:graphic xmlns:a="http://schemas.openxmlformats.org/drawingml/2006/main">
                        <a:graphicData uri="http://schemas.microsoft.com/office/word/2010/wordprocessingShape">
                          <wps:wsp>
                            <wps:cNvSpPr txBox="1"/>
                            <wps:spPr>
                              <a:xfrm>
                                <a:off x="0" y="0"/>
                                <a:ext cx="16446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81660" cy="175260"/>
                      <wp:effectExtent l="0" t="0" r="0" b="0"/>
                      <wp:wrapNone/>
                      <wp:docPr id="51" name="Frame51"/>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8115" cy="175260"/>
                      <wp:effectExtent l="0" t="0" r="0" b="0"/>
                      <wp:wrapNone/>
                      <wp:docPr id="53" name="Frame53"/>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80670" cy="175260"/>
                      <wp:effectExtent l="0" t="0" r="0" b="0"/>
                      <wp:wrapNone/>
                      <wp:docPr id="54" name="Frame54"/>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8785" cy="175260"/>
                      <wp:effectExtent l="0" t="0" r="0" b="0"/>
                      <wp:wrapNone/>
                      <wp:docPr id="57" name="Frame5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2400" cy="175260"/>
                      <wp:effectExtent l="0" t="0" r="0" b="0"/>
                      <wp:wrapNone/>
                      <wp:docPr id="59" name="Frame59"/>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14985" cy="175260"/>
                      <wp:effectExtent l="0" t="0" r="0" b="0"/>
                      <wp:wrapNone/>
                      <wp:docPr id="60" name="Frame60"/>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94310" cy="175260"/>
                      <wp:effectExtent l="0" t="0" r="0" b="0"/>
                      <wp:wrapNone/>
                      <wp:docPr id="62" name="Frame62"/>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68325" cy="175260"/>
                      <wp:effectExtent l="0" t="0" r="0" b="0"/>
                      <wp:wrapNone/>
                      <wp:docPr id="63" name="Frame63"/>
                      <a:graphic xmlns:a="http://schemas.openxmlformats.org/drawingml/2006/main">
                        <a:graphicData uri="http://schemas.microsoft.com/office/word/2010/wordprocessingShape">
                          <wps:wsp>
                            <wps:cNvSpPr txBox="1"/>
                            <wps:spPr>
                              <a:xfrm>
                                <a:off x="0" y="0"/>
                                <a:ext cx="568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55295" cy="175260"/>
                      <wp:effectExtent l="0" t="0" r="0" b="0"/>
                      <wp:wrapNone/>
                      <wp:docPr id="66" name="Frame66"/>
                      <a:graphic xmlns:a="http://schemas.openxmlformats.org/drawingml/2006/main">
                        <a:graphicData uri="http://schemas.microsoft.com/office/word/2010/wordprocessingShape">
                          <wps:wsp>
                            <wps:cNvSpPr txBox="1"/>
                            <wps:spPr>
                              <a:xfrm>
                                <a:off x="0" y="0"/>
                                <a:ext cx="455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23" w:type="dxa"/>
            <w:gridSpan w:val="10"/>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Xcel Brands, Inc. Stockholders</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jc w:val="center"/>
              <w:rPr/>
            </w:pPr>
            <w:r>
              <w:rPr/>
              <w:t>​</w:t>
            </w:r>
          </w:p>
        </w:tc>
        <w:tc>
          <w:tcPr>
            <w:tcW w:w="89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center"/>
              <w:rPr/>
            </w:pPr>
            <w:r>
              <w:rPr/>
              <w:t>​</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3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2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center"/>
              <w:rPr/>
            </w:pPr>
            <w:r>
              <w:rPr/>
              <w:t>​</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rPr/>
            </w:pPr>
            <w:r>
              <w:rPr/>
              <w:t>    </w:t>
            </w:r>
          </w:p>
        </w:tc>
        <w:tc>
          <w:tcPr>
            <w:tcW w:w="12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shd w:fill="auto" w:val="clear"/>
            <w:vAlign w:val="center"/>
          </w:tcPr>
          <w:p>
            <w:pPr>
              <w:pStyle w:val="TableContents"/>
              <w:spacing w:before="0" w:after="1"/>
              <w:ind w:left="0" w:right="0" w:hanging="0"/>
              <w:rPr/>
            </w:pPr>
            <w:r>
              <w:rPr/>
              <w:t>    </w:t>
            </w:r>
          </w:p>
        </w:tc>
        <w:tc>
          <w:tcPr>
            <w:tcW w:w="91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as of January 1, 2021</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19,260,862</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102,324</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(16,595)</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86,255</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Compensation expense in connection with stock options and restricted stock</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343</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343</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executive in connection with stock grants for bonus payments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181,179</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directors in connection with restricted stock grants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50,000</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pPr>
            <w:r>
              <w:rPr/>
              <w:t>—</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consultants in connection with restricted stock grants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40,336</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employee in connection with contractual agreement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21,676</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right"/>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on exercise of stock options, net of shares surrendered for cashless exercises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26,253</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pPr>
            <w:r>
              <w:rPr/>
              <w:t>—</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repurchased from employees in exchange for withholding taxes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(9,187)</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investment in Longaberger Licensing, LLC by noncontrolling interest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for the year ended December 31, 2021</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(12,184)</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(13,029)</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4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as of December 31, 2021</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19,571,119</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103,039</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(28,779)</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74,942</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Compensation expense in connection with stock options and restricted stock</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executive in connection with stock grants for bonus payments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178,727</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right"/>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repurchased from executive in exchange for withholding taxes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(53,882)</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right"/>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directors in connection with restricted stock grants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50,000</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pPr>
            <w:r>
              <w:rPr/>
              <w:t>—</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consultants in connection with restricted stock grants</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20,064</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consultant in connection with sale transaction (see Note 3 and Note 7)</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65,275</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jc w:val="right"/>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issued to key employee in connection with stock grant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33,557</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Shares repurchased from key employee in exchange for withholding taxes related to vesting of restricted shares</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(240,000)</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shd w:fill="auto" w:val="clear"/>
            <w:vAlign w:val="center"/>
          </w:tcPr>
          <w:p>
            <w:pPr>
              <w:pStyle w:val="TableContents"/>
              <w:spacing w:before="0" w:after="1"/>
              <w:ind w:left="0" w:right="0" w:hanging="0"/>
              <w:rPr/>
            </w:pPr>
            <w:r>
              <w:rPr/>
              <w:t>​</w:t>
            </w:r>
          </w:p>
        </w:tc>
        <w:tc>
          <w:tcPr>
            <w:tcW w:w="89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7" w:type="dxa"/>
            <w:tcBorders/>
            <w:shd w:fill="auto" w:val="cle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for the year ended December 31, 2022</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0"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(4,018)</w:t>
            </w:r>
          </w:p>
        </w:tc>
        <w:tc>
          <w:tcPr>
            <w:tcW w:w="326" w:type="dxa"/>
            <w:tcBorders/>
            <w:shd w:fill="CCEEFF" w:val="clear"/>
            <w:vAlign w:val="center"/>
          </w:tcPr>
          <w:p>
            <w:pPr>
              <w:pStyle w:val="TableContents"/>
              <w:spacing w:before="0" w:after="1"/>
              <w:ind w:left="0" w:right="0" w:hanging="0"/>
              <w:rPr/>
            </w:pPr>
            <w:r>
              <w:rPr/>
              <w:t>​</w:t>
            </w:r>
          </w:p>
        </w:tc>
        <w:tc>
          <w:tcPr>
            <w:tcW w:w="306" w:type="dxa"/>
            <w:tcBorders/>
            <w:shd w:fill="CCEEFF" w:val="clear"/>
            <w:vAlign w:val="center"/>
          </w:tcPr>
          <w:p>
            <w:pPr>
              <w:pStyle w:val="TableContents"/>
              <w:spacing w:before="0" w:after="1"/>
              <w:ind w:left="0" w:right="0" w:hanging="0"/>
              <w:rPr/>
            </w:pPr>
            <w:r>
              <w:rPr/>
              <w:t> </w:t>
            </w:r>
          </w:p>
        </w:tc>
        <w:tc>
          <w:tcPr>
            <w:tcW w:w="8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(1,338)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(5,356)</w:t>
            </w:r>
          </w:p>
        </w:tc>
      </w:tr>
      <w:tr>
        <w:trPr/>
        <w:tc>
          <w:tcPr>
            <w:tcW w:w="2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4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r>
        <w:trPr/>
        <w:tc>
          <w:tcPr>
            <w:tcW w:w="259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as of December 31, 2022</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19,624,860</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103,592</w:t>
            </w:r>
          </w:p>
        </w:tc>
        <w:tc>
          <w:tcPr>
            <w:tcW w:w="326" w:type="dxa"/>
            <w:tcBorders/>
            <w:shd w:fill="CCEEFF" w:val="clear"/>
            <w:vAlign w:val="center"/>
          </w:tcPr>
          <w:p>
            <w:pPr>
              <w:pStyle w:val="TableContents"/>
              <w:spacing w:before="0" w:after="1"/>
              <w:ind w:left="0" w:right="0" w:hanging="0"/>
              <w:rPr/>
            </w:pPr>
            <w:r>
              <w:rPr/>
              <w:t>​</w:t>
            </w:r>
          </w:p>
        </w:tc>
        <w:tc>
          <w:tcPr>
            <w:tcW w:w="24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(32,797)</w:t>
            </w:r>
          </w:p>
        </w:tc>
        <w:tc>
          <w:tcPr>
            <w:tcW w:w="326" w:type="dxa"/>
            <w:tcBorders/>
            <w:shd w:fill="CCEEFF" w:val="clear"/>
            <w:vAlign w:val="center"/>
          </w:tcPr>
          <w:p>
            <w:pPr>
              <w:pStyle w:val="TableContents"/>
              <w:spacing w:before="0" w:after="1"/>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70,139</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72" w:name="_00b96e06_c5ce_4500_888f_ec8e04979f10"/>
      <w:bookmarkEnd w:id="472"/>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bookmarkStart w:id="473" w:name="CashFlows"/>
      <w:bookmarkEnd w:id="473"/>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474" w:name="Tc_lNfiGpg9jkKV8jUsNYmt-Q_62_5"/>
      <w:bookmarkStart w:id="475" w:name="Tc_STvGU2mx2kGUl38raSBJGw_62_3"/>
      <w:bookmarkStart w:id="476" w:name="Tc_q7ukQ4KuhkqghzdJ7hX3Ow_62_2"/>
      <w:bookmarkStart w:id="477" w:name="Tc_r9f1deW9UkKHGErVqFs3DQ_62_0"/>
      <w:bookmarkStart w:id="478" w:name="Tc_b6x6ecLBI0SIUYskBK5mTw_61_5"/>
      <w:bookmarkStart w:id="479" w:name="Tc_3iIcW8qBe0yiz98Ipl1VXA_61_2"/>
      <w:bookmarkStart w:id="480" w:name="Tc_nzZaKs2QwE2tWwMUv1zA7A_61_0"/>
      <w:bookmarkStart w:id="481" w:name="Tc_3q50QeRSrkGRFqTR1y23bw_60_0"/>
      <w:bookmarkStart w:id="482" w:name="Tc_J_4-XNHh8kiDZKzUBelt2Q_58_5"/>
      <w:bookmarkStart w:id="483" w:name="Tc_xD1owB43lUOsH5PyQGvDHQ_58_2"/>
      <w:bookmarkStart w:id="484" w:name="Tc_RUbcQ3Su_UKfxu630rGkMA_58_0"/>
      <w:bookmarkStart w:id="485" w:name="Tc_wlFtjhQ6NUy4C-U-W2gVZQ_57_5"/>
      <w:bookmarkStart w:id="486" w:name="Tc_VkvWciC3w0aeVsKMkkd0oQ_57_3"/>
      <w:bookmarkStart w:id="487" w:name="Tc_aXGIkRDHYE-QTHYFrPZsWA_57_2"/>
      <w:bookmarkStart w:id="488" w:name="Tc_UbLhyLD74UCenSsKEGryZw_57_0"/>
      <w:bookmarkStart w:id="489" w:name="Tc_ohWxYp-4gE61sMMYP0JznA_56_0"/>
      <w:bookmarkStart w:id="490" w:name="Tc_9_oUON3qC0anblgLtwGmsQ_54_5"/>
      <w:bookmarkStart w:id="491" w:name="Tc_7I_xGWbhEEKmpCCFPd_D5A_54_2"/>
      <w:bookmarkStart w:id="492" w:name="Tc_WV9iuxX2akyD8h7fdov1RQ_54_0"/>
      <w:bookmarkStart w:id="493" w:name="Tc_GkZKSmGRK0SPrw290zlRxw_53_3"/>
      <w:bookmarkStart w:id="494" w:name="Tc_DgKBopNvvkGlKQfZDQPjdA_53_0"/>
      <w:bookmarkStart w:id="495" w:name="Tc_K6L-FLlGSkSrTItu-Xc6HA_52_5"/>
      <w:bookmarkStart w:id="496" w:name="Tc_5ig2Qa-rokGWieg1nFq38w_52_2"/>
      <w:bookmarkStart w:id="497" w:name="Tc_ePx882Y6KE6RaObHhe0Ngg_52_0"/>
      <w:bookmarkStart w:id="498" w:name="Tc_KggUgw5D6EWJizIthUYqFQ_51_0"/>
      <w:bookmarkStart w:id="499" w:name="Tc_0jo0UaDhdUyqqK3CPhvsqg_49_5"/>
      <w:bookmarkStart w:id="500" w:name="Tc_R0G7HyB79UK25cy8vxAi1Q_49_2"/>
      <w:bookmarkStart w:id="501" w:name="Tc_MZ7u71XcQ0i5OZOSIEKLCA_49_0"/>
      <w:bookmarkStart w:id="502" w:name="Tc_cy95_98cPkeT5ySpFPL6kA_47_0"/>
      <w:bookmarkStart w:id="503" w:name="Tc_5paWNu9rGkKU3ZOAbn4pLw_45_0"/>
      <w:bookmarkStart w:id="504" w:name="Tc_VvtmIE5PhE2Cv3LPGWAMqQ_43_0"/>
      <w:bookmarkStart w:id="505" w:name="Tc_yO3d4oT5rEKhW8Tz3Qfavw_42_0"/>
      <w:bookmarkStart w:id="506" w:name="Tc_X7xpEh6ndk2ELPL2ZHdpkw_41_0"/>
      <w:bookmarkStart w:id="507" w:name="Tc_ZQ3Ztubu_kGLY5ByhBRDyA_40_3"/>
      <w:bookmarkStart w:id="508" w:name="Tc_63PtXMWTtkm_68V_neSRMw_40_0"/>
      <w:bookmarkStart w:id="509" w:name="Tc_aqsK6S6Zf022J6CDSMKWbA_39_3"/>
      <w:bookmarkStart w:id="510" w:name="Tc_bvrlEeawF0CWD2JWsASpuw_39_0"/>
      <w:bookmarkStart w:id="511" w:name="Tc_dUThB9hz9keNLxzzW-XAUQ_38_3"/>
      <w:bookmarkStart w:id="512" w:name="Tc_Ob83mtkodkyzwT4s1OWGoQ_38_0"/>
      <w:bookmarkStart w:id="513" w:name="Tc_MPnHPEdulEe6R24c7Hp1Uw_37_3"/>
      <w:bookmarkStart w:id="514" w:name="Tc_4_H5HpOtgU-_AjJiIccMDQ_37_0"/>
      <w:bookmarkStart w:id="515" w:name="Tc_Oqcp6HhEPEigELd1YrPFww_36_3"/>
      <w:bookmarkStart w:id="516" w:name="Tc_slq4dtxajkSCat8GP-DCtQ_36_0"/>
      <w:bookmarkStart w:id="517" w:name="Tc_8Tf-MBesdEa1qRkqzHHrUw_35_0"/>
      <w:bookmarkStart w:id="518" w:name="Tc_EYGF91fi2UaUjufqNnf5mA_34_3"/>
      <w:bookmarkStart w:id="519" w:name="Tc_fPeDwG5GQka_ydvdXXxe-A_34_0"/>
      <w:bookmarkStart w:id="520" w:name="Tc_gM8e37szxUG1786rwIcYGA_33_0"/>
      <w:bookmarkStart w:id="521" w:name="Tc_pGBNS4wG3kSJBILpMdETFw_31_0"/>
      <w:bookmarkStart w:id="522" w:name="Tc_bXngCeHVzUWlRtMKUjqazQ_30_0"/>
      <w:bookmarkStart w:id="523" w:name="Tc_umirA8DgME24zhnvKiUYpQ_29_3"/>
      <w:bookmarkStart w:id="524" w:name="Tc_vTiIl74p9kCLE0xppTpKXA_29_0"/>
      <w:bookmarkStart w:id="525" w:name="Tc_V0uH6Ze2skSLUNCFuODwig_28_3"/>
      <w:bookmarkStart w:id="526" w:name="Tc_NNxRPr0cQk-XZ5ODp7-Wcw_28_0"/>
      <w:bookmarkStart w:id="527" w:name="Tc_JNNCOy7ruk-9W-e3IfEpug_27_6"/>
      <w:bookmarkStart w:id="528" w:name="Tc_o2I6H8ROXUCyQDOrLSxyLg_27_0"/>
      <w:bookmarkStart w:id="529" w:name="Tc_cbF65j2g4U-IuTzeF2ruwA_26_6"/>
      <w:bookmarkStart w:id="530" w:name="Tc_OfXtImquBE2fbLKVOWOOsw_26_0"/>
      <w:bookmarkStart w:id="531" w:name="Tc_v-hkBwvcmEKPBfLkfH9-oA_25_0"/>
      <w:bookmarkStart w:id="532" w:name="Tc__UPszWHTL023CuD6rfqGTg_23_0"/>
      <w:bookmarkStart w:id="533" w:name="Tc_TPVNOYEUu0OuibDPyrtf5Q_22_6"/>
      <w:bookmarkStart w:id="534" w:name="Tc_0SKH60kDpEytzL1srJhg5A_22_0"/>
      <w:bookmarkStart w:id="535" w:name="Tc_s37b5YL7-kG_SV4d1vrQwg_21_0"/>
      <w:bookmarkStart w:id="536" w:name="Tc_8R9Z6joHU0ukHEbWiFIQZw_20_0"/>
      <w:bookmarkStart w:id="537" w:name="Tc_w7JEtsxg7U-yIiAC8APlHg_19_0"/>
      <w:bookmarkStart w:id="538" w:name="Tc_YC_7QMGXM0i9JefarbCerw_18_0"/>
      <w:bookmarkStart w:id="539" w:name="Tc_Y0sfUVz5HkmxmrQsk4zbfg_17_0"/>
      <w:bookmarkStart w:id="540" w:name="Tc_fcK20BsiNUuqK5sn0OSTCA_16_0"/>
      <w:bookmarkStart w:id="541" w:name="Tc_ei7QGdVt2UCvaU5je6ag8Q_15_6"/>
      <w:bookmarkStart w:id="542" w:name="Tc_oc3EqS5ipEOxb-HVuFHiew_15_0"/>
      <w:bookmarkStart w:id="543" w:name="Tc_mXkUjNqpxkOwNivvS9xOSw_14_6"/>
      <w:bookmarkStart w:id="544" w:name="Tc_6oKe7HfqUESK76ZfO27pgQ_14_0"/>
      <w:bookmarkStart w:id="545" w:name="Tc_9Avkx45LA0OwZbTIaEHHcA_13_0"/>
      <w:bookmarkStart w:id="546" w:name="Tc_n9XlcAlbo0aoKH1cbJvhBg_12_0"/>
      <w:bookmarkStart w:id="547" w:name="Tc_FibxZoELn0uhEd1tdW8OPQ_11_6"/>
      <w:bookmarkStart w:id="548" w:name="Tc_IJ3jbP4CXEqLV4uflLhnWQ_11_0"/>
      <w:bookmarkStart w:id="549" w:name="Tc_65eG4V7SCEOveDRqQgmdYA_10_0"/>
      <w:bookmarkStart w:id="550" w:name="Tc_scw7uilocUGkK7CIJPWsnQ_9_0"/>
      <w:bookmarkStart w:id="551" w:name="Tc_Cx6F9zmJQk6HUhAU0M40eQ_8_0"/>
      <w:bookmarkStart w:id="552" w:name="Tc_gJ4XXxivcE6Y1RcUh_QelA_7_0"/>
      <w:bookmarkStart w:id="553" w:name="Tc_C1fATx9vy0q2QNJO5mIWFg_6_0"/>
      <w:bookmarkStart w:id="554" w:name="Tc_qzHyQz4iPk6RTnarsiQMZg_5_0"/>
      <w:bookmarkStart w:id="555" w:name="Tc_D1_IqpBkdkGmpyBH-K51Cw_4_5"/>
      <w:bookmarkStart w:id="556" w:name="Tc_uezSnw6kxkGh96Fik6RFeQ_4_2"/>
      <w:bookmarkStart w:id="557" w:name="Tc_ehNjjIZRdE2ODQhQB38pSw_4_0"/>
      <w:bookmarkStart w:id="558" w:name="Tc_BL-1rcaFEUCwCHCzU8qKfg_3_0"/>
      <w:bookmarkStart w:id="559" w:name="Tc_DSeiJtmg6U6nqeCc59u5WQ_2_5"/>
      <w:bookmarkStart w:id="560" w:name="Tc_qa_jXJqrf0e5Ld3C0xS6NA_2_2"/>
      <w:bookmarkStart w:id="561" w:name="Tc_YNEPgt7aLECAHIvjVwYlmQ_1_2"/>
      <w:bookmarkStart w:id="562" w:name="_fa733cae_05b3_4ca9_b9ac_9fcd827d9324"/>
      <w:bookmarkStart w:id="563" w:name="Tc_lNfiGpg9jkKV8jUsNYmt-Q_62_5"/>
      <w:bookmarkStart w:id="564" w:name="Tc_STvGU2mx2kGUl38raSBJGw_62_3"/>
      <w:bookmarkStart w:id="565" w:name="Tc_q7ukQ4KuhkqghzdJ7hX3Ow_62_2"/>
      <w:bookmarkStart w:id="566" w:name="Tc_r9f1deW9UkKHGErVqFs3DQ_62_0"/>
      <w:bookmarkStart w:id="567" w:name="Tc_b6x6ecLBI0SIUYskBK5mTw_61_5"/>
      <w:bookmarkStart w:id="568" w:name="Tc_3iIcW8qBe0yiz98Ipl1VXA_61_2"/>
      <w:bookmarkStart w:id="569" w:name="Tc_nzZaKs2QwE2tWwMUv1zA7A_61_0"/>
      <w:bookmarkStart w:id="570" w:name="Tc_3q50QeRSrkGRFqTR1y23bw_60_0"/>
      <w:bookmarkStart w:id="571" w:name="Tc_J_4-XNHh8kiDZKzUBelt2Q_58_5"/>
      <w:bookmarkStart w:id="572" w:name="Tc_xD1owB43lUOsH5PyQGvDHQ_58_2"/>
      <w:bookmarkStart w:id="573" w:name="Tc_RUbcQ3Su_UKfxu630rGkMA_58_0"/>
      <w:bookmarkStart w:id="574" w:name="Tc_wlFtjhQ6NUy4C-U-W2gVZQ_57_5"/>
      <w:bookmarkStart w:id="575" w:name="Tc_VkvWciC3w0aeVsKMkkd0oQ_57_3"/>
      <w:bookmarkStart w:id="576" w:name="Tc_aXGIkRDHYE-QTHYFrPZsWA_57_2"/>
      <w:bookmarkStart w:id="577" w:name="Tc_UbLhyLD74UCenSsKEGryZw_57_0"/>
      <w:bookmarkStart w:id="578" w:name="Tc_ohWxYp-4gE61sMMYP0JznA_56_0"/>
      <w:bookmarkStart w:id="579" w:name="Tc_9_oUON3qC0anblgLtwGmsQ_54_5"/>
      <w:bookmarkStart w:id="580" w:name="Tc_7I_xGWbhEEKmpCCFPd_D5A_54_2"/>
      <w:bookmarkStart w:id="581" w:name="Tc_WV9iuxX2akyD8h7fdov1RQ_54_0"/>
      <w:bookmarkStart w:id="582" w:name="Tc_GkZKSmGRK0SPrw290zlRxw_53_3"/>
      <w:bookmarkStart w:id="583" w:name="Tc_DgKBopNvvkGlKQfZDQPjdA_53_0"/>
      <w:bookmarkStart w:id="584" w:name="Tc_K6L-FLlGSkSrTItu-Xc6HA_52_5"/>
      <w:bookmarkStart w:id="585" w:name="Tc_5ig2Qa-rokGWieg1nFq38w_52_2"/>
      <w:bookmarkStart w:id="586" w:name="Tc_ePx882Y6KE6RaObHhe0Ngg_52_0"/>
      <w:bookmarkStart w:id="587" w:name="Tc_KggUgw5D6EWJizIthUYqFQ_51_0"/>
      <w:bookmarkStart w:id="588" w:name="Tc_0jo0UaDhdUyqqK3CPhvsqg_49_5"/>
      <w:bookmarkStart w:id="589" w:name="Tc_R0G7HyB79UK25cy8vxAi1Q_49_2"/>
      <w:bookmarkStart w:id="590" w:name="Tc_MZ7u71XcQ0i5OZOSIEKLCA_49_0"/>
      <w:bookmarkStart w:id="591" w:name="Tc_cy95_98cPkeT5ySpFPL6kA_47_0"/>
      <w:bookmarkStart w:id="592" w:name="Tc_5paWNu9rGkKU3ZOAbn4pLw_45_0"/>
      <w:bookmarkStart w:id="593" w:name="Tc_VvtmIE5PhE2Cv3LPGWAMqQ_43_0"/>
      <w:bookmarkStart w:id="594" w:name="Tc_yO3d4oT5rEKhW8Tz3Qfavw_42_0"/>
      <w:bookmarkStart w:id="595" w:name="Tc_X7xpEh6ndk2ELPL2ZHdpkw_41_0"/>
      <w:bookmarkStart w:id="596" w:name="Tc_ZQ3Ztubu_kGLY5ByhBRDyA_40_3"/>
      <w:bookmarkStart w:id="597" w:name="Tc_63PtXMWTtkm_68V_neSRMw_40_0"/>
      <w:bookmarkStart w:id="598" w:name="Tc_aqsK6S6Zf022J6CDSMKWbA_39_3"/>
      <w:bookmarkStart w:id="599" w:name="Tc_bvrlEeawF0CWD2JWsASpuw_39_0"/>
      <w:bookmarkStart w:id="600" w:name="Tc_dUThB9hz9keNLxzzW-XAUQ_38_3"/>
      <w:bookmarkStart w:id="601" w:name="Tc_Ob83mtkodkyzwT4s1OWGoQ_38_0"/>
      <w:bookmarkStart w:id="602" w:name="Tc_MPnHPEdulEe6R24c7Hp1Uw_37_3"/>
      <w:bookmarkStart w:id="603" w:name="Tc_4_H5HpOtgU-_AjJiIccMDQ_37_0"/>
      <w:bookmarkStart w:id="604" w:name="Tc_Oqcp6HhEPEigELd1YrPFww_36_3"/>
      <w:bookmarkStart w:id="605" w:name="Tc_slq4dtxajkSCat8GP-DCtQ_36_0"/>
      <w:bookmarkStart w:id="606" w:name="Tc_8Tf-MBesdEa1qRkqzHHrUw_35_0"/>
      <w:bookmarkStart w:id="607" w:name="Tc_EYGF91fi2UaUjufqNnf5mA_34_3"/>
      <w:bookmarkStart w:id="608" w:name="Tc_fPeDwG5GQka_ydvdXXxe-A_34_0"/>
      <w:bookmarkStart w:id="609" w:name="Tc_gM8e37szxUG1786rwIcYGA_33_0"/>
      <w:bookmarkStart w:id="610" w:name="Tc_pGBNS4wG3kSJBILpMdETFw_31_0"/>
      <w:bookmarkStart w:id="611" w:name="Tc_bXngCeHVzUWlRtMKUjqazQ_30_0"/>
      <w:bookmarkStart w:id="612" w:name="Tc_umirA8DgME24zhnvKiUYpQ_29_3"/>
      <w:bookmarkStart w:id="613" w:name="Tc_vTiIl74p9kCLE0xppTpKXA_29_0"/>
      <w:bookmarkStart w:id="614" w:name="Tc_V0uH6Ze2skSLUNCFuODwig_28_3"/>
      <w:bookmarkStart w:id="615" w:name="Tc_NNxRPr0cQk-XZ5ODp7-Wcw_28_0"/>
      <w:bookmarkStart w:id="616" w:name="Tc_JNNCOy7ruk-9W-e3IfEpug_27_6"/>
      <w:bookmarkStart w:id="617" w:name="Tc_o2I6H8ROXUCyQDOrLSxyLg_27_0"/>
      <w:bookmarkStart w:id="618" w:name="Tc_cbF65j2g4U-IuTzeF2ruwA_26_6"/>
      <w:bookmarkStart w:id="619" w:name="Tc_OfXtImquBE2fbLKVOWOOsw_26_0"/>
      <w:bookmarkStart w:id="620" w:name="Tc_v-hkBwvcmEKPBfLkfH9-oA_25_0"/>
      <w:bookmarkStart w:id="621" w:name="Tc__UPszWHTL023CuD6rfqGTg_23_0"/>
      <w:bookmarkStart w:id="622" w:name="Tc_TPVNOYEUu0OuibDPyrtf5Q_22_6"/>
      <w:bookmarkStart w:id="623" w:name="Tc_0SKH60kDpEytzL1srJhg5A_22_0"/>
      <w:bookmarkStart w:id="624" w:name="Tc_s37b5YL7-kG_SV4d1vrQwg_21_0"/>
      <w:bookmarkStart w:id="625" w:name="Tc_8R9Z6joHU0ukHEbWiFIQZw_20_0"/>
      <w:bookmarkStart w:id="626" w:name="Tc_w7JEtsxg7U-yIiAC8APlHg_19_0"/>
      <w:bookmarkStart w:id="627" w:name="Tc_YC_7QMGXM0i9JefarbCerw_18_0"/>
      <w:bookmarkStart w:id="628" w:name="Tc_Y0sfUVz5HkmxmrQsk4zbfg_17_0"/>
      <w:bookmarkStart w:id="629" w:name="Tc_fcK20BsiNUuqK5sn0OSTCA_16_0"/>
      <w:bookmarkStart w:id="630" w:name="Tc_ei7QGdVt2UCvaU5je6ag8Q_15_6"/>
      <w:bookmarkStart w:id="631" w:name="Tc_oc3EqS5ipEOxb-HVuFHiew_15_0"/>
      <w:bookmarkStart w:id="632" w:name="Tc_mXkUjNqpxkOwNivvS9xOSw_14_6"/>
      <w:bookmarkStart w:id="633" w:name="Tc_6oKe7HfqUESK76ZfO27pgQ_14_0"/>
      <w:bookmarkStart w:id="634" w:name="Tc_9Avkx45LA0OwZbTIaEHHcA_13_0"/>
      <w:bookmarkStart w:id="635" w:name="Tc_n9XlcAlbo0aoKH1cbJvhBg_12_0"/>
      <w:bookmarkStart w:id="636" w:name="Tc_FibxZoELn0uhEd1tdW8OPQ_11_6"/>
      <w:bookmarkStart w:id="637" w:name="Tc_IJ3jbP4CXEqLV4uflLhnWQ_11_0"/>
      <w:bookmarkStart w:id="638" w:name="Tc_65eG4V7SCEOveDRqQgmdYA_10_0"/>
      <w:bookmarkStart w:id="639" w:name="Tc_scw7uilocUGkK7CIJPWsnQ_9_0"/>
      <w:bookmarkStart w:id="640" w:name="Tc_Cx6F9zmJQk6HUhAU0M40eQ_8_0"/>
      <w:bookmarkStart w:id="641" w:name="Tc_gJ4XXxivcE6Y1RcUh_QelA_7_0"/>
      <w:bookmarkStart w:id="642" w:name="Tc_C1fATx9vy0q2QNJO5mIWFg_6_0"/>
      <w:bookmarkStart w:id="643" w:name="Tc_qzHyQz4iPk6RTnarsiQMZg_5_0"/>
      <w:bookmarkStart w:id="644" w:name="Tc_D1_IqpBkdkGmpyBH-K51Cw_4_5"/>
      <w:bookmarkStart w:id="645" w:name="Tc_uezSnw6kxkGh96Fik6RFeQ_4_2"/>
      <w:bookmarkStart w:id="646" w:name="Tc_ehNjjIZRdE2ODQhQB38pSw_4_0"/>
      <w:bookmarkStart w:id="647" w:name="Tc_BL-1rcaFEUCwCHCzU8qKfg_3_0"/>
      <w:bookmarkStart w:id="648" w:name="Tc_DSeiJtmg6U6nqeCc59u5WQ_2_5"/>
      <w:bookmarkStart w:id="649" w:name="Tc_qa_jXJqrf0e5Ld3C0xS6NA_2_2"/>
      <w:bookmarkStart w:id="650" w:name="Tc_YNEPgt7aLECAHIvjVwYlmQ_1_2"/>
      <w:bookmarkStart w:id="651" w:name="_fa733cae_05b3_4ca9_b9ac_9fcd827d9324"/>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9519" w:type="dxa"/>
        <w:jc w:val="left"/>
        <w:tblInd w:w="0" w:type="dxa"/>
        <w:tblCellMar>
          <w:top w:w="0" w:type="dxa"/>
          <w:left w:w="0" w:type="dxa"/>
          <w:bottom w:w="0" w:type="dxa"/>
          <w:right w:w="0" w:type="dxa"/>
        </w:tblCellMar>
      </w:tblPr>
      <w:tblGrid>
        <w:gridCol w:w="6811"/>
        <w:gridCol w:w="326"/>
        <w:gridCol w:w="219"/>
        <w:gridCol w:w="747"/>
        <w:gridCol w:w="395"/>
        <w:gridCol w:w="219"/>
        <w:gridCol w:w="802"/>
      </w:tblGrid>
      <w:tr>
        <w:trPr/>
        <w:tc>
          <w:tcPr>
            <w:tcW w:w="6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24985" cy="175260"/>
                      <wp:effectExtent l="0" t="0" r="0" b="0"/>
                      <wp:wrapNone/>
                      <wp:docPr id="67" name="Frame67"/>
                      <a:graphic xmlns:a="http://schemas.openxmlformats.org/drawingml/2006/main">
                        <a:graphicData uri="http://schemas.microsoft.com/office/word/2010/wordprocessingShape">
                          <wps:wsp>
                            <wps:cNvSpPr txBox="1"/>
                            <wps:spPr>
                              <a:xfrm>
                                <a:off x="0" y="0"/>
                                <a:ext cx="432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9065" cy="175260"/>
                      <wp:effectExtent l="0" t="0" r="0" b="0"/>
                      <wp:wrapNone/>
                      <wp:docPr id="69" name="Frame69"/>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74345" cy="175260"/>
                      <wp:effectExtent l="0" t="0" r="0" b="0"/>
                      <wp:wrapNone/>
                      <wp:docPr id="70" name="Frame70"/>
                      <a:graphic xmlns:a="http://schemas.openxmlformats.org/drawingml/2006/main">
                        <a:graphicData uri="http://schemas.microsoft.com/office/word/2010/wordprocessingShape">
                          <wps:wsp>
                            <wps:cNvSpPr txBox="1"/>
                            <wps:spPr>
                              <a:xfrm>
                                <a:off x="0" y="0"/>
                                <a:ext cx="474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0825" cy="175260"/>
                      <wp:effectExtent l="0" t="0" r="0" b="0"/>
                      <wp:wrapNone/>
                      <wp:docPr id="71" name="Frame71"/>
                      <a:graphic xmlns:a="http://schemas.openxmlformats.org/drawingml/2006/main">
                        <a:graphicData uri="http://schemas.microsoft.com/office/word/2010/wordprocessingShape">
                          <wps:wsp>
                            <wps:cNvSpPr txBox="1"/>
                            <wps:spPr>
                              <a:xfrm>
                                <a:off x="0" y="0"/>
                                <a:ext cx="250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9065" cy="175260"/>
                      <wp:effectExtent l="0" t="0" r="0" b="0"/>
                      <wp:wrapNone/>
                      <wp:docPr id="72" name="Frame72"/>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09270" cy="175260"/>
                      <wp:effectExtent l="0" t="0" r="0" b="0"/>
                      <wp:wrapNone/>
                      <wp:docPr id="73" name="Frame73"/>
                      <a:graphic xmlns:a="http://schemas.openxmlformats.org/drawingml/2006/main">
                        <a:graphicData uri="http://schemas.microsoft.com/office/word/2010/wordprocessingShape">
                          <wps:wsp>
                            <wps:cNvSpPr txBox="1"/>
                            <wps:spPr>
                              <a:xfrm>
                                <a:off x="0" y="0"/>
                                <a:ext cx="509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For the Year Ended December 31, </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95"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2021</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  </w:t>
            </w:r>
          </w:p>
        </w:tc>
        <w:tc>
          <w:tcPr>
            <w:tcW w:w="395" w:type="dxa"/>
            <w:tcBorders/>
            <w:shd w:fill="CCEEFF" w:val="clear"/>
            <w:vAlign w:val="center"/>
          </w:tcPr>
          <w:p>
            <w:pPr>
              <w:pStyle w:val="TableContents"/>
              <w:spacing w:before="0" w:after="0"/>
              <w:ind w:left="0" w:right="0" w:hanging="0"/>
              <w:rPr/>
            </w:pPr>
            <w:r>
              <w:rPr/>
              <w:t> </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loss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(5,356)</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(13,029)</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Depreciation and amortization expense</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7,263</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6,830</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Asset impairment charges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274</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1,372</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Amortization of deferred finance costs included in interest expense</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156</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308</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Stock-based compensation</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620</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720</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Provision for doubtful accounts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413</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102</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Undistributed proportional share of net income of equity method investee</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1,202</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Loss on early extinguishment of debt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2,324</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1,516</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Deferred income tax benefit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(965)</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(3,192)</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Gain on sale of majority interest in Isaac Mizrahi brand</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(20,586)</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Gain on reduction of contingent obligation</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(900)</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2,117</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1,147</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Inventory</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530</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(2,159)</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Prepaid expenses and other current and non-current assets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566</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(818)</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Accounts payable, accrued expenses, accrued payroll, accrued income taxes payable, and other current liabilities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(1,372)</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1,228</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Lease-related assets and liabilities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(244)</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(581)</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Other liabilities</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(224)</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(14,182)</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(6,556)</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  </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proceeds from sale of majority interest in Isaac Mizrahi brand</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45,386</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Capital contribution to equity method investee</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(600)</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consideration for acquisition of Lori Goldstein assets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(3,661)</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Purchase of other intangible assets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Purchase of property and equipment</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(265)</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(1,095)</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Net cash provided by (used in) investing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44,521</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(4,795)</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  </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exercise of stock options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Shares repurchased including vested restricted stock in exchange for withholding taxes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(442)</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contribution from noncontrolling interest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1,000</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revolving loan debt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2,498</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long-term debt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54,000</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of deferred finance costs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(2,173)</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of revolving loan debt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(2,498)</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of long-term debt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(29,000)</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(41,750)</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of prepayment, breakage and other fees associated with early extinguishment of long-term debt</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(1,511)</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(559)</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Net cash (used in)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(30,953)</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10,507</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Net decrease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(614)</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(844)</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5,222</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6,066</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4,608</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5,222</w:t>
            </w:r>
          </w:p>
        </w:tc>
      </w:tr>
      <w:tr>
        <w:trPr/>
        <w:tc>
          <w:tcPr>
            <w:tcW w:w="6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Reconciliation to amounts on consolidated balance sheets:</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  </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pPr>
            <w:r>
              <w:rPr/>
              <w:t>  </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and cash equivalents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4,608</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4,483</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Restricted cash</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739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Total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4,608</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5,222</w:t>
            </w:r>
          </w:p>
        </w:tc>
      </w:tr>
      <w:tr>
        <w:trPr/>
        <w:tc>
          <w:tcPr>
            <w:tcW w:w="6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Supplemental disclosure of non-cash activities:</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rPr/>
            </w:pPr>
            <w:r>
              <w:rPr/>
              <w:t>​</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Contingent obligation related to acquisition of Lori Goldstein assets at fair value</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6,639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Liability for equity-based bonuses and other equity-based payments</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(283)</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r>
      <w:tr>
        <w:trPr/>
        <w:tc>
          <w:tcPr>
            <w:tcW w:w="6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rPr/>
            </w:pPr>
            <w:r>
              <w:rPr/>
              <w:t>​</w:t>
            </w:r>
          </w:p>
        </w:tc>
        <w:tc>
          <w:tcPr>
            <w:tcW w:w="395"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rPr/>
            </w:pPr>
            <w:r>
              <w:rPr/>
              <w:t>​</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Supplemental disclosure of cash flow information:</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pPr>
            <w:r>
              <w:rPr/>
              <w:t>  </w:t>
            </w:r>
          </w:p>
        </w:tc>
      </w:tr>
      <w:tr>
        <w:trPr/>
        <w:tc>
          <w:tcPr>
            <w:tcW w:w="681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paid during the period for interest</w:t>
            </w:r>
          </w:p>
        </w:tc>
        <w:tc>
          <w:tcPr>
            <w:tcW w:w="326"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1,032</w:t>
            </w:r>
          </w:p>
        </w:tc>
        <w:tc>
          <w:tcPr>
            <w:tcW w:w="395"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1,799</w:t>
            </w:r>
          </w:p>
        </w:tc>
      </w:tr>
      <w:tr>
        <w:trPr/>
        <w:tc>
          <w:tcPr>
            <w:tcW w:w="681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paid during the period for income taxes</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95"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sz w:val="15"/>
              </w:rPr>
            </w:pPr>
            <w:r>
              <w:rPr>
                <w:rFonts w:ascii="Times New Roman;Times;serif" w:hAnsi="Times New Roman;Times;serif"/>
                <w:sz w:val="15"/>
              </w:rPr>
              <w:t>91</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52" w:name="_d69421c9_2a49_4623_982a_66e4f2e9f77e"/>
      <w:bookmarkEnd w:id="652"/>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bookmarkStart w:id="653" w:name="NotesToFinancialStatements"/>
      <w:bookmarkEnd w:id="653"/>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Nature of Operations, Background, and Basis of Presentation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Xcel Brands, Inc. (“Xcel” and, together with its subsidiaries, 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 </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Lori Goldstein Brand, Halston Brand, Ripka Brand, and C Wonder Brand are wholly owned by the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manages the Longaberger Brand through its 50%</w:t>
            </w:r>
            <w:r>
              <w:rPr>
                <w:caps w:val="false"/>
                <w:smallCaps w:val="false"/>
              </w:rPr>
              <w:t xml:space="preserve"> </w:t>
            </w:r>
            <w:r>
              <w:rPr>
                <w:rFonts w:ascii="Times New Roman;Times;serif" w:hAnsi="Times New Roman;Times;serif"/>
                <w:b w:val="false"/>
                <w:i w:val="false"/>
                <w:caps w:val="false"/>
                <w:smallCaps w:val="false"/>
                <w:sz w:val="20"/>
              </w:rPr>
              <w:t>ownership interest in Longaberger Licensing, LLC; the Company consolidates Longaberger Licensing, LLC and recognizes noncontrolling interest for the remaining ownership interest held by a third party (see Note 3 for additional details).</w:t>
            </w:r>
          </w:p>
        </w:tc>
      </w:tr>
    </w:tbl>
    <w:tbl>
      <w:tblPr>
        <w:tblW w:w="8466" w:type="dxa"/>
        <w:jc w:val="left"/>
        <w:tblInd w:w="0" w:type="dxa"/>
        <w:tblCellMar>
          <w:top w:w="28" w:type="dxa"/>
          <w:left w:w="28" w:type="dxa"/>
          <w:bottom w:w="28" w:type="dxa"/>
          <w:right w:w="28" w:type="dxa"/>
        </w:tblCellMar>
      </w:tblPr>
      <w:tblGrid>
        <w:gridCol w:w="124"/>
        <w:gridCol w:w="256"/>
        <w:gridCol w:w="8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manages the Q Optix business through its 50%</w:t>
            </w:r>
            <w:r>
              <w:rPr>
                <w:caps w:val="false"/>
                <w:smallCaps w:val="false"/>
              </w:rPr>
              <w:t xml:space="preserve"> </w:t>
            </w:r>
            <w:r>
              <w:rPr>
                <w:rFonts w:ascii="Times New Roman;Times;serif" w:hAnsi="Times New Roman;Times;serif"/>
                <w:b w:val="false"/>
                <w:i w:val="false"/>
                <w:caps w:val="false"/>
                <w:smallCaps w:val="false"/>
                <w:sz w:val="20"/>
              </w:rPr>
              <w:t>ownership interest in Q Optix, LLC.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w:t>
            </w:r>
            <w:r>
              <w:rPr>
                <w:caps w:val="false"/>
                <w:smallCaps w:val="false"/>
              </w:rPr>
              <w:t xml:space="preserve"> </w:t>
            </w:r>
            <w:r>
              <w:rPr>
                <w:rFonts w:ascii="Times New Roman;Times;serif" w:hAnsi="Times New Roman;Times;serif"/>
                <w:b w:val="false"/>
                <w:i w:val="false"/>
                <w:caps w:val="false"/>
                <w:smallCaps w:val="false"/>
                <w:sz w:val="20"/>
              </w:rPr>
              <w:t>ownership interest in IM Topco, LLC and continues to participate in the operations of the business; the Company accounts for its interest in IM Topco, LLC using the equity method of accounting (see Note 3 for additional details).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wholesale and direct-to-consumer operations are presented as "Net sales" and "Cost of goods sold" in the Consolidated Statements of Operations, separately from the Company’s licensing revenues.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Management’s Plans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incurred net losses of approximately $5.4 million ($25.9 million excluding the gain on sale of a majority interest in the Isaac Mizrahi brand) and $13.0 million during the years ended December 31, 2022 and 2021, respectively, and had an accumulated deficit of approximately $32.8 million and $28.8 million as of December 31, 2022 and 2021, respectively. Included in the net losses were non-cash expenses of approximately $8.2 million and $7.5 million for the years ended December 31, 2022 and 2021, respectively. Net cash used in operating activities was $14.2 million in 2022 and $6.6 million in 2021. The Company had working capital (current assets less current liabilities, excluding the current portion of lease obligations) of approximately $8.8 million and $7.9 million as of December 31, 2022 and 2021, respectively. The Company’s cash and cash equivalents were approximately $4.6 million as of December 31, 2022. The aforementioned factors raise uncertainties about the Company’s ability to continue as a going concern.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plans to mitigate an expected shortfall of capital and to support future operations by shifting the business from a wholesale/licensing hybrid model into a licensing plus business model and to divest or restructure the Longaberger brand. In the first quarter of 2023, the Company began to restructure its business operations by entering into new licensing agreements and joint venture arrangements with best-in-class business partners. The Company entered into a new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interactive television licensing agreement with America’s Collectibles Network, Inc. d/b/a JTV (“JTV”) for the Ripka Brand, and a separate license with JTV for the Ripka Brand’s e-commerce business. For apparel, similar transactions have recently been executed. In conjunction with the launch of the C Wonder Brand on HSN, the Company licensed the wholesale production operations related to the brand to One Jeanswear Group, LLC (“OJG”); this new license with OJG also includes other new celebrity brands that the Company plans to launch in 2023 and beyond. For the Halston Brand, management plans on entering into a joint venture related to the brand’s wholesale apparel business with another leading apparel manufacturer (the “Halston JV”). The Halston JV will develop an apparel business under the H Halston brand through department stores, e-commerce, and other retailers. The Halston JV will include a wholesale license to Xcel. Management expects the transition of these operating businesses to be completed by second quarter of 2023. Management believes that this evolution of the Company’s operating model will provide the Company with significant cost savings and allow the Company to reduce and better manage its exposure to operating risks. As of March 31, 2023, steps have been taken to reduce payroll costs by $6 million and operating expenses by $7 million over the next twelve months. Further, the Company intends to obtain a line of credit to provide additional capital resources. However, there is no assurance that this line of credit or any other external financing will be obtained.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these recent changes in the Company’s business model, management expects to generate adequate cash flows to meet the Company’s operating and capital expenditure needs, for at least the twelve months subsequent to the filing date of this Annual Report on Form 10-K, and therefore, such conditions and uncertainties with respect to the Company’s ability to continue as a going concern as of December 31, 2022, have subsequently been alleviated. </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Principles of Consolidation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accounts of Xcel, its wholly owned subsidiaries, and entities in which Xcel has a controlling financial interest as of and for the years ended December 31, 2022 (the "Current Year") and 2021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deems the following items to require significant estimates from management:</w:t>
      </w:r>
    </w:p>
    <w:p>
      <w:pPr>
        <w:pStyle w:val="TextBody"/>
        <w:spacing w:before="0" w:after="240"/>
        <w:ind w:left="396" w:right="0" w:hanging="0"/>
        <w:jc w:val="both"/>
        <w:rPr/>
      </w:pPr>
      <w:r>
        <w:rPr/>
        <w:t>●</w:t>
      </w:r>
      <w:r>
        <w:rPr>
          <w:rFonts w:ascii="Times New Roman;Times;serif" w:hAnsi="Times New Roman;Times;serif"/>
          <w:sz w:val="20"/>
        </w:rPr>
        <w:t>Allowance for doubtful accounts;</w:t>
      </w:r>
    </w:p>
    <w:p>
      <w:pPr>
        <w:pStyle w:val="TextBody"/>
        <w:spacing w:before="0" w:after="240"/>
        <w:ind w:left="396" w:right="0" w:hanging="0"/>
        <w:jc w:val="both"/>
        <w:rPr/>
      </w:pPr>
      <w:r>
        <w:rPr/>
        <w:t>●</w:t>
      </w:r>
      <w:r>
        <w:rPr>
          <w:rFonts w:ascii="Times New Roman;Times;serif" w:hAnsi="Times New Roman;Times;serif"/>
          <w:sz w:val="20"/>
        </w:rPr>
        <w:t>Useful lives of trademarks;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396" w:right="0" w:hanging="0"/>
        <w:jc w:val="both"/>
        <w:rPr/>
      </w:pPr>
      <w:r>
        <w:rPr/>
        <w:t>●</w:t>
      </w:r>
      <w:r>
        <w:rPr>
          <w:rFonts w:ascii="Times New Roman;Times;serif" w:hAnsi="Times New Roman;Times;serif"/>
          <w:sz w:val="20"/>
        </w:rPr>
        <w:t>Assumptions used in the valuation of intangible assets, including cash flow estimates for initial determinations of fair value and/or impairment analysis; and</w:t>
      </w:r>
    </w:p>
    <w:p>
      <w:pPr>
        <w:pStyle w:val="TextBody"/>
        <w:ind w:left="396" w:right="0" w:hanging="0"/>
        <w:jc w:val="both"/>
        <w:rPr/>
      </w:pPr>
      <w:r>
        <w:rPr/>
        <w:t>●</w:t>
      </w:r>
      <w:r>
        <w:rPr>
          <w:rFonts w:ascii="Times New Roman;Times;serif" w:hAnsi="Times New Roman;Times;serif"/>
          <w:sz w:val="20"/>
        </w:rPr>
        <w:t>Stock-based compensation.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and Cash Equivalents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highly liquid investments with original maturities of three months or less are considered to be cash equivalents.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Accounts Receivable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reported net of the allowance for doubtful accounts. The allowance for doubtful accounts is based on the Company’s ongoing discussions with its licensees, wholesale and digital customers, and its evaluation of each customer’s payment history, account aging, and financial position.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and 2021, the Company had $5.1 million and $7.6 million, respectively, of accounts receivable, net of allowances for doubtful accounts of $0.1 million and $1.1 million, respectively. The Company recognized bad debt expense of $0.4 million and $0.1 million for the Current Year and Prior Year, respectively, which was related to the bankruptcy of several retail customers due to the novel coronavirus disease pandemic. The Company wrote-off approximately $1.5 million of such customers’ outstanding receivable balances in the Current Year.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earned revenue that has been accrued but not billed as of December 31, 2022 and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approximately $1.7 million of the Company's outstanding receivables were assigned to a third-party agent pursuant to a services agreement entered into during the Current Year, under which the Company assigned, for purposes of collection only, the right to collect certain specified receivables on the Company's behalf and solely for the Company's benefit. Under such agreement, the Company retains ownership of such assigned receivables, and receives payment from the agent (less certain fees charged by the agent) upon the agent's collection of the receivables from customers. During the Current Year, the Company paid approximately $0.05 million in fees to the agent under the aforementioned services agreement.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Inventory is recorded at the lower of cost or net realizable value, with cost determined on a weighted average basis. The Company holds finished goods inventory for its direct-to-consumer operations. Apparel and jewelry finished goods inventory is purchased to satisfy orders received from its wholesale operations. The Company periodically reviews the composition of its inventories in order to identify obsolete, slow-moving or otherwise non-saleable items. If non-saleable items are observed and there are no alternate uses for the inventories, the Company will record a write-down to net realizable value in the period that the decline in value is first recognized. Write-downs for inventory shrinkage, representing the risk of physical loss of inventory, are estimated based on historical experience and are adjusted based upon physical inventory counts.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Property and Equipment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Furniture, equipment, and software are stated at cost less accumulated depreciation and amortization, and are depreciated using the straight-line method over their estimated useful lives,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(3) to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(7) years. Depreciation expense for the years ended December 31, 2022 and 2021 was approximately $1.1 million and $1.3 million,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Leasehold improvements are amortized over the shorter of their estimated useful lives or the terms of the leases. Betterments and improvements are capitalized, while repairs and maintenance are expensed as incurred.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long-lived property and equipment assets are reviewed for impairment whenever events or changes in circumstances indicate that their carrying value may not be recoverable. An impairment loss is recognized if the carrying amount of an asset is not recoverable and its carrying amount exceeds its fair value. With reference to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 impairment analysis are classified as Level 3 inputs within the fair value hierarchy as defined in Financial Accounting Standards Board (“FASB”) Accounting Standards Codification (“ASC”) Topic 820, “Fair Value Measurement.”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management’s decision to close its brick-and-mortar fine jewelry retail store, the Company recognized a $0.7 million impairment charge in the Prior Year related to furniture and fixtures, equipment, and leasehold improvement assets of the store, and a $0.7 million impairment charge in the Prior Year related to the operating lease right-of-use asset for the store. Separately, the Company recognized impairment charges of $0.3 million in the Current Year related to store fixtures purchased for an apparel program with one of the Company’s retail partners.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Trademarks and Other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FASB ASC Topic 350, “Intangibles - Goodwill and Other.” Under this standard, goodwill and indefinite-lived intangible assets are not amortized, but are required to be assessed for impairment at least annually (the Company utilizes December 31 as its testing date) and when events occur or circumstances change that would more likely than not reduce the fair value of the asset below its carrying amount.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Indefinite-Lived Intangible Asset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tests its indefinite-lived intangible asset for recovery in accordance with ASC-820-10-55-3F, which states that the income approach (“Income Approach”) converts future amounts (for example cash flows) 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recoverable amount of the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performed its annual impairment testing as described above for the year ended December 31, 2021, and concluded that there was no impairment of its indefinite-lived intangible asset. The Company subsequently sold its indefinite-lived intangible asset during the Current Year for a gain (see Note 3 for additional details).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Finite-Lived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With reference to finite-lived intangible assets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 The inputs utilized in the finite-lived intangible assets impairment analysis are classified as Level 3 inputs within the fair value hierarchy as defined in ASC Topic 820, “Fair Value Measurement.”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 impairment charges were recorded related to finite-lived intangible assets for the Current Year or Prior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finite-lived intangible assets are amortized over their estimated useful lives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(3) to </w:t>
      </w:r>
      <w:r>
        <w:rPr>
          <w:rFonts w:ascii="Times New Roman;Times;serif" w:hAnsi="Times New Roman;Times;serif"/>
          <w:b w:val="false"/>
          <w:i w:val="false"/>
          <w:caps w:val="false"/>
          <w:smallCaps w:val="false"/>
          <w:sz w:val="20"/>
        </w:rPr>
        <w:t>eighteen</w:t>
      </w:r>
      <w:r>
        <w:rPr>
          <w:rFonts w:ascii="Times New Roman;Times;serif" w:hAnsi="Times New Roman;Times;serif"/>
          <w:sz w:val="20"/>
        </w:rPr>
        <w:t xml:space="preserve"> (18) years. The Company re-evaluates the remaining useful life of its finite-lived intangible assets on an annual basis, based on consideration of current events and circumstances, the expected use of the asset, and the effects of demand, competition, and other economic factors. No changes were made to the estimated useful lives of intangible assets in the Current Year or Prior Year.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Restricted Cash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was $0.7 million as of December 31, 2021. This balance consisted of cash deposited as collateral for an irrevocable standby letter of credit associated with the lease of the Company’s current corporate office and operating facility at 1333 Broadway, New York City. There was no restricted cash at December 31, 2022, as the aforementioned letter of credit expired and was not renewed.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Investments in Unconsolidated Affiliates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holds a noncontrolling equity interest in IM Topco, LLC, which was entered into during the Current Year (see Note 3 for additional details). This investment is accounted for in accordance with ASC Topic 323, “Investments – Equity Method and Joint Ventures,” as the Company has the ability to exercise significant influence over operating and financial policies but does not control the affiliate. As of December 31, 2022, the carrying value of this investment on the Company’s consolidated balance sheet was $19.2 million. The Company recognizes its share of the ongoing operating results of IM Topco LLC (based on the distribution provisions set forth in the related business venture agreement) as other income (expense) in the accompanying consolidated statement of operations for the Current Year.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holds a limited partner ownership interest in an unconsolidated affiliate, which was entered into in 2016. This investment is accounted for in accordance with ASC Topic 321, “Investments – Equity Securities,” and is included within other assets on the Company’s consolidated balance sheets at December 31, 2022 and 2021. As of December 31, 2022 and 2021, the carrying value of this investment was $0.1 million. This investment does not have a readily determinable fair value and in accordance with ASC 820-10-35-59, the investment is valued at cost, less impairment, plus or minus observable price changes of an identical or similar investment of the same issuer.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Deferred Finance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previously incurred costs (primarily professional fees and lender underwriting fees) in connection with borrowings under senior secured term loans. Such costs were deferred on the consolidated balance sheet as a reduction to the carrying value of the associated borrowing, and were amortized as interest expense using the effective interest method.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Contingent Obligations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contingent obligations in connection with the acquisitions of the Halston Heritage trademarks in 2019 and the LOGO by Lori Goldstein trademarks in 2021. See Note 3 and Note 9 for additional information related to contingent obligations.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applicable accounting guidance, the Company is required to carry such contingent liability balances on its consolidated balance sheet until the measurement period of the earn-out expires and all related contingencies have been resolved.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the guidance in ASC Topic 606, “Revenue from Contracts with Customers” to recognize revenue.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Licensing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continuously over time as it satisfies its continuous obligation of granting access to its licensed intellectual properties, which are deemed symbolic intellectual properties under the applicable revenue accounting guidance.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the Company’s consolidated balance sheets at December 31, 2022 and 2021. In accordance with ASC 606-10-55-65, the Company recognizes net licensing revenue at the later of when (1) the subsequent sale or usage occurs or (2) the performance obligation to which some or all of the sales- or usage-based royalty has been allocated is satisfied (in whole or in part). More specifically, the Company separately identifies:</w:t>
      </w:r>
    </w:p>
    <w:tbl>
      <w:tblPr>
        <w:tblW w:w="10205" w:type="dxa"/>
        <w:jc w:val="left"/>
        <w:tblInd w:w="0" w:type="dxa"/>
        <w:tblCellMar>
          <w:top w:w="28" w:type="dxa"/>
          <w:left w:w="28" w:type="dxa"/>
          <w:bottom w:w="28" w:type="dxa"/>
          <w:right w:w="28" w:type="dxa"/>
        </w:tblCellMar>
      </w:tblPr>
      <w:tblGrid>
        <w:gridCol w:w="124"/>
        <w:gridCol w:w="239"/>
        <w:gridCol w:w="9842"/>
      </w:tblGrid>
      <w:tr>
        <w:trPr/>
        <w:tc>
          <w:tcPr>
            <w:tcW w:w="12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4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tc>
      </w:tr>
    </w:tbl>
    <w:tbl>
      <w:tblPr>
        <w:tblW w:w="10205" w:type="dxa"/>
        <w:jc w:val="left"/>
        <w:tblInd w:w="0" w:type="dxa"/>
        <w:tblCellMar>
          <w:top w:w="28" w:type="dxa"/>
          <w:left w:w="28" w:type="dxa"/>
          <w:bottom w:w="28" w:type="dxa"/>
          <w:right w:w="28" w:type="dxa"/>
        </w:tblCellMar>
      </w:tblPr>
      <w:tblGrid>
        <w:gridCol w:w="124"/>
        <w:gridCol w:w="297"/>
        <w:gridCol w:w="9784"/>
      </w:tblGrid>
      <w:tr>
        <w:trPr/>
        <w:tc>
          <w:tcPr>
            <w:tcW w:w="12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typically perform by transferring goods or services to customers before the customer pays consideration or before payment is due, thus the amounts of contract assets as defined by ASC 606-10-45-3 related to licensing contracts were not material as of December 31, 2022 and 2021. The Company’s unconditional right to receive consideration based on the terms and conditions of licensing contracts is presented as accounts receivable on the accompanying consolidated balance sheets. The Company typically does not receive consideration in advance of performance and, consequently, amounts of contract liabilities as defined by ASC 606-10-45-2 related to licensing contracts were not material as of December 31, 2022 and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2022 are expected to be recognized ratably in accordance with View C over the remaining term of each contract based on the passage of time and through December 2024, subject to renewal or extension upon termination.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Wholesale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through the design, sourcing, and sale of branded jewelry and apparel to both domestic and international customers who, in turn, sell the products to the consumer. The Company recognizes revenue within net sales in the accompanying consolidated statements of operations when performance obligations identified under the terms of contracts with its customers are satisfied, which occurs upon the transfer of control of the merchandise in accordance with the contractual terms and conditions of the sale. Shipping to customers is accounted for as a fulfillment activity and is recorded within other selling, general and administrative expenses.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Direct to Consumer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revenue associated with its e-commerce businesses is recognized within net sales in the accompanying consolidated statements of operations at the point in time when product is shipped to the customer. Shipping to customers is accounted for as a fulfillment activity and is recorded within other selling, general and administrative expenses. The Company’s revenue related to its brick-and-mortar retail store is recognized within net sales in the accompanying consolidated statements of operations at the point of sale to the customer.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Advertising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approximately $2.6 million and $2.5 million in advertising and marketing costs for the Current Year and Prior Year, respectively, which are included within other selling, general and administrative expenses in the accompanying consolidated statements of operations.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if an arrangement is a lease (as defined in ASC Topic 842, “Leases”) at the inception of the arrangement. 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life of the awards and the expected stock price volatility over the terms of the awards. The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risk-free rate is based on the U.S. Treasury rate for the expected term at the time of grant, volatility is based on the historical volatility of the Company’s common stock, and the expected dividend assumption is based on the Company’s history and expectation of dividend payouts.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Restricted stock awards are valued using the fair value of the Company’s stock at the date of grant, based on the quoted market price of the Company’s common shares on the NASDAQ Global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Non-employee awards are measured at the grant date fair value of the equity instruments to be issued, and the Company recognizes compensation cost for grants to non-employees on a straight-line basis over the period of the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forfeitures as a reduction of compensation cost in the period when such forfeitures occur.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2022 and 2021. Interest and penalties related to uncertain tax positions, if any, are recorded in income tax expense. Tax years that remain open for assessment for federal and state tax purposes include the years ended December 31, 2019 through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income tax effects of changes in tax laws are recognized in the period when enacted.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ASC Topic 820, “Fair Value Measurement,”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certain of the Company’s financial instruments, including cash and cash equivalents, restricted cash, accounts receivable, and accounts payable, the carrying amounts approximate fair value due to the short-term maturities of these instruments. The carrying value of term loan debt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Concentrations of Credit Risk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principally of cash and cash equivalents, restricted cash, and accounts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Earnings (Loss)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(loss) per share is computed by dividing net income (loss)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June 2016, the FASB issued Accounting Standards Update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Subsequently, the FASB issued additional guidance in ASU No. 2019-05 in May 2019, ASU No. 2019-10 and 2019-11 in November 2019, ASU No. 2020-02 in February 2020, and ASU No. 2022-02 in March 2022. Among other things, the additional guidance deferred the application of the new guidance on credit losses for smaller reporting companies to fiscal years beginning after December 15, 2022, including interim periods within those fiscal years. The Company is currently evaluating the new guidance to determine the impact the adoption of this guidance will have on the Company’s results of operations, cash flows, and financial condition when it is adopted during the first quarter of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adopted ASU No. 2019-12, “Income Taxes (Topic 740): Simplifying the Accounting for Income Taxes” effective January 1, 2021.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the Company’s results of operations, cash flows, and financial condition.</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adopted ASU No. 2021-10, “Government Assistance (Topic 823): Disclosures by Business Entities about Government Assistance.” This ASU requires certain financial statement disclosures about transactions with a government that are accounted for by applying a grant or contribution accounting model by analogy. As this ASU only affects financial statement disclosures, the adoption of this guidance did not have any impact on the Company’s results of operations, cash flows, or financial condition.</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654" w:name="Tc_pc_78SxKtU-UALXZSLzxvA_7_2"/>
      <w:bookmarkStart w:id="655" w:name="Tc_uRADkym630aaBC8QT3OpUg_7_0"/>
      <w:bookmarkStart w:id="656" w:name="Tc_O1bIUEJbpkaFjRQewrcUVg_6_0"/>
      <w:bookmarkStart w:id="657" w:name="Tc_uiR8guLDskist8yAFhNYkA_5_0"/>
      <w:bookmarkStart w:id="658" w:name="Tc_TjS1-y1ZBke5N3bxFc7hsQ_4_0"/>
      <w:bookmarkStart w:id="659" w:name="Tc_-Op8GmgFkESz094byB4isw_3_0"/>
      <w:bookmarkStart w:id="660" w:name="Tc_uIKUXg24aUOCn1dxSBp3qQ_2_2"/>
      <w:bookmarkStart w:id="661" w:name="Tc_xtZQNVASCE2BsLFop7JBRw_2_0"/>
      <w:bookmarkStart w:id="662" w:name="Tc_3nJz8k4JQE6LqOLNnRu_dQ_1_0"/>
      <w:bookmarkEnd w:id="654"/>
      <w:bookmarkEnd w:id="655"/>
      <w:bookmarkEnd w:id="656"/>
      <w:bookmarkEnd w:id="657"/>
      <w:bookmarkEnd w:id="658"/>
      <w:bookmarkEnd w:id="659"/>
      <w:bookmarkEnd w:id="660"/>
      <w:bookmarkEnd w:id="661"/>
      <w:bookmarkEnd w:id="662"/>
      <w:r>
        <w:rPr>
          <w:rFonts w:ascii="Times New Roman;Times;serif" w:hAnsi="Times New Roman;Times;serif"/>
          <w:b/>
          <w:sz w:val="20"/>
        </w:rPr>
        <w:t>3. Acquisitions, Divestitures and Variable Interest Entities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Acquisition of LOGO by Lori Goldstein Brand</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On March 30, 2021, the Company and its wholly owned subsidiary, Gold Licensing, LLC, entered into an asset purchase agreement (the “Asset Purchase Agreement”) with Lori Goldstein, Ltd. (the “Seller”) and Lori Goldstein (“Shareholder”), pursuant to which the Company agreed to acquire, and the Seller and Shareholder agreed to sell, certain assets of the Seller, including the “LOGO by Lori Goldstein” trademark and other intellectual property rights relating thereto. On April 1, 2021 (the “Closing Date”), the Company completed the acquisition of the assets specified in the Asset Purchase Agreement.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Asset Purchase Agreement, on the Closing Date, the Company delivered $1.6 million in cash consideration to the Seller. In addition, the Company was required to deliver $2.0 million in cash consideration to the Seller on the earlier of (i) the Company’s receipt of the first royalty payment from QVC, Inc. in respect of the acquired assets, or (ii) July 29, 2021. This payment was made in July 2021.</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addition to the consideration described above, the Seller is eligible to earn additional consideration of up to $12.5 million (the “Lori Goldstein Earn-Out”), which would be payable, in cash, within 45 days after the end of each applicable calendar year during the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calendar year period commencing 2021 in an amount equal to 75% percent of the Royalty Contribution (as defined in the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ASC Subtopic 805-50. Based on the performance of the Lori Goldstein brand through December 31, 2022, approximately $0.2 million of additional consideration has been earned and is payable to the Seller in 2023.</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LOGO by Lori Goldstein brand acquisition was accounted for as an asset purchase. The following represents the aggregate purchase price of $10.3 million:</w:t>
      </w:r>
    </w:p>
    <w:p>
      <w:pPr>
        <w:pStyle w:val="TextBody"/>
        <w:spacing w:before="0" w:after="0"/>
        <w:ind w:left="0" w:right="0" w:hanging="0"/>
        <w:rPr/>
      </w:pPr>
      <w:r>
        <w:rPr/>
        <w:t>​</w:t>
      </w:r>
    </w:p>
    <w:tbl>
      <w:tblPr>
        <w:tblW w:w="5399" w:type="dxa"/>
        <w:jc w:val="left"/>
        <w:tblInd w:w="0" w:type="dxa"/>
        <w:tblCellMar>
          <w:top w:w="0" w:type="dxa"/>
          <w:left w:w="0" w:type="dxa"/>
          <w:bottom w:w="0" w:type="dxa"/>
          <w:right w:w="0" w:type="dxa"/>
        </w:tblCellMar>
      </w:tblPr>
      <w:tblGrid>
        <w:gridCol w:w="4081"/>
        <w:gridCol w:w="326"/>
        <w:gridCol w:w="211"/>
        <w:gridCol w:w="781"/>
      </w:tblGrid>
      <w:tr>
        <w:trPr/>
        <w:tc>
          <w:tcPr>
            <w:tcW w:w="40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40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r>
      <w:tr>
        <w:trPr/>
        <w:tc>
          <w:tcPr>
            <w:tcW w:w="40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at closing</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40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subsequent to closing</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40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direct initial consideration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3,645</w:t>
            </w:r>
          </w:p>
        </w:tc>
      </w:tr>
      <w:tr>
        <w:trPr/>
        <w:tc>
          <w:tcPr>
            <w:tcW w:w="40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 transaction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0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Contingent obligation (Lori Goldstein Earn-Out)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6,639</w:t>
            </w:r>
          </w:p>
        </w:tc>
      </w:tr>
      <w:tr>
        <w:trPr/>
        <w:tc>
          <w:tcPr>
            <w:tcW w:w="40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10,300</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aggregate purchase price was allocated entirely to the trademarks of the brand. Such trademarks have been determined by management to have a finite useful life, and accordingly, amortization is recorded in the Company’s consolidated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statements of operations. The Lori Goldstein trademarks are being amortized on a straight-line basis over their expected useful life of four years.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Upon the consummation of the acquisition of the LOGO by Lori Goldstein brand as described above, the Company incurred cash bonuses totaling $175,000 to certain members of the Company’s senior management, such success-related bonuses having been approved by the Board of Directors on March 18, 2021. These bonuses were expensed on the Closing Date and were subsequently paid in May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concurrent with the acquisition, the Company also entered into a 10-year employment agreement with the Shareholder to serve as the LOGO by Lori Goldstein brand’s Chief Creative Officer and Spokesperson, with a base salary of $0.9 million per annum through December 31, 2021 and $1.2 million per annum thereafter, and the opportunity to earn additional incentives based on the future net royalties related to the brand. Further, the Company concurrently entered into a consulting agreement with the Seller to provide creative advice and consultation, for a fee of $0.6 million per annum through December 31, 2021 and $0.8 million per annum thereafter. The Company therefore recognized $1.2 million and $0.9 million of salary expense within salaries, benefits and employment taxes in the accompanying consolidated statements of operations, and $0.8 million and $0.6 million of consulting expense within other selling, general and administrative expenses in the accompanying consolidated statements of operations, in the Current Year and Prior Year, respectively, related to such agreements.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Sale of Majority Interest in Isaac Mizrahi Brand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price paid by WHP to the Company at the closing of the transaction in exchange for the 70% membership interest in IM Topco consisted of $46.2 million in cash. Pursuant to the purchase agreement, the Company will also be entitled to receive an “earn-out” payment in the amount of $2.0 million if, during the period from January 1, 2023 through December 31, 2023, (i) IM Topco receives Net Royalty Revenue (as defined in the purchase agreement) in an amount equal to or greater than $17.5 million and (ii) IM Topco generates EBITDA (as defined in the purchase agreement) in an amount equal to or greater than $11.8 million. Additionally, in the event that IM Topco receives less than $13.347 million in aggregate royalties for any four consecutive calendar quarters over a three-year period ending on the third anniversary of the closing, WHP will be entitled to receive from the Company up to $16 million, less all amounts of net cash flow distributed to WHP for such period, as an adjustment to the purchase price, payable in either cash or equity interests in IM Topco held by the Company. Based on IM Topco’s earnings from May 31, 2022 through December 31, 2022 and the applicable distribution provisions, WHP earned $4.32 million in cash flow, which reduces the potential purchase price adjustment to $11.68 million.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aforementioned membership purchase agreement, on May 31, 2022, the Company and WHP entered into an Amended and Restated Limited Liability Company Agreement of IM Topco (the “Business Venture Agreement”) governing the operation of IM Topco as a partnership between the Company and WHP following the closing. Pursuant to the Business Venture Agreement, IM Topco is managed by a single Manager appointed by the vote of a majority-in-interest of IM Topco’s members, and WHP serves as the sole Manager of IM Topco. The Business Venture Agreement contains customary provisions for the governance of a partnership, including with respect to decision making, access to information, restrictions on transfer of interests, and covenants.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Business Venture Agreement, IM Topco’s Net Cash Flow (as defined in the agreement) shall be distributed to the members during each fiscal year no less than once per fiscal quarter, as follows:</w:t>
      </w:r>
    </w:p>
    <w:tbl>
      <w:tblPr>
        <w:tblW w:w="9486" w:type="dxa"/>
        <w:jc w:val="left"/>
        <w:tblInd w:w="0" w:type="dxa"/>
        <w:tblCellMar>
          <w:top w:w="28" w:type="dxa"/>
          <w:left w:w="28" w:type="dxa"/>
          <w:bottom w:w="28" w:type="dxa"/>
          <w:right w:w="28" w:type="dxa"/>
        </w:tblCellMar>
      </w:tblPr>
      <w:tblGrid>
        <w:gridCol w:w="124"/>
        <w:gridCol w:w="286"/>
        <w:gridCol w:w="907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07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first, 100%</w:t>
            </w:r>
            <w:r>
              <w:rPr>
                <w:caps w:val="false"/>
                <w:smallCaps w:val="false"/>
              </w:rPr>
              <w:t xml:space="preserve"> </w:t>
            </w:r>
            <w:r>
              <w:rPr>
                <w:rFonts w:ascii="Times New Roman;Times;serif" w:hAnsi="Times New Roman;Times;serif"/>
                <w:b w:val="false"/>
                <w:i w:val="false"/>
                <w:caps w:val="false"/>
                <w:smallCaps w:val="false"/>
                <w:sz w:val="20"/>
              </w:rPr>
              <w:t>to WHP, until WHP has received an aggregate amount during such fiscal year equal to $8,852,000;</w:t>
            </w:r>
          </w:p>
        </w:tc>
      </w:tr>
    </w:tbl>
    <w:tbl>
      <w:tblPr>
        <w:tblW w:w="10056" w:type="dxa"/>
        <w:jc w:val="left"/>
        <w:tblInd w:w="0" w:type="dxa"/>
        <w:tblCellMar>
          <w:top w:w="28" w:type="dxa"/>
          <w:left w:w="28" w:type="dxa"/>
          <w:bottom w:w="28" w:type="dxa"/>
          <w:right w:w="28" w:type="dxa"/>
        </w:tblCellMar>
      </w:tblPr>
      <w:tblGrid>
        <w:gridCol w:w="124"/>
        <w:gridCol w:w="346"/>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5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second, 100%</w:t>
            </w:r>
            <w:r>
              <w:rPr>
                <w:caps w:val="false"/>
                <w:smallCaps w:val="false"/>
              </w:rPr>
              <w:t xml:space="preserve"> </w:t>
            </w:r>
            <w:r>
              <w:rPr>
                <w:rFonts w:ascii="Times New Roman;Times;serif" w:hAnsi="Times New Roman;Times;serif"/>
                <w:b w:val="false"/>
                <w:i w:val="false"/>
                <w:caps w:val="false"/>
                <w:smallCaps w:val="false"/>
                <w:sz w:val="20"/>
              </w:rPr>
              <w:t>to Xcel, until Xcel has received an aggregate amount during such fiscal year equal to $1,316,200; and</w:t>
            </w:r>
          </w:p>
        </w:tc>
      </w:tr>
    </w:tbl>
    <w:tbl>
      <w:tblPr>
        <w:tblW w:w="6471" w:type="dxa"/>
        <w:jc w:val="left"/>
        <w:tblInd w:w="0" w:type="dxa"/>
        <w:tblCellMar>
          <w:top w:w="28" w:type="dxa"/>
          <w:left w:w="28" w:type="dxa"/>
          <w:bottom w:w="28" w:type="dxa"/>
          <w:right w:w="28" w:type="dxa"/>
        </w:tblCellMar>
      </w:tblPr>
      <w:tblGrid>
        <w:gridCol w:w="124"/>
        <w:gridCol w:w="40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in proportion to the members’ respective ownership interests.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amounts described in (i) and (ii) above are subject to adjustment in certain circumstances as set forth in the Business Venture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entered into a number of other related agreements on May 31, 2022 in connection with the transaction, as described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entered into a services agreement with IM Topco, pursuant to which the Company will provide certain design and support services (including assistance with the operations of the interactive television business and related talent support) to IM Topco in exchange for payments of $0.3</w:t>
            </w:r>
            <w:r>
              <w:rPr>
                <w:caps w:val="false"/>
                <w:smallCaps w:val="false"/>
              </w:rPr>
              <w:t xml:space="preserve"> </w:t>
            </w:r>
            <w:r>
              <w:rPr>
                <w:rFonts w:ascii="Times New Roman;Times;serif" w:hAnsi="Times New Roman;Times;serif"/>
                <w:b w:val="false"/>
                <w:i w:val="false"/>
                <w:caps w:val="false"/>
                <w:smallCaps w:val="false"/>
                <w:sz w:val="20"/>
              </w:rPr>
              <w:t>million per fiscal year.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guaranteed royalties of $0.4</w:t>
            </w:r>
            <w:r>
              <w:rPr>
                <w:caps w:val="false"/>
                <w:smallCaps w:val="false"/>
              </w:rPr>
              <w:t xml:space="preserve"> </w:t>
            </w:r>
            <w:r>
              <w:rPr>
                <w:rFonts w:ascii="Times New Roman;Times;serif" w:hAnsi="Times New Roman;Times;serif"/>
                <w:b w:val="false"/>
                <w:i w:val="false"/>
                <w:caps w:val="false"/>
                <w:smallCaps w:val="false"/>
                <w:sz w:val="20"/>
              </w:rPr>
              <w:t>million per year to IM Topco.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licensing agreement with Qurate Retail Group related to the Isaac Mizrahi Brand (see Note 5) was assigned to IM Topco as of May 31,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Company’s employment agreement with Mr. Mizrahi and the Company’s services agreement with Laugh Club (see Note 11) were transferred to IM Topco. In addition, all 522,500</w:t>
            </w:r>
            <w:r>
              <w:rPr>
                <w:caps w:val="false"/>
                <w:smallCaps w:val="false"/>
              </w:rPr>
              <w:t xml:space="preserve"> </w:t>
            </w:r>
            <w:r>
              <w:rPr>
                <w:rFonts w:ascii="Times New Roman;Times;serif" w:hAnsi="Times New Roman;Times;serif"/>
                <w:b w:val="false"/>
                <w:i w:val="false"/>
                <w:caps w:val="false"/>
                <w:smallCaps w:val="false"/>
                <w:sz w:val="20"/>
              </w:rPr>
              <w:t>unvested shares of restricted stock of the Company held by Mr. Mizrahi (for which all stock-based compensation expense had been previously recognized in prior periods) were immediately vested, with 240,000</w:t>
            </w:r>
            <w:r>
              <w:rPr>
                <w:caps w:val="false"/>
                <w:smallCaps w:val="false"/>
              </w:rPr>
              <w:t xml:space="preserve"> </w:t>
            </w:r>
            <w:r>
              <w:rPr>
                <w:rFonts w:ascii="Times New Roman;Times;serif" w:hAnsi="Times New Roman;Times;serif"/>
                <w:b w:val="false"/>
                <w:i w:val="false"/>
                <w:caps w:val="false"/>
                <w:smallCaps w:val="false"/>
                <w:sz w:val="20"/>
              </w:rPr>
              <w:t>of such shares being surrendered for cancellation in satisfaction of withholding tax obligations. In addition, the Company issued 33,557</w:t>
            </w:r>
            <w:r>
              <w:rPr>
                <w:caps w:val="false"/>
                <w:smallCaps w:val="false"/>
              </w:rPr>
              <w:t xml:space="preserve"> </w:t>
            </w:r>
            <w:r>
              <w:rPr>
                <w:rFonts w:ascii="Times New Roman;Times;serif" w:hAnsi="Times New Roman;Times;serif"/>
                <w:b w:val="false"/>
                <w:i w:val="false"/>
                <w:caps w:val="false"/>
                <w:smallCaps w:val="false"/>
                <w:sz w:val="20"/>
              </w:rPr>
              <w:t>additional shares of common stock of the Company (valued at $50,000) to Mr. Mizrahi, which vested immediately, and made a $100,000</w:t>
            </w:r>
            <w:r>
              <w:rPr>
                <w:caps w:val="false"/>
                <w:smallCaps w:val="false"/>
              </w:rPr>
              <w:t xml:space="preserve"> </w:t>
            </w:r>
            <w:r>
              <w:rPr>
                <w:rFonts w:ascii="Times New Roman;Times;serif" w:hAnsi="Times New Roman;Times;serif"/>
                <w:b w:val="false"/>
                <w:i w:val="false"/>
                <w:caps w:val="false"/>
                <w:smallCaps w:val="false"/>
                <w:sz w:val="20"/>
              </w:rPr>
              <w:t>cash payment to Mr. Mizrahi.</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assessed and evaluated the ownership structure and other terms of the May 27, 2022 membership purchase agreement and Business Venture Agreement, as well as considered the Company’s continuing involvement with the Isaac Mizrahi Brand through the aforementioned services agreement and licensing agreement, and concluded that (i) IM Topco is not a Variable Interest Entity under ASC Topic 810, and (ii) the Company has significant influence over, but does not control, IM Topco. As such, on May 31, 2022, the Company de-recognized the carrying amount of the Isaac Mizrahi Brand trademarks of $44.5 million and recognized the fair value of its retained interest in IM Topco of approximately $19.8 million as an equity method investment on the accompanying consolidated balance sheet. The fair value of the Company’s retained interest was determined by applying the Company’s ownership percentage to the implied enterprise value of IM Topco, which was calculated based on the price paid by WHP for the 70% controlling interest, as the May 31, 2022 sale transaction was considered an arms-length transaction between knowledgeable market participants and the most relevant and reasonable indication of value to utilize. The inputs and assumptions for this nonrecurring fair value measurement are classified as Level 3 within the fair value hierarchy defined in ASC Topic 820.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bookmarkStart w:id="663" w:name="Tc_74s6WZAUnkCsApOXHIY8sg_5_0"/>
      <w:bookmarkStart w:id="664" w:name="Tc_QXlCIZ7ZsE2TArJV_pLY-g_4_0"/>
      <w:bookmarkStart w:id="665" w:name="Tc_H06FR5IElU6gIRo-4yjr6g_3_0"/>
      <w:bookmarkStart w:id="666" w:name="Tc_K3pUtCXDUUedS-7imN81jA_2_2"/>
      <w:bookmarkStart w:id="667" w:name="Tc__oZjh5XzykSk9EOSUgMHlw_2_0"/>
      <w:bookmarkStart w:id="668" w:name="Tc_YbECP6gGSk2CeDjoH7TE0g_1_0"/>
      <w:bookmarkEnd w:id="663"/>
      <w:bookmarkEnd w:id="664"/>
      <w:bookmarkEnd w:id="665"/>
      <w:bookmarkEnd w:id="666"/>
      <w:bookmarkEnd w:id="667"/>
      <w:bookmarkEnd w:id="668"/>
      <w:r>
        <w:rPr>
          <w:rFonts w:ascii="Times New Roman;Times;serif" w:hAnsi="Times New Roman;Times;serif"/>
          <w:sz w:val="20"/>
        </w:rPr>
        <w:t>The Company incurred approximately $0.9 million of expenses directly related to this transaction, including legal fees and agent fees, of which $0.1 million of the agent fees were paid through the issuance of 65,275 shares of the Company’s common stock, which were recognized as a reduction to the gain from the transaction. The Company recognized a net pre- tax gain from the transaction of $20.6 million, which is classified as other income in the consolidated statement of operations for the Current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amounts described above, the Company’s Board of Directors awarded cash bonuses totaling approximately $1.0 million to certain members of the Company’s senior management. These bonuses are included in Salaries, benefits and employment taxes in the accompanying consolidated statement of operations for Current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Current Year subsequent to the May 27, 2022 transaction, the Company made a capital contribution to IM Topco of $0.6 million in cash, which did not change the Company’s noncontrolling ownership interest of 30%.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its interest in the ongoing operations of IM Topco as other income (expense) under the equity method of accounting. The Company recognized an equity method loss of approximately $1.2 million related to its investment for the year ended December 31, 2022, based on the aforementioned distribution provisions and preferences set forth in the Business Venture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Summarized financial information for IM Topco for the period commencing May 31, 2022 (the date of the sale of a majority interest in IM Topco) through December 31, 2022 is as follows:</w:t>
      </w:r>
    </w:p>
    <w:p>
      <w:pPr>
        <w:pStyle w:val="TextBody"/>
        <w:spacing w:before="0" w:after="0"/>
        <w:ind w:left="0" w:right="0" w:hanging="0"/>
        <w:rPr/>
      </w:pPr>
      <w:r>
        <w:rPr/>
        <w:t>​</w:t>
      </w:r>
    </w:p>
    <w:tbl>
      <w:tblPr>
        <w:tblW w:w="3922" w:type="dxa"/>
        <w:jc w:val="left"/>
        <w:tblInd w:w="0" w:type="dxa"/>
        <w:tblCellMar>
          <w:top w:w="0" w:type="dxa"/>
          <w:left w:w="0" w:type="dxa"/>
          <w:bottom w:w="0" w:type="dxa"/>
          <w:right w:w="0" w:type="dxa"/>
        </w:tblCellMar>
      </w:tblPr>
      <w:tblGrid>
        <w:gridCol w:w="2986"/>
        <w:gridCol w:w="109"/>
        <w:gridCol w:w="211"/>
        <w:gridCol w:w="616"/>
      </w:tblGrid>
      <w:tr>
        <w:trPr/>
        <w:tc>
          <w:tcPr>
            <w:tcW w:w="29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rPr/>
            </w:pPr>
            <w:r>
              <w:rPr/>
              <w:t>​</w:t>
            </w:r>
          </w:p>
        </w:tc>
      </w:tr>
      <w:tr>
        <w:trPr/>
        <w:tc>
          <w:tcPr>
            <w:tcW w:w="29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in thousands)</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7,791</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7,791</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from continuing operations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1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317</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Longaberger Licensing, LLC Variable Interest Entity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is party to a limited liability company agreement (the “LLC Agreement”) with a subsidiary of Hilco Global related to Longaberger Licensing, LLC (“LL”). Hilco Global is the sole Class A Member of LL, and Xcel is the sole Class B Member of LL (each individually a “Member,” and collectively, the “Members”).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Prior Year, the Members made capital contributions to LL of $1.0 million each in order to fund LL’s working capital requirements. This resulted in increases to the carrying value of Hilco Global’s noncontrolling interest in LL for the Prior year of $1.0 million. The impacts of Xcel’s capital contributions were eliminated in consolidation.</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669" w:name="Tc_PhlYL3M6hUyZ9FTKTxZYBg_9_2"/>
      <w:bookmarkStart w:id="670" w:name="Tc_tcGXQmgkb0KPYBNDhy362g_9_0"/>
      <w:bookmarkStart w:id="671" w:name="Tc_Nr9ETzRxpUuHsBZ5gcF2Lw_8_0"/>
      <w:bookmarkStart w:id="672" w:name="Tc_N3GTsq3cLU2WfpLflydZVA_7_0"/>
      <w:bookmarkStart w:id="673" w:name="Tc_BlSfuTG68Ui1pe_1Mi21ng_6_0"/>
      <w:bookmarkStart w:id="674" w:name="Tc_ZQPY4G8DDUqLVOLejbIb3A_5_0"/>
      <w:bookmarkStart w:id="675" w:name="Tc_KzhPV_bhdk2bs7MFwy_KNA_4_0"/>
      <w:bookmarkStart w:id="676" w:name="Tc_qwuwPFa08UuDrJlcH0VT4Q_3_2"/>
      <w:bookmarkStart w:id="677" w:name="Tc_ZuNaHdTE-kKkd3JO2Tw85w_3_0"/>
      <w:bookmarkStart w:id="678" w:name="Tc_R5IppyYFJESLVIjJY4RJPQ_2_2"/>
      <w:bookmarkStart w:id="679" w:name="Tc_rSpAKIrenUeCirl9Fy6ygQ_2_0"/>
      <w:bookmarkStart w:id="680" w:name="Tc_4B97RhvoRE-Ktn5UtWHXSg_1_2"/>
      <w:bookmarkStart w:id="681" w:name="Tc_9W_eTP4LdkOBWIjknEmBUA_1_0"/>
      <w:bookmarkStart w:id="682" w:name="_48bb0e3c_2043_4329_9b17_bf34eeff66b7"/>
      <w:bookmarkStart w:id="683" w:name="Tc_4m8eHf2W4Eql1RocxBajPA_9_10"/>
      <w:bookmarkStart w:id="684" w:name="Tc_BnTJSvj3dkSA00204rBPaQ_9_7"/>
      <w:bookmarkStart w:id="685" w:name="Tc_xL4XEOjFXka-HxGrWYx5GQ_9_4"/>
      <w:bookmarkStart w:id="686" w:name="Tc_BHVnFdO5EUSuce153sTcIA_9_0"/>
      <w:bookmarkStart w:id="687" w:name="Tc_WSIdX0o2wEG1L9SvQw8s0A_8_0"/>
      <w:bookmarkStart w:id="688" w:name="Tc_8p-kbvTaZUeOD1_0h1NtZA_7_11"/>
      <w:bookmarkStart w:id="689" w:name="Tc_3Y9xKCRAXkmF5is9d97cxw_7_0"/>
      <w:bookmarkStart w:id="690" w:name="Tc_V7VoTwM3l0K9RPLIrWV6RQ_6_0"/>
      <w:bookmarkStart w:id="691" w:name="Tc_gOaTwmkz2k-4-Mv4JuylkA_5_10"/>
      <w:bookmarkStart w:id="692" w:name="Tc_E8lgqDObXEqPmYxaKKpvYA_5_8"/>
      <w:bookmarkStart w:id="693" w:name="Tc_o62ao03KAkyyfmEjoEjMcw_5_7"/>
      <w:bookmarkStart w:id="694" w:name="Tc_g01VDmXdTEG5Oik3Ggezvg_5_4"/>
      <w:bookmarkStart w:id="695" w:name="Tc_QPXs4yByT0y1gVbghADC5g_5_2"/>
      <w:bookmarkStart w:id="696" w:name="Tc_p8oHJHYEr0qJnDntq1kw0Q_5_0"/>
      <w:bookmarkStart w:id="697" w:name="Tc_PZ_EalJ-zU2vCVd7LCsDPg_4_10"/>
      <w:bookmarkStart w:id="698" w:name="Tc_6aX5Jxgkzk2SjWnKiyvF1w_4_7"/>
      <w:bookmarkStart w:id="699" w:name="Tc_Q2Anf1Yem02cmZ8vIQ4Adw_4_4"/>
      <w:bookmarkStart w:id="700" w:name="Tc_mjler69aokm5KiXellhjQQ_4_2"/>
      <w:bookmarkStart w:id="701" w:name="Tc_R27JN-DiDUueLz8n_9pY8g_4_0"/>
      <w:bookmarkStart w:id="702" w:name="Tc_DAW4Z2uNXUqIZSXpN7t_YQ_3_10"/>
      <w:bookmarkStart w:id="703" w:name="Tc_ugqNCA5qYkK-kG8ezDNbmw_3_7"/>
      <w:bookmarkStart w:id="704" w:name="Tc_x3tsjEaNlESK-T-DbTDApQ_3_4"/>
      <w:bookmarkStart w:id="705" w:name="Tc_QZH7W3AWtUeTctvXr0_5XA_3_2"/>
      <w:bookmarkStart w:id="706" w:name="Tc_Dmj4r_ckwEuQSdn5QM2fxQ_2_4"/>
      <w:bookmarkStart w:id="707" w:name="Tc_Ba5wUpRj50eFkKVt3B_lfw_2_2"/>
      <w:bookmarkStart w:id="708" w:name="Tc_wi3_s78M6Emxc-63kiPmUw_1_2"/>
      <w:bookmarkStart w:id="709" w:name="_83543f45_4236_409a_b454_2295c943c44f"/>
      <w:bookmarkStart w:id="710" w:name="Tc_sROTus8aSkC25wxh4b5LqQ_7_10"/>
      <w:bookmarkStart w:id="711" w:name="Tc_WUHyM8OWdUusMlsh4dL_HQ_7_7"/>
      <w:bookmarkStart w:id="712" w:name="Tc_fYehgibEqU2QyiRgvXOXGQ_7_4"/>
      <w:bookmarkStart w:id="713" w:name="Tc_MQVjS7Psf0q-usprSRM2yg_7_0"/>
      <w:bookmarkStart w:id="714" w:name="Tc_OVrAs0lGmESYORLP-IwFUA_6_0"/>
      <w:bookmarkStart w:id="715" w:name="Tc__hUzOWA9-kuVvJbp84aaDg_5_0"/>
      <w:bookmarkStart w:id="716" w:name="Tc_Xbvu6nEYNkyOyn1l_HS48w_4_10"/>
      <w:bookmarkStart w:id="717" w:name="Tc_wKQqFgDx3kaacL65m-0GAg_4_7"/>
      <w:bookmarkStart w:id="718" w:name="Tc_2JVuUQb6uU29Aq7QXTvt6g_4_4"/>
      <w:bookmarkStart w:id="719" w:name="Tc_fxwKP16ry0Gtef_J_3PukQ_4_2"/>
      <w:bookmarkStart w:id="720" w:name="Tc_IXzbsohr4UWCtDw232sAiQ_4_0"/>
      <w:bookmarkStart w:id="721" w:name="Tc_S-Ui3ylZgU2r23QTWNdCyA_3_10"/>
      <w:bookmarkStart w:id="722" w:name="Tc_mfvQTgGzMU69IX7MtJsf-Q_3_7"/>
      <w:bookmarkStart w:id="723" w:name="Tc_cFsEagPzIkWHen7AiYYVmg_3_4"/>
      <w:bookmarkStart w:id="724" w:name="Tc_UIbeakND7EOTmg2kR2QYbw_3_2"/>
      <w:bookmarkStart w:id="725" w:name="Tc_hXFZ44X_DEqOU4o_qWjbHA_2_4"/>
      <w:bookmarkStart w:id="726" w:name="Tc_ZlcxP8lhbUmekWdfy2LcCg_2_2"/>
      <w:bookmarkStart w:id="727" w:name="Tc_BVuOU7XgmE6PGDw_7CLkwg_1_2"/>
      <w:bookmarkStart w:id="728" w:name="_530c8f87_b496_424e_be0f_b5e220e5f90d"/>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Times New Roman;Times;serif" w:hAnsi="Times New Roman;Times;serif"/>
          <w:b/>
          <w:sz w:val="20"/>
        </w:rPr>
        <w:t xml:space="preserve">4.   Trademarks and Other Intangibles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Trademarks and other intangibles, net consist of the following:</w:t>
      </w:r>
    </w:p>
    <w:p>
      <w:pPr>
        <w:pStyle w:val="TextBody"/>
        <w:spacing w:before="0" w:after="240"/>
        <w:ind w:left="0" w:right="0" w:hanging="0"/>
        <w:jc w:val="both"/>
        <w:rPr/>
      </w:pPr>
      <w:r>
        <w:rPr/>
        <w:t>​</w:t>
      </w:r>
    </w:p>
    <w:tbl>
      <w:tblPr>
        <w:tblW w:w="9394" w:type="dxa"/>
        <w:jc w:val="left"/>
        <w:tblInd w:w="0" w:type="dxa"/>
        <w:tblCellMar>
          <w:top w:w="0" w:type="dxa"/>
          <w:left w:w="0" w:type="dxa"/>
          <w:bottom w:w="0" w:type="dxa"/>
          <w:right w:w="0" w:type="dxa"/>
        </w:tblCellMar>
      </w:tblPr>
      <w:tblGrid>
        <w:gridCol w:w="3556"/>
        <w:gridCol w:w="326"/>
        <w:gridCol w:w="1081"/>
        <w:gridCol w:w="326"/>
        <w:gridCol w:w="296"/>
        <w:gridCol w:w="950"/>
        <w:gridCol w:w="326"/>
        <w:gridCol w:w="257"/>
        <w:gridCol w:w="824"/>
        <w:gridCol w:w="326"/>
        <w:gridCol w:w="239"/>
        <w:gridCol w:w="887"/>
      </w:tblGrid>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w:t>
            </w:r>
          </w:p>
        </w:tc>
        <w:tc>
          <w:tcPr>
            <w:tcW w:w="9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82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rPr/>
            </w:pPr>
            <w:r>
              <w:rPr/>
              <w:t>​</w:t>
            </w:r>
          </w:p>
        </w:tc>
      </w:tr>
      <w:tr>
        <w:trPr/>
        <w:tc>
          <w:tcPr>
            <w:tcW w:w="3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296" w:type="dxa"/>
            <w:tcBorders/>
            <w:shd w:fill="auto" w:val="clear"/>
            <w:vAlign w:val="center"/>
          </w:tcPr>
          <w:p>
            <w:pPr>
              <w:pStyle w:val="TableContents"/>
              <w:spacing w:before="0" w:after="0"/>
              <w:ind w:left="0" w:right="0" w:hanging="0"/>
              <w:jc w:val="center"/>
              <w:rPr/>
            </w:pPr>
            <w:r>
              <w:rPr/>
              <w:t>​</w:t>
            </w:r>
          </w:p>
        </w:tc>
        <w:tc>
          <w:tcPr>
            <w:tcW w:w="9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57" w:type="dxa"/>
            <w:tcBorders/>
            <w:shd w:fill="auto" w:val="clear"/>
            <w:vAlign w:val="center"/>
          </w:tcPr>
          <w:p>
            <w:pPr>
              <w:pStyle w:val="TableContents"/>
              <w:spacing w:before="0" w:after="0"/>
              <w:ind w:left="0" w:right="0" w:hanging="0"/>
              <w:jc w:val="center"/>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center"/>
              <w:rPr/>
            </w:pPr>
            <w:r>
              <w:rPr/>
              <w:t>​</w:t>
            </w:r>
          </w:p>
        </w:tc>
        <w:tc>
          <w:tcPr>
            <w:tcW w:w="887" w:type="dxa"/>
            <w:tcBorders/>
            <w:shd w:fill="auto" w:val="clear"/>
            <w:vAlign w:val="center"/>
          </w:tcPr>
          <w:p>
            <w:pPr>
              <w:pStyle w:val="TableContents"/>
              <w:spacing w:before="0" w:after="0"/>
              <w:ind w:left="0" w:right="0" w:hanging="0"/>
              <w:jc w:val="center"/>
              <w:rPr/>
            </w:pPr>
            <w:r>
              <w:rPr/>
              <w:t>​</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 </w:t>
            </w:r>
          </w:p>
        </w:tc>
        <w:tc>
          <w:tcPr>
            <w:tcW w:w="410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Trademarks (finite-lived)</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68,880</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 </w:t>
            </w:r>
          </w:p>
        </w:tc>
        <w:tc>
          <w:tcPr>
            <w:tcW w:w="8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21,346</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47,534</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Copyrights and other intellectual property</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69,309</w:t>
            </w:r>
          </w:p>
        </w:tc>
        <w:tc>
          <w:tcPr>
            <w:tcW w:w="326"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21,644</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47,665</w:t>
            </w:r>
          </w:p>
        </w:tc>
      </w:tr>
    </w:tbl>
    <w:p>
      <w:pPr>
        <w:pStyle w:val="TextBody"/>
        <w:spacing w:before="0" w:after="0"/>
        <w:ind w:left="0" w:right="0" w:hanging="0"/>
        <w:rPr/>
      </w:pPr>
      <w:r>
        <w:rPr/>
        <w:t>​</w:t>
      </w:r>
    </w:p>
    <w:tbl>
      <w:tblPr>
        <w:tblW w:w="9394" w:type="dxa"/>
        <w:jc w:val="left"/>
        <w:tblInd w:w="0" w:type="dxa"/>
        <w:tblCellMar>
          <w:top w:w="0" w:type="dxa"/>
          <w:left w:w="0" w:type="dxa"/>
          <w:bottom w:w="0" w:type="dxa"/>
          <w:right w:w="0" w:type="dxa"/>
        </w:tblCellMar>
      </w:tblPr>
      <w:tblGrid>
        <w:gridCol w:w="3556"/>
        <w:gridCol w:w="326"/>
        <w:gridCol w:w="1081"/>
        <w:gridCol w:w="326"/>
        <w:gridCol w:w="265"/>
        <w:gridCol w:w="981"/>
        <w:gridCol w:w="326"/>
        <w:gridCol w:w="257"/>
        <w:gridCol w:w="824"/>
        <w:gridCol w:w="326"/>
        <w:gridCol w:w="239"/>
        <w:gridCol w:w="887"/>
      </w:tblGrid>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5" w:type="dxa"/>
            <w:tcBorders/>
            <w:shd w:fill="auto" w:val="clear"/>
            <w:vAlign w:val="center"/>
          </w:tcPr>
          <w:p>
            <w:pPr>
              <w:pStyle w:val="TableContents"/>
              <w:spacing w:before="0" w:after="1"/>
              <w:ind w:left="0" w:right="0" w:hanging="0"/>
              <w:rPr/>
            </w:pPr>
            <w:r>
              <w:rPr/>
              <w:t>​</w:t>
            </w:r>
          </w:p>
        </w:tc>
        <w:tc>
          <w:tcPr>
            <w:tcW w:w="9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w:t>
            </w:r>
          </w:p>
        </w:tc>
        <w:tc>
          <w:tcPr>
            <w:tcW w:w="82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rPr/>
            </w:pPr>
            <w:r>
              <w:rPr/>
              <w:t>​</w:t>
            </w:r>
          </w:p>
        </w:tc>
      </w:tr>
      <w:tr>
        <w:trPr/>
        <w:tc>
          <w:tcPr>
            <w:tcW w:w="35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    </w:t>
            </w:r>
          </w:p>
        </w:tc>
        <w:tc>
          <w:tcPr>
            <w:tcW w:w="265" w:type="dxa"/>
            <w:tcBorders/>
            <w:shd w:fill="auto" w:val="clear"/>
            <w:vAlign w:val="center"/>
          </w:tcPr>
          <w:p>
            <w:pPr>
              <w:pStyle w:val="TableContents"/>
              <w:spacing w:before="0" w:after="1"/>
              <w:ind w:left="0" w:right="0" w:hanging="0"/>
              <w:rPr/>
            </w:pPr>
            <w:r>
              <w:rPr/>
              <w:t>​</w:t>
            </w:r>
          </w:p>
        </w:tc>
        <w:tc>
          <w:tcPr>
            <w:tcW w:w="9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57" w:type="dxa"/>
            <w:tcBorders/>
            <w:shd w:fill="auto" w:val="clear"/>
            <w:vAlign w:val="center"/>
          </w:tcPr>
          <w:p>
            <w:pPr>
              <w:pStyle w:val="TableContents"/>
              <w:spacing w:before="0" w:after="1"/>
              <w:ind w:left="0" w:right="0" w:hanging="0"/>
              <w:rPr/>
            </w:pPr>
            <w:r>
              <w:rPr/>
              <w:t>​</w:t>
            </w:r>
          </w:p>
        </w:tc>
        <w:tc>
          <w:tcPr>
            <w:tcW w:w="82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center"/>
              <w:rPr/>
            </w:pPr>
            <w:r>
              <w:rPr/>
              <w:t>​</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 </w:t>
            </w:r>
          </w:p>
        </w:tc>
        <w:tc>
          <w:tcPr>
            <w:tcW w:w="410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Gross</w:t>
            </w:r>
            <w:r>
              <w:rPr>
                <w:rFonts w:ascii="Times New Roman;Times;serif" w:hAnsi="Times New Roman;Times;serif"/>
                <w:sz w:val="16"/>
              </w:rPr>
              <w:t> </w:t>
            </w:r>
            <w:r>
              <w:rPr>
                <w:rFonts w:ascii="Times New Roman;Times;serif" w:hAnsi="Times New Roman;Times;serif"/>
                <w:b/>
                <w:sz w:val="16"/>
              </w:rPr>
              <w:t>Carrying</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1"/>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 (indefinite-lived)</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spacing w:before="0" w:after="1"/>
              <w:ind w:left="0" w:right="0" w:hanging="0"/>
              <w:rPr/>
            </w:pPr>
            <w:r>
              <w:rPr/>
              <w:t>​</w:t>
            </w:r>
          </w:p>
        </w:tc>
        <w:tc>
          <w:tcPr>
            <w:tcW w:w="2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44,500</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44,500</w:t>
            </w:r>
          </w:p>
        </w:tc>
      </w:tr>
      <w:tr>
        <w:trPr/>
        <w:tc>
          <w:tcPr>
            <w:tcW w:w="35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Trademarks (finite-lived)</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26" w:type="dxa"/>
            <w:tcBorders/>
            <w:shd w:fill="auto" w:val="clear"/>
            <w:vAlign w:val="center"/>
          </w:tcPr>
          <w:p>
            <w:pPr>
              <w:pStyle w:val="TableContents"/>
              <w:spacing w:before="0" w:after="1"/>
              <w:ind w:left="0" w:right="0" w:hanging="0"/>
              <w:rPr/>
            </w:pPr>
            <w:r>
              <w:rPr/>
              <w:t>​</w:t>
            </w:r>
          </w:p>
        </w:tc>
        <w:tc>
          <w:tcPr>
            <w:tcW w:w="265" w:type="dxa"/>
            <w:tcBorders/>
            <w:shd w:fill="auto" w:val="clear"/>
            <w:vAlign w:val="center"/>
          </w:tcPr>
          <w:p>
            <w:pPr>
              <w:pStyle w:val="TableContents"/>
              <w:spacing w:before="0" w:after="1"/>
              <w:ind w:left="0" w:right="0" w:hanging="0"/>
              <w:rPr/>
            </w:pPr>
            <w:r>
              <w:rPr/>
              <w:t> </w:t>
            </w:r>
          </w:p>
        </w:tc>
        <w:tc>
          <w:tcPr>
            <w:tcW w:w="9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68,880</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15,268</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53,612</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Non-compete agreement</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 years</w:t>
            </w:r>
          </w:p>
        </w:tc>
        <w:tc>
          <w:tcPr>
            <w:tcW w:w="326" w:type="dxa"/>
            <w:tcBorders/>
            <w:shd w:fill="CCEEFF" w:val="clear"/>
            <w:vAlign w:val="center"/>
          </w:tcPr>
          <w:p>
            <w:pPr>
              <w:pStyle w:val="TableContents"/>
              <w:spacing w:before="0" w:after="1"/>
              <w:ind w:left="0" w:right="0" w:hanging="0"/>
              <w:rPr/>
            </w:pPr>
            <w:r>
              <w:rPr/>
              <w:t>​</w:t>
            </w:r>
          </w:p>
        </w:tc>
        <w:tc>
          <w:tcPr>
            <w:tcW w:w="265" w:type="dxa"/>
            <w:tcBorders/>
            <w:shd w:fill="CCEEFF" w:val="clear"/>
            <w:vAlign w:val="center"/>
          </w:tcPr>
          <w:p>
            <w:pPr>
              <w:pStyle w:val="TableContents"/>
              <w:spacing w:before="0" w:after="1"/>
              <w:ind w:left="0" w:right="0" w:hanging="0"/>
              <w:rPr/>
            </w:pPr>
            <w:r>
              <w:rPr/>
              <w:t> </w:t>
            </w:r>
          </w:p>
        </w:tc>
        <w:tc>
          <w:tcPr>
            <w:tcW w:w="9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 </w:t>
            </w:r>
          </w:p>
        </w:tc>
        <w:tc>
          <w:tcPr>
            <w:tcW w:w="8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 </w:t>
            </w:r>
          </w:p>
        </w:tc>
        <w:tc>
          <w:tcPr>
            <w:tcW w:w="887" w:type="dxa"/>
            <w:tcBorders/>
            <w:shd w:fill="CCEEFF" w:val="clear"/>
            <w:vAlign w:val="center"/>
          </w:tcPr>
          <w:p>
            <w:pPr>
              <w:pStyle w:val="TableContents"/>
              <w:spacing w:before="0" w:after="1"/>
              <w:ind w:left="0" w:right="0" w:hanging="0"/>
              <w:jc w:val="right"/>
              <w:rPr/>
            </w:pPr>
            <w:r>
              <w:rPr/>
              <w:t>—</w:t>
            </w:r>
          </w:p>
        </w:tc>
      </w:tr>
      <w:tr>
        <w:trPr/>
        <w:tc>
          <w:tcPr>
            <w:tcW w:w="35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Copyrights and other intellectual property</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26" w:type="dxa"/>
            <w:tcBorders/>
            <w:shd w:fill="auto" w:val="clear"/>
            <w:vAlign w:val="center"/>
          </w:tcPr>
          <w:p>
            <w:pPr>
              <w:pStyle w:val="TableContents"/>
              <w:spacing w:before="0" w:after="1"/>
              <w:ind w:left="0" w:right="0" w:hanging="0"/>
              <w:rPr/>
            </w:pPr>
            <w:r>
              <w:rPr/>
              <w:t>​</w:t>
            </w:r>
          </w:p>
        </w:tc>
        <w:tc>
          <w:tcPr>
            <w:tcW w:w="26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auto" w:val="clear"/>
            <w:vAlign w:val="center"/>
          </w:tcPr>
          <w:p>
            <w:pPr>
              <w:pStyle w:val="TableContents"/>
              <w:spacing w:before="0" w:after="1"/>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auto" w:val="clear"/>
            <w:vAlign w:val="center"/>
          </w:tcPr>
          <w:p>
            <w:pPr>
              <w:pStyle w:val="TableContents"/>
              <w:spacing w:before="0" w:after="1"/>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w:t>
            </w:r>
          </w:p>
        </w:tc>
        <w:tc>
          <w:tcPr>
            <w:tcW w:w="26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9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114,371</w:t>
            </w:r>
          </w:p>
        </w:tc>
        <w:tc>
          <w:tcPr>
            <w:tcW w:w="326" w:type="dxa"/>
            <w:tcBorders/>
            <w:shd w:fill="CCEEFF" w:val="clear"/>
            <w:vAlign w:val="center"/>
          </w:tcPr>
          <w:p>
            <w:pPr>
              <w:pStyle w:val="TableContents"/>
              <w:spacing w:before="0" w:after="1"/>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16,067</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98,304</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Current Year, the Company sold its $44.5 million of indefinite-lived trademarks related to the Isaac Mizrahi Brand (see Note 3 for details). Also during the Current Year, the Company retired its intangible asset for a non-compete agreement related to the Halston Brand, as such intangible asset had reached the end of its estimated useful life and had become fully amortized.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for intangible assets for the Current Year and Prior Year was approximately $6.1 million and $5.6 million,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Estimated future amortization expense related to finite-lived intangible assets over the remaining useful lives is as follows:</w:t>
      </w:r>
    </w:p>
    <w:p>
      <w:pPr>
        <w:pStyle w:val="TextBody"/>
        <w:spacing w:before="0" w:after="240"/>
        <w:ind w:left="0" w:right="0" w:hanging="0"/>
        <w:jc w:val="both"/>
        <w:rPr/>
      </w:pPr>
      <w:r>
        <w:rPr/>
        <w:t>​</w:t>
      </w:r>
    </w:p>
    <w:tbl>
      <w:tblPr>
        <w:tblW w:w="3673" w:type="dxa"/>
        <w:jc w:val="left"/>
        <w:tblInd w:w="0" w:type="dxa"/>
        <w:tblCellMar>
          <w:top w:w="0" w:type="dxa"/>
          <w:left w:w="0" w:type="dxa"/>
          <w:bottom w:w="0" w:type="dxa"/>
          <w:right w:w="0" w:type="dxa"/>
        </w:tblCellMar>
      </w:tblPr>
      <w:tblGrid>
        <w:gridCol w:w="2221"/>
        <w:gridCol w:w="326"/>
        <w:gridCol w:w="239"/>
        <w:gridCol w:w="887"/>
      </w:tblGrid>
      <w:tr>
        <w:trPr/>
        <w:tc>
          <w:tcPr>
            <w:tcW w:w="2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rPr/>
            </w:pPr>
            <w:r>
              <w:rPr/>
              <w:t>​</w:t>
            </w:r>
          </w:p>
        </w:tc>
      </w:tr>
      <w:tr>
        <w:trPr/>
        <w:tc>
          <w:tcPr>
            <w:tcW w:w="222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2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6,140</w:t>
            </w:r>
          </w:p>
        </w:tc>
      </w:tr>
      <w:tr>
        <w:trPr/>
        <w:tc>
          <w:tcPr>
            <w:tcW w:w="2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jc w:val="right"/>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6,120</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jc w:val="right"/>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4,177</w:t>
            </w:r>
          </w:p>
        </w:tc>
      </w:tr>
      <w:tr>
        <w:trPr/>
        <w:tc>
          <w:tcPr>
            <w:tcW w:w="2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jc w:val="right"/>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3,533</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jc w:val="right"/>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3,507</w:t>
            </w:r>
          </w:p>
        </w:tc>
      </w:tr>
      <w:tr>
        <w:trPr/>
        <w:tc>
          <w:tcPr>
            <w:tcW w:w="2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 (through 2036)</w:t>
            </w:r>
          </w:p>
        </w:tc>
        <w:tc>
          <w:tcPr>
            <w:tcW w:w="326" w:type="dxa"/>
            <w:tcBorders/>
            <w:shd w:fill="auto" w:val="clear"/>
            <w:vAlign w:val="center"/>
          </w:tcPr>
          <w:p>
            <w:pPr>
              <w:pStyle w:val="TableContents"/>
              <w:spacing w:before="0" w:after="1"/>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24,188</w:t>
            </w:r>
          </w:p>
        </w:tc>
      </w:tr>
      <w:tr>
        <w:trPr/>
        <w:tc>
          <w:tcPr>
            <w:tcW w:w="2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47,665</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5.   Significant Contracts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Qurate Agreements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Through its wholly owned subsidiaries, the Company has direct-to-retail license agreements with Qurate Retail Group (“Qurate”), pursuant to which the Company designs, and Qurate sources and sells, various products under the LOGO by Lori Goldstein brand, the Longaberger brand, and the Judith Ripka brand. These agreements include, respectively, the LOGO Qurate Agreement, Longaberger Qurate Agreement, and the Ripka Qurate Agreement. The Company was also previously a party to similar agreements with Qurate related to the Isaac Mizrahi brand (the IM Qurate Agreement) and the H by Halston brand (the H Qurate Agreement). Qurate owns the rights to all designs produced under the aforementioned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bookmarkStart w:id="729" w:name="Tc_xJBTmBHt80KlyVXdaWAyjg_7_4"/>
      <w:bookmarkStart w:id="730" w:name="Tc_cEFEkzD6TkmI301AJP5Ifg_7_2"/>
      <w:bookmarkStart w:id="731" w:name="Tc_ideYyDUlt0yTjpxqiUVTYA_7_0"/>
      <w:bookmarkStart w:id="732" w:name="Tc_mmlCeGInlk6s6q1kzF7chQ_6_4"/>
      <w:bookmarkStart w:id="733" w:name="Tc_KY9mzMrVREWYgKFGqHir1Q_6_2"/>
      <w:bookmarkStart w:id="734" w:name="Tc_cSDeVf4tYECBoWtHySmjpQ_6_0"/>
      <w:bookmarkStart w:id="735" w:name="Tc_QwVjkxTWbUmwUL38IHkK_g_5_4"/>
      <w:bookmarkStart w:id="736" w:name="Tc_JySBqneBSUy2-dxofzJbRA_5_2"/>
      <w:bookmarkStart w:id="737" w:name="Tc_XE370wnzC0SSZhpPw6qONw_5_0"/>
      <w:bookmarkStart w:id="738" w:name="Tc_lHVtlCU5WkCoV7tb9cIh1g_4_4"/>
      <w:bookmarkStart w:id="739" w:name="Tc_txNb4r1tnUyfUla8HnSeig_4_0"/>
      <w:bookmarkStart w:id="740" w:name="Tc_Ur-EftvE7kmOfGb702QHPA_3_4"/>
      <w:bookmarkStart w:id="741" w:name="Tc_lgqEt3RTO0uEuL9qeJXI_A_3_0"/>
      <w:bookmarkStart w:id="742" w:name="Tc_1mZL5JbjK0KckM7ZyvpvYA_2_8"/>
      <w:bookmarkStart w:id="743" w:name="Tc_XF9ctoSU1UCP43LyzbAV_Q_2_6"/>
      <w:bookmarkStart w:id="744" w:name="Tc_9PRH4BmHPEOWEdwJE7voTQ_2_4"/>
      <w:bookmarkStart w:id="745" w:name="Tc_cSXts-uJPEaY9rhXQl59yQ_2_2"/>
      <w:bookmarkStart w:id="746" w:name="Tc_x4xw-h5Mokipu9_mVzvhKw_2_0"/>
      <w:bookmarkStart w:id="747" w:name="Tc_O9I0PbnZ8EyecJ_w86xREw_1_8"/>
      <w:bookmarkStart w:id="748" w:name="Tc_fT4pc9SxIkato1B_4Ym-lw_1_6"/>
      <w:bookmarkStart w:id="749" w:name="Tc_L6G6k4l_0ke9oOJyy1RMjg_1_4"/>
      <w:bookmarkStart w:id="750" w:name="Tc_kWvMLZS65U24gr7zQ7HCoQ_1_2"/>
      <w:bookmarkStart w:id="751" w:name="_dbc81f51_3f13_4da5_99c4_f65c5efc5cb7"/>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sz w:val="20"/>
        </w:rPr>
        <w:t>agreements (collectively, the “Qurate Agreements”), and the Qurate Agreements include the sale of products across various categories through Qurate’s television media (including QVC and HSN) and related internet sites.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agreements, the Company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w:t>
      </w:r>
    </w:p>
    <w:p>
      <w:pPr>
        <w:pStyle w:val="TextBody"/>
        <w:spacing w:before="0" w:after="240"/>
        <w:ind w:left="0" w:right="0" w:hanging="0"/>
        <w:jc w:val="both"/>
        <w:rPr/>
      </w:pPr>
      <w:r>
        <w:rPr/>
        <w:t>​</w:t>
      </w:r>
    </w:p>
    <w:tbl>
      <w:tblPr>
        <w:tblW w:w="9544" w:type="dxa"/>
        <w:jc w:val="left"/>
        <w:tblInd w:w="0" w:type="dxa"/>
        <w:tblCellMar>
          <w:top w:w="0" w:type="dxa"/>
          <w:left w:w="0" w:type="dxa"/>
          <w:bottom w:w="0" w:type="dxa"/>
          <w:right w:w="0" w:type="dxa"/>
        </w:tblCellMar>
      </w:tblPr>
      <w:tblGrid>
        <w:gridCol w:w="2671"/>
        <w:gridCol w:w="326"/>
        <w:gridCol w:w="1606"/>
        <w:gridCol w:w="326"/>
        <w:gridCol w:w="1381"/>
        <w:gridCol w:w="326"/>
        <w:gridCol w:w="1426"/>
        <w:gridCol w:w="326"/>
        <w:gridCol w:w="1156"/>
      </w:tblGrid>
      <w:tr>
        <w:trPr/>
        <w:tc>
          <w:tcPr>
            <w:tcW w:w="2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96085" cy="175260"/>
                      <wp:effectExtent l="0" t="0" r="0" b="0"/>
                      <wp:wrapNone/>
                      <wp:docPr id="74" name="Frame74"/>
                      <a:graphic xmlns:a="http://schemas.openxmlformats.org/drawingml/2006/main">
                        <a:graphicData uri="http://schemas.microsoft.com/office/word/2010/wordprocessingShape">
                          <wps:wsp>
                            <wps:cNvSpPr txBox="1"/>
                            <wps:spPr>
                              <a:xfrm>
                                <a:off x="0" y="0"/>
                                <a:ext cx="1696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19810" cy="175260"/>
                      <wp:effectExtent l="0" t="0" r="0" b="0"/>
                      <wp:wrapNone/>
                      <wp:docPr id="76" name="Frame76"/>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76935" cy="175260"/>
                      <wp:effectExtent l="0" t="0" r="0" b="0"/>
                      <wp:wrapNone/>
                      <wp:docPr id="78" name="Frame78"/>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05510" cy="175260"/>
                      <wp:effectExtent l="0" t="0" r="0" b="0"/>
                      <wp:wrapNone/>
                      <wp:docPr id="80" name="Frame80"/>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34060" cy="175260"/>
                      <wp:effectExtent l="0" t="0" r="0" b="0"/>
                      <wp:wrapNone/>
                      <wp:docPr id="82" name="Frame82"/>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Term</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Automatic</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Xcel Commenced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QVC Product</w:t>
            </w:r>
          </w:p>
        </w:tc>
      </w:tr>
      <w:tr>
        <w:trPr/>
        <w:tc>
          <w:tcPr>
            <w:tcW w:w="26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Agreement</w:t>
            </w:r>
          </w:p>
        </w:tc>
        <w:tc>
          <w:tcPr>
            <w:tcW w:w="326" w:type="dxa"/>
            <w:tcBorders/>
            <w:shd w:fill="auto" w:val="clear"/>
            <w:vAlign w:val="center"/>
          </w:tcPr>
          <w:p>
            <w:pPr>
              <w:pStyle w:val="TableContents"/>
              <w:spacing w:before="0" w:after="0"/>
              <w:ind w:left="0" w:right="0" w:hanging="0"/>
              <w:rPr/>
            </w:pPr>
            <w:r>
              <w:rPr/>
              <w:t>    </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Expiry</w:t>
            </w:r>
          </w:p>
        </w:tc>
        <w:tc>
          <w:tcPr>
            <w:tcW w:w="326" w:type="dxa"/>
            <w:tcBorders/>
            <w:shd w:fill="auto" w:val="clear"/>
            <w:vAlign w:val="center"/>
          </w:tcPr>
          <w:p>
            <w:pPr>
              <w:pStyle w:val="TableContents"/>
              <w:spacing w:before="0" w:after="0"/>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Renewal</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Brand with QVC</w:t>
            </w:r>
          </w:p>
        </w:tc>
        <w:tc>
          <w:tcPr>
            <w:tcW w:w="326" w:type="dxa"/>
            <w:tcBorders/>
            <w:shd w:fill="auto" w:val="cle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Launch</w:t>
            </w:r>
          </w:p>
        </w:tc>
      </w:tr>
      <w:tr>
        <w:trPr/>
        <w:tc>
          <w:tcPr>
            <w:tcW w:w="2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LOGO Qurate Agreement</w:t>
            </w:r>
          </w:p>
        </w:tc>
        <w:tc>
          <w:tcPr>
            <w:tcW w:w="326" w:type="dxa"/>
            <w:tcBorders/>
            <w:shd w:fill="CCEEFF" w:val="clear"/>
            <w:vAlign w:val="center"/>
          </w:tcPr>
          <w:p>
            <w:pPr>
              <w:pStyle w:val="TableContents"/>
              <w:spacing w:before="0" w:after="0"/>
              <w:ind w:left="0" w:right="0" w:hanging="0"/>
              <w:jc w:val="center"/>
              <w:rPr/>
            </w:pPr>
            <w:r>
              <w:rPr/>
              <w:t>​</w:t>
            </w:r>
          </w:p>
        </w:tc>
        <w:tc>
          <w:tcPr>
            <w:tcW w:w="16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1, 2023</w:t>
            </w:r>
          </w:p>
        </w:tc>
        <w:tc>
          <w:tcPr>
            <w:tcW w:w="326" w:type="dxa"/>
            <w:tcBorders/>
            <w:shd w:fill="CCEEFF" w:val="clear"/>
            <w:vAlign w:val="center"/>
          </w:tcPr>
          <w:p>
            <w:pPr>
              <w:pStyle w:val="TableContents"/>
              <w:spacing w:before="0" w:after="0"/>
              <w:ind w:left="0" w:right="0" w:hanging="0"/>
              <w:jc w:val="center"/>
              <w:rPr/>
            </w:pPr>
            <w:r>
              <w:rPr/>
              <w:t>​</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one-year period</w:t>
            </w:r>
          </w:p>
        </w:tc>
        <w:tc>
          <w:tcPr>
            <w:tcW w:w="326" w:type="dxa"/>
            <w:tcBorders/>
            <w:shd w:fill="CCEEFF" w:val="clear"/>
            <w:vAlign w:val="center"/>
          </w:tcPr>
          <w:p>
            <w:pPr>
              <w:pStyle w:val="TableContents"/>
              <w:spacing w:before="0" w:after="0"/>
              <w:ind w:left="0" w:right="0" w:hanging="0"/>
              <w:jc w:val="center"/>
              <w:rPr/>
            </w:pPr>
            <w:r>
              <w:rPr/>
              <w:t>​</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2021</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2009</w:t>
            </w:r>
          </w:p>
        </w:tc>
      </w:tr>
      <w:tr>
        <w:trPr/>
        <w:tc>
          <w:tcPr>
            <w:tcW w:w="2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Longaberger Qurate Agreement</w:t>
            </w:r>
          </w:p>
        </w:tc>
        <w:tc>
          <w:tcPr>
            <w:tcW w:w="326" w:type="dxa"/>
            <w:tcBorders/>
            <w:shd w:fill="auto" w:val="clear"/>
            <w:vAlign w:val="center"/>
          </w:tcPr>
          <w:p>
            <w:pPr>
              <w:pStyle w:val="TableContents"/>
              <w:spacing w:before="0" w:after="0"/>
              <w:ind w:left="0" w:right="0" w:hanging="0"/>
              <w:rPr/>
            </w:pPr>
            <w:r>
              <w:rPr/>
              <w:t>​</w:t>
            </w:r>
          </w:p>
        </w:tc>
        <w:tc>
          <w:tcPr>
            <w:tcW w:w="16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31, 2023</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two-year period</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2019</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Ripka Qurate Agreement</w:t>
            </w:r>
          </w:p>
        </w:tc>
        <w:tc>
          <w:tcPr>
            <w:tcW w:w="326" w:type="dxa"/>
            <w:tcBorders/>
            <w:shd w:fill="CCEEFF" w:val="clear"/>
            <w:vAlign w:val="center"/>
          </w:tcPr>
          <w:p>
            <w:pPr>
              <w:pStyle w:val="TableContents"/>
              <w:spacing w:before="0" w:after="0"/>
              <w:ind w:left="0" w:right="0" w:hanging="0"/>
              <w:rPr/>
            </w:pPr>
            <w:r>
              <w:rPr/>
              <w:t>​</w:t>
            </w:r>
          </w:p>
        </w:tc>
        <w:tc>
          <w:tcPr>
            <w:tcW w:w="16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2014</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1999</w:t>
            </w:r>
          </w:p>
        </w:tc>
      </w:tr>
      <w:tr>
        <w:trPr/>
        <w:tc>
          <w:tcPr>
            <w:tcW w:w="2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 Qurate Agreement</w:t>
            </w:r>
          </w:p>
        </w:tc>
        <w:tc>
          <w:tcPr>
            <w:tcW w:w="326" w:type="dxa"/>
            <w:tcBorders/>
            <w:shd w:fill="auto" w:val="clear"/>
            <w:vAlign w:val="center"/>
          </w:tcPr>
          <w:p>
            <w:pPr>
              <w:pStyle w:val="TableContents"/>
              <w:spacing w:before="0" w:after="0"/>
              <w:ind w:left="0" w:right="0" w:hanging="0"/>
              <w:jc w:val="center"/>
              <w:rPr/>
            </w:pPr>
            <w:r>
              <w:rPr/>
              <w:t>​</w:t>
            </w:r>
          </w:p>
        </w:tc>
        <w:tc>
          <w:tcPr>
            <w:tcW w:w="16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326" w:type="dxa"/>
            <w:tcBorders/>
            <w:shd w:fill="auto" w:val="clear"/>
            <w:vAlign w:val="center"/>
          </w:tcPr>
          <w:p>
            <w:pPr>
              <w:pStyle w:val="TableContents"/>
              <w:spacing w:before="0" w:after="0"/>
              <w:ind w:left="0" w:right="0" w:hanging="0"/>
              <w:jc w:val="center"/>
              <w:rPr/>
            </w:pPr>
            <w:r>
              <w:rPr/>
              <w:t>​</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2011</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2010</w:t>
            </w:r>
          </w:p>
        </w:tc>
      </w:tr>
      <w:tr>
        <w:trPr/>
        <w:tc>
          <w:tcPr>
            <w:tcW w:w="2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 Qurate Agreement</w:t>
            </w:r>
          </w:p>
        </w:tc>
        <w:tc>
          <w:tcPr>
            <w:tcW w:w="326" w:type="dxa"/>
            <w:tcBorders/>
            <w:shd w:fill="CCEEFF" w:val="clear"/>
            <w:vAlign w:val="center"/>
          </w:tcPr>
          <w:p>
            <w:pPr>
              <w:pStyle w:val="TableContents"/>
              <w:spacing w:before="0" w:after="0"/>
              <w:ind w:left="0" w:right="0" w:hanging="0"/>
              <w:rPr/>
            </w:pPr>
            <w:r>
              <w:rPr/>
              <w:t>​</w:t>
            </w:r>
          </w:p>
        </w:tc>
        <w:tc>
          <w:tcPr>
            <w:tcW w:w="16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 applicable</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2015</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2015</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On August 30, 2022, Qurate and the Company amended the Ripka Qurate Agreement such that the license period was terminated effective December 31, 2021. Effective January 1, 2022, the agreement entered a sell-off period, under which Qurate may continue to license the Ripka brand on a non-exclusive basis for as long as necessary to sell off any of its remaining 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On May 31, 2022, in connection with the sale of a majority interest in the Isaac Mizrahi brand to WHP, this agreement was assigned to IM Topco, LLC. See Note 3 for additional details.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In the fourth quarter of 2020, the Company transitioned and discontinued licensing of the H Halston brand to Qurate. The Company began wholesale supply sales of the H Halston products under arrangements with HSN and certain Qurate global affiliates and other unrelated interactive television networks.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Qurate Agreements and during the same periods, Qurate and its subsidiaries have the exclusive, worldwide right to use the names, likenesses, images, voices, and performances of the Company’s spokespersons to promote the respective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Qurate Agreements, Qurate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under the Qurate Agreements, except for the Longaberger Qurate Agreement, the Company will pay for a period of time a royalty participation fee to Qurate on revenue earned from the sale, license, consignment, or any other form of distribution of any products, bearing, marketed in connection with, or otherwise associated with the specified trademarks and brands. Such royalty participation fees are recorded as a reduction to net licensing revenue.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Net licensing revenue from Qurate totaled $11.4 million and $18.8 million for the Current Year and Prior Year, respectively, representing approximately 44% and 50% of the Company’s total net revenue, respectively. As of December 31, 2022 and 2021, the Company had receivables from Qurate of $0.9 million and $3.5 million, representing approximately 17% and 46% of the Company’s accounts receivable, respectively. The December 31, 2022 and 2021 Qurate receivables did not include any earned revenue accrued but not yet billed as of the respective balance sheet dates.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752" w:name="Tc_Q7tkYb-97keRGPkxFij7EA_7_5"/>
      <w:bookmarkStart w:id="753" w:name="Tc_yY1pFMDhaECrsHXPBEts6g_7_3"/>
      <w:bookmarkStart w:id="754" w:name="Tc_QdjPzw-UNUCH6jT7K-sOxQ_7_2"/>
      <w:bookmarkStart w:id="755" w:name="Tc_2UmiM6rEI0ChpwRZRWaBpg_7_0"/>
      <w:bookmarkStart w:id="756" w:name="Tc_ei-_MHbxA0O0rowh6sbeZA_6_3"/>
      <w:bookmarkStart w:id="757" w:name="Tc_lr2sk3sijE-qResW1TDqcQ_6_0"/>
      <w:bookmarkStart w:id="758" w:name="Tc_o7RPDWcRfE6MyleU8OgW8Q_5_3"/>
      <w:bookmarkStart w:id="759" w:name="Tc_Y0zX-dwM-025RSb-rVOxWg_5_0"/>
      <w:bookmarkStart w:id="760" w:name="Tc_0E0yP5d2eki3FW6mdzB4Ag_4_3"/>
      <w:bookmarkStart w:id="761" w:name="Tc_R_mmBucbWECh9483VSxPRQ_4_0"/>
      <w:bookmarkStart w:id="762" w:name="Tc_soa9WiJkUUayvxMXQtLnig_3_5"/>
      <w:bookmarkStart w:id="763" w:name="Tc_kbnC6H2ZZUuvFN9fqK8yTQ_3_2"/>
      <w:bookmarkStart w:id="764" w:name="Tc_LrA4mSU03k-4ncD0N2_JTQ_3_0"/>
      <w:bookmarkStart w:id="765" w:name="Tc_3LhAAs2dK0mtdBYgDu_iSQ_2_5"/>
      <w:bookmarkStart w:id="766" w:name="Tc_o98R6adzv0WON3xVCCFHEQ_2_2"/>
      <w:bookmarkStart w:id="767" w:name="Tc_iG6h5K4QWEWkbJY7Z8I4IA_2_0"/>
      <w:bookmarkStart w:id="768" w:name="Tc_5n_xOq32sEec3Q9LNaeqow_1_5"/>
      <w:bookmarkStart w:id="769" w:name="Tc_KOwWy75nq0KZ5YQrMQ6fLQ_1_2"/>
      <w:bookmarkStart w:id="770" w:name="_b797f64b_6685_4f70_80b3_c9de2e5b2bc8"/>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b/>
          <w:sz w:val="20"/>
        </w:rPr>
        <w:t xml:space="preserve">6.   Debt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net carrying amount of debt was comprised of the following:</w:t>
      </w:r>
    </w:p>
    <w:p>
      <w:pPr>
        <w:pStyle w:val="TextBody"/>
        <w:spacing w:before="0" w:after="240"/>
        <w:ind w:left="0" w:right="0" w:hanging="0"/>
        <w:jc w:val="both"/>
        <w:rPr/>
      </w:pPr>
      <w:r>
        <w:rPr/>
        <w:t>​</w:t>
      </w:r>
    </w:p>
    <w:tbl>
      <w:tblPr>
        <w:tblW w:w="8082" w:type="dxa"/>
        <w:jc w:val="left"/>
        <w:tblInd w:w="0" w:type="dxa"/>
        <w:tblCellMar>
          <w:top w:w="0" w:type="dxa"/>
          <w:left w:w="0" w:type="dxa"/>
          <w:bottom w:w="0" w:type="dxa"/>
          <w:right w:w="0" w:type="dxa"/>
        </w:tblCellMar>
      </w:tblPr>
      <w:tblGrid>
        <w:gridCol w:w="4996"/>
        <w:gridCol w:w="326"/>
        <w:gridCol w:w="432"/>
        <w:gridCol w:w="708"/>
        <w:gridCol w:w="326"/>
        <w:gridCol w:w="271"/>
        <w:gridCol w:w="869"/>
        <w:gridCol w:w="154"/>
      </w:tblGrid>
      <w:tr>
        <w:trPr/>
        <w:tc>
          <w:tcPr>
            <w:tcW w:w="4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2" w:type="dxa"/>
            <w:tcBorders/>
            <w:shd w:fill="auto" w:val="clear"/>
            <w:vAlign w:val="center"/>
          </w:tcPr>
          <w:p>
            <w:pPr>
              <w:pStyle w:val="TableContents"/>
              <w:spacing w:before="0" w:after="1"/>
              <w:ind w:left="0" w:right="0" w:hanging="0"/>
              <w:rPr/>
            </w:pPr>
            <w:r>
              <w:rPr/>
              <w:t>​</w:t>
            </w:r>
          </w:p>
        </w:tc>
        <w:tc>
          <w:tcPr>
            <w:tcW w:w="70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49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shd w:fill="auto" w:val="clear"/>
            <w:vAlign w:val="center"/>
          </w:tcPr>
          <w:p>
            <w:pPr>
              <w:pStyle w:val="TableContents"/>
              <w:spacing w:before="0" w:after="1"/>
              <w:ind w:left="0" w:right="0" w:hanging="0"/>
              <w:rPr/>
            </w:pPr>
            <w:r>
              <w:rPr/>
              <w:t>​</w:t>
            </w:r>
          </w:p>
        </w:tc>
      </w:tr>
      <w:tr>
        <w:trPr/>
        <w:tc>
          <w:tcPr>
            <w:tcW w:w="49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1"/>
              <w:ind w:left="0" w:right="0" w:hanging="0"/>
              <w:rPr/>
            </w:pPr>
            <w:r>
              <w:rPr/>
              <w:t>​</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 debt</w:t>
            </w:r>
          </w:p>
        </w:tc>
        <w:tc>
          <w:tcPr>
            <w:tcW w:w="326" w:type="dxa"/>
            <w:tcBorders/>
            <w:shd w:fill="CCEEFF" w:val="clear"/>
            <w:vAlign w:val="center"/>
          </w:tcPr>
          <w:p>
            <w:pPr>
              <w:pStyle w:val="TableContents"/>
              <w:spacing w:before="0" w:after="1"/>
              <w:ind w:left="0" w:right="0" w:hanging="0"/>
              <w:rPr/>
            </w:pPr>
            <w:r>
              <w:rPr/>
              <w:t>​</w:t>
            </w:r>
          </w:p>
        </w:tc>
        <w:tc>
          <w:tcPr>
            <w:tcW w:w="4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29,000</w:t>
            </w:r>
          </w:p>
        </w:tc>
        <w:tc>
          <w:tcPr>
            <w:tcW w:w="154" w:type="dxa"/>
            <w:tcBorders/>
            <w:shd w:fill="CCEEFF" w:val="clear"/>
            <w:vAlign w:val="center"/>
          </w:tcPr>
          <w:p>
            <w:pPr>
              <w:pStyle w:val="TableContents"/>
              <w:spacing w:before="0" w:after="1"/>
              <w:ind w:left="0" w:right="0" w:hanging="0"/>
              <w:rPr/>
            </w:pPr>
            <w:r>
              <w:rPr/>
              <w:t>​</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Unamortized deferred finance costs related to term loan debt</w:t>
            </w:r>
          </w:p>
        </w:tc>
        <w:tc>
          <w:tcPr>
            <w:tcW w:w="326" w:type="dxa"/>
            <w:tcBorders/>
            <w:shd w:fill="auto" w:val="clear"/>
            <w:vAlign w:val="center"/>
          </w:tcPr>
          <w:p>
            <w:pPr>
              <w:pStyle w:val="TableContents"/>
              <w:spacing w:before="0" w:after="1"/>
              <w:ind w:left="0" w:right="0" w:hanging="0"/>
              <w:rPr/>
            </w:pPr>
            <w:r>
              <w:rPr/>
              <w:t>​</w:t>
            </w:r>
          </w:p>
        </w:tc>
        <w:tc>
          <w:tcPr>
            <w:tcW w:w="43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154" w:type="dxa"/>
            <w:tcBorders/>
            <w:shd w:fill="auto" w:val="clear"/>
            <w:vAlign w:val="center"/>
          </w:tcPr>
          <w:p>
            <w:pPr>
              <w:pStyle w:val="TableContents"/>
              <w:spacing w:before="0" w:after="1"/>
              <w:ind w:left="0" w:right="0" w:hanging="0"/>
              <w:rPr/>
            </w:pPr>
            <w:r>
              <w:rPr/>
              <w:t>​</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432" w:type="dxa"/>
            <w:tcBorders/>
            <w:shd w:fill="CCEEFF" w:val="clear"/>
            <w:vAlign w:val="center"/>
          </w:tcPr>
          <w:p>
            <w:pPr>
              <w:pStyle w:val="TableContents"/>
              <w:spacing w:before="0" w:after="1"/>
              <w:ind w:left="0" w:right="0" w:hanging="0"/>
              <w:rPr/>
            </w:pPr>
            <w:r>
              <w:rPr/>
              <w:t> </w:t>
            </w:r>
          </w:p>
        </w:tc>
        <w:tc>
          <w:tcPr>
            <w:tcW w:w="70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28,031</w:t>
            </w:r>
          </w:p>
        </w:tc>
        <w:tc>
          <w:tcPr>
            <w:tcW w:w="154" w:type="dxa"/>
            <w:tcBorders/>
            <w:shd w:fill="CCEEFF" w:val="clear"/>
            <w:vAlign w:val="center"/>
          </w:tcPr>
          <w:p>
            <w:pPr>
              <w:pStyle w:val="TableContents"/>
              <w:spacing w:before="0" w:after="1"/>
              <w:ind w:left="0" w:right="0" w:hanging="0"/>
              <w:rPr/>
            </w:pPr>
            <w:r>
              <w:rPr/>
              <w:t>​</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auto" w:val="clear"/>
            <w:vAlign w:val="center"/>
          </w:tcPr>
          <w:p>
            <w:pPr>
              <w:pStyle w:val="TableContents"/>
              <w:spacing w:before="0" w:after="1"/>
              <w:ind w:left="0" w:right="0" w:hanging="0"/>
              <w:rPr/>
            </w:pPr>
            <w:r>
              <w:rPr/>
              <w:t>​</w:t>
            </w:r>
          </w:p>
        </w:tc>
        <w:tc>
          <w:tcPr>
            <w:tcW w:w="43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54" w:type="dxa"/>
            <w:tcBorders/>
            <w:shd w:fill="auto" w:val="clear"/>
            <w:vAlign w:val="center"/>
          </w:tcPr>
          <w:p>
            <w:pPr>
              <w:pStyle w:val="TableContents"/>
              <w:spacing w:before="0" w:after="1"/>
              <w:ind w:left="0" w:right="0" w:hanging="0"/>
              <w:rPr/>
            </w:pPr>
            <w:r>
              <w:rPr/>
              <w:t>​</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spacing w:before="0" w:after="1"/>
              <w:ind w:left="0" w:right="0" w:hanging="0"/>
              <w:rPr/>
            </w:pPr>
            <w:r>
              <w:rPr/>
              <w:t>​</w:t>
            </w:r>
          </w:p>
        </w:tc>
        <w:tc>
          <w:tcPr>
            <w:tcW w:w="4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25,531</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the Company used $30.1 million of the proceeds received from the transaction related to the Isaac Mizrahi Brand (see Note 3) to repay all amounts outstanding under the December 30, 2021 term loan agreement with First Eagle Alternative Credit Agent, LLC (“FEAC”) described below, consisting of $28.4 million in principal amount, a $1.4 million prepayment fee, and approximately $0.3 million in interest and related expenses. As a result, the Company recognized a loss on early extinguishment of debt of approximately $2.3 million during the Current Year, consisting of approximately $1.4 million of debt prepayment premium, the immediate write-off of approximately $0.8 million of unamortized deferred finance costs, and approximately $0.1 million of other costs.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Term Loan Debt (through May 31,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Previous Term Loan Debt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11, 2019, the Company entered into an amended loan agreement with Bank Hapoalim B.M. (“BHI”), which amended and restated a prior term loan with BHI. Under that amended loan agreement, the aggregate amount of all the term loans extended by BHI to Xcel was $22.0 million, which amount was divided into two term loans: (1) a term loan in the amount of $7.3 million and (2) a term loan in the amount of $14.7 million. These two term loans bore interest at a fixed rate of 5.1% and 6.25% per annum, respectively. Such loan agreement was subsequently amended on April 13, 2020 and again on August 18, 2020; such amendments changed the timing and amount of quarterly installment payments, but did not change the total principal balance, interest rate, or maturity date.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April 2021 Term Loan Debt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14, 2021, Xcel, as Borrower, and its wholly-owned subsidiaries entered into a new loan and security agreement with BHI as administrative agent and collateral agent, FEAC as co-collateral agent, and the financial institutions party thereto as lenders. Pursuant to this loan agreement, the lenders made two term loans: (1) a term loan in the amount of $10.0 million and (2) a term loan in the amount of $15.0 million. These two term loans bore interest at “LIBOR” plus 4.0% per annum, and “LIBOR” plus 8.0% per annum, respectively, with “LIBOR” defined as the greater of (a) the rate of interest per annum for deposits in dollars for an interest period equal to one month as published by ICE Benchmark Administration Limited or a comparable or successor quoting service at approximately 11:00 a.m. (London time) on such date of determination or (b) 1.0% per annum. This loan agreement also provided that the lenders make available to Xcel a revolving loan facility in an amount up to $4.0 million on a discretionary basis, but not to exceed 85% of the amount of eligible accounts receivable, as defined.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assessed and determined that the April 2021 loan agreement resulted in an extinguishment of the previous term loan debt, and accordingly recognized a loss of approximately $0.8 million (consisting of $0.1 million of unamortized deferred finance costs and $0.7 million of breakage fees owed to the old lender under the terms of the previous debt agreement) during the Prior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Upon entering into the April 2021 loan agreement, Xcel paid a 2.5% closing fee in the amount of $0.6 million to the administrative agent for the benefit of each lender having a term loan commitment; the Company also paid approximately $0.6 million of various legal and other fees in connection with the execution of the loan agreement. These fees and costs totaling approximately $1.2 million were deferred on the Company’s balance sheet as a reduction of the carrying value of the term loan debt, to be subsequently amortized to interest expense over the term of the debt using the effective interest method.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April 2021 loan agreement, the debt was to mature on April 14, 2025, with principal payable in 16 quarterly installments of $625,000 on each of March 31, June 30, September 30, and December 31 of each year, commencing on June 30, 2021 and ending on March 31, 2025, with a final payment of $15.0 million on the maturity date of April 14, 2025. The Company made the required principal payments on June 30, 2021 and September 30, 2021 (totaling $1.25 million) as scheduled.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BHI, FEAC, and the lenders subsequently amended the April 2021 loan agreement multiple times during 2021 – on August 12, 2021, September 29, 2021, and November 12, 2021. While these amendments modified financial covenants and/or adjusted the maximum amount available under the revolving loan facility, there were no changes made to the total principal balance, interest rate, maturity date, or any other terms of the loan agreement.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December 2021 Term Loan Debt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30, 2021, Xcel, as Borrower, and its wholly-owned subsidiaries entered into a new loan and security agreement with FEAC, as lead arranger and as administrative agent and collateral agent, and the financial institutions party thereto as lenders. Pursuant to this loan agreement, the lenders made a term loan in the aggregate amount of $29.0 million. This term loan bore interest at “LIBOR” plus 7.5% per annum, with “LIBOR” defined as the greater of (a) the rate of interest per annum for deposits in dollars for an interest period equal to three months as published by Bloomberg or a comparable or successor quoting service at approximately 11:00 a.m. (London time) two business days prior to the last business day of each calendar month and (b) 1.0% per annum. The December 2021 loan agreement also provides that Xcel may request the lenders make incremental term loans of up to $25.0 million, with the terms and conditions of any such incremental term loans to be agreed in an amendment to the agreement prior to funding.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assessed and determined that the December 2021 loan agreement resulted in an extinguishment of the April 2021 term loan debt, and accordingly recognized a loss of approximately $0.74 million (consisting of $0.92 million of unamortized deferred finance costs and $(0.18) of net fees owed to BHI less refunds of certain costs related to the April 2021 term loan debt) during the Prior Year.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Upon entering into the December 2021 loan agreement, Xcel paid a 1.75% closing fee to FEAC for the benefit of the lenders; the Company also paid approximately $0.5 million of various legal and other fees in connection with the execution of the loan agreement. These fees and costs totaling approximately $0.97 million were deferred on the Company’s balance sheet as of December 31, 2021 as a reduction of the carrying value of the term loan debt, to be subsequently amortized to interest expense over the term of the debt using the effective interest method.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December 2021 term loan was to mature on April 14, 2025. Principal on this debt was payable in quarterly installments of $625,000 on each of March 31, June 30, September 30 and December 31 of each year, commencing on March 31, 2022 and ending on March 31, 2025, with a final payment of $20,875,000 on the maturity date of April 14, 2025.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December 2021 loan agreement, Xcel had the right upon thirty (30) days prior written notice to prepay all or any portion of the term loan debt and accrued and unpaid interest thereon. Based on the terms of the loan agreement, when the term loan was repaid in full on May 31, 2022, Xcel was required to pay a prepayment premium of five percent (5.00%), which amounted to approximately $1.4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Xcel also granted the lenders a right of first offer to finance any acquisition for which the consideration therefore will be paid other than by cash, the issuance of equity interests of Xcel, or the issuance of notes to the applicable seller.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various term loan agreements described above also contained customary covenants, including reporting requirements, trademark preservation, and certain financial covenants (on a consolidated basis with Xcel and its wholly-owned subsidiaries); the Company was in compliance with all applicable covenants under the respective loan agreements as of and for all periods presented in the financial statements.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Current Year and Prior Year, the Company incurred interest expense of approximately $1.2 million and $1.9 million, respectively, related to term loan debt. The effective interest rate related to term loan debt was approximately 9.8% and 8.7% for the Current Year and Prior Year, respectively.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Revolving Loan Debt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Under the terms of the April 2021 loan agreement discussed above, the lenders made a revolving loan facility available to Xcel. On June 24, 2021, Xcel borrowed $1.5 million under the aforementioned revolving loan facility, and on September 30, 2021, Xcel borrowed $998,000 under the revolving loan facility. Xcel repaid the outstanding balance in full on December 30, 2021. The revolving loan facility bore interest at a rate of 4.75% per annum, and the Company incurred related interest expense of approximately $0.1 million for the Prior Year. As of December 31, 2021, the Company no longer had access to a revolving loan facility under the terms of the new loan agreement entered into on December 30, 2021.</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7.   Stockholders’ Equity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authority to issue up to 51,000,000 shares, consisting of 50,000,000 shares of common stock and 1,000,000 shares of preferred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Incentive Plans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expense recognized for all forms of stock-based compensation was approximately $0.72 million in both the Current Year and Prior Year. Of the Current Year expense amount, approximately $0.41 million related to employees and approximately $0.31 million related to directors and consultants; approximately $0.62 million was recorded as an operating cost and approximately $0.10 million was recorded as a reduction to other income. Of the Prior Year expense amount, approximately $0.55 million related to employees and approximately $0.17 million related to directors and consultants; all of the Prior Year expense amount was recorded as an operating cost.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i/>
          <w:sz w:val="20"/>
        </w:rPr>
      </w:pPr>
      <w:bookmarkStart w:id="771" w:name="Tc_DCUTjev5WkOTdEKYJijpyQ_14_10"/>
      <w:bookmarkStart w:id="772" w:name="Tc_5MMEFNqCrEumj-nPr3DlMQ_14_9"/>
      <w:bookmarkStart w:id="773" w:name="Tc_nqL2ztPNhUCw2jxEEbEc8Q_14_4"/>
      <w:bookmarkStart w:id="774" w:name="Tc_gLL7jvGSCE6qeGm5KZM5uQ_14_0"/>
      <w:bookmarkStart w:id="775" w:name="Tc_qYZztWZ15E2OuUpF0rXnCg_13_10"/>
      <w:bookmarkStart w:id="776" w:name="Tc_mCw5AtrW3kSSLFb9If2mFA_13_9"/>
      <w:bookmarkStart w:id="777" w:name="Tc_TwHx2vQSGkKa4PirvMvoFQ_13_4"/>
      <w:bookmarkStart w:id="778" w:name="Tc_hbcQdEQf-0eV8yDwyA1O8A_13_0"/>
      <w:bookmarkStart w:id="779" w:name="Tc_H4jmh6N1M0OIZCEmDmEwFw_12_0"/>
      <w:bookmarkStart w:id="780" w:name="Tc_XliGBYq3gEuKIcfwvccNeA_11_0"/>
      <w:bookmarkStart w:id="781" w:name="Tc_6rdxcsav_E2i695shNbTnQ_10_0"/>
      <w:bookmarkStart w:id="782" w:name="Tc_M86E9xiDlEuiV9Q8E1NJ_g_9_0"/>
      <w:bookmarkStart w:id="783" w:name="Tc_I7Ccwts3P06kRmPlOAg_TA_8_10"/>
      <w:bookmarkStart w:id="784" w:name="Tc_89ymrZrTGU-ih2Np-TwTEg_8_9"/>
      <w:bookmarkStart w:id="785" w:name="Tc_pxtl3SNyBkqShIP7Z2yahw_8_4"/>
      <w:bookmarkStart w:id="786" w:name="Tc_aBPvX9H9R0qdKgNQRm8gaA_8_0"/>
      <w:bookmarkStart w:id="787" w:name="Tc_6Tq4rfU1R0KAoWIQSV48hQ_7_9"/>
      <w:bookmarkStart w:id="788" w:name="Tc_Oa33TGdBeky5yp7LHeXq4w_7_7"/>
      <w:bookmarkStart w:id="789" w:name="Tc_kWXYZ7BVmEqCRjW3STXiAw_7_4"/>
      <w:bookmarkStart w:id="790" w:name="Tc_3TmTFu-KnEK0CyJUWAhVfg_7_2"/>
      <w:bookmarkStart w:id="791" w:name="Tc_cc3vHYxCIkCv77rpkP3mUg_6_9"/>
      <w:bookmarkStart w:id="792" w:name="Tc_bw_EpESyW0SCdTcgzLHaXQ_6_7"/>
      <w:bookmarkStart w:id="793" w:name="Tc_F0S15nzD8EK-ZfyNbKx8_Q_6_4"/>
      <w:bookmarkStart w:id="794" w:name="Tc_P0QGwQWAIUeaMprdjS_WTQ_6_2"/>
      <w:bookmarkStart w:id="795" w:name="Tc_hbCGpr3V9kyUYmNd2G_PEw_5_9"/>
      <w:bookmarkStart w:id="796" w:name="Tc_xLtq6eZELUG1h2JeHGtrmA_5_7"/>
      <w:bookmarkStart w:id="797" w:name="Tc_L83CixEYCkaa2OIZAfkSUg_5_4"/>
      <w:bookmarkStart w:id="798" w:name="Tc_qeuFnG0foESa-S03oHG58w_4_7"/>
      <w:bookmarkStart w:id="799" w:name="Tc_FIdvrckmu0CE4Fj3Z_QTIw_4_4"/>
      <w:bookmarkStart w:id="800" w:name="Tc_Ohsjt_c5aUe47b3dAKfmnQ_3_7"/>
      <w:bookmarkStart w:id="801" w:name="Tc_9Dgl4IA_BUCWZ6gweTkGyw_2_7"/>
      <w:bookmarkStart w:id="802" w:name="_b9ac5a2e_9937_4582_a0d1_301025fee1ce"/>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i/>
          <w:sz w:val="20"/>
        </w:rPr>
        <w:t>Stock Options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Options granted under the Company’s equity incentive plans expire at various times – either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seven</w:t>
      </w:r>
      <w:r>
        <w:rPr>
          <w:rFonts w:ascii="Times New Roman;Times;serif" w:hAnsi="Times New Roman;Times;serif"/>
          <w:sz w:val="20"/>
        </w:rPr>
        <w:t>, or ten years from the date of grant, depending on the particular grant.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Current Year is as follows:</w:t>
      </w:r>
    </w:p>
    <w:p>
      <w:pPr>
        <w:pStyle w:val="TextBody"/>
        <w:spacing w:before="0" w:after="240"/>
        <w:ind w:left="0" w:right="0" w:hanging="0"/>
        <w:jc w:val="both"/>
        <w:rPr/>
      </w:pPr>
      <w:r>
        <w:rPr/>
        <w:t>​</w:t>
      </w:r>
    </w:p>
    <w:tbl>
      <w:tblPr>
        <w:tblW w:w="9634" w:type="dxa"/>
        <w:jc w:val="left"/>
        <w:tblInd w:w="0" w:type="dxa"/>
        <w:tblCellMar>
          <w:top w:w="0" w:type="dxa"/>
          <w:left w:w="0" w:type="dxa"/>
          <w:bottom w:w="0" w:type="dxa"/>
          <w:right w:w="0" w:type="dxa"/>
        </w:tblCellMar>
      </w:tblPr>
      <w:tblGrid>
        <w:gridCol w:w="4696"/>
        <w:gridCol w:w="326"/>
        <w:gridCol w:w="931"/>
        <w:gridCol w:w="326"/>
        <w:gridCol w:w="248"/>
        <w:gridCol w:w="548"/>
        <w:gridCol w:w="326"/>
        <w:gridCol w:w="991"/>
        <w:gridCol w:w="326"/>
        <w:gridCol w:w="291"/>
        <w:gridCol w:w="625"/>
      </w:tblGrid>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54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rPr/>
            </w:pPr>
            <w:r>
              <w:rPr/>
              <w:t>​</w:t>
            </w:r>
          </w:p>
        </w:tc>
      </w:tr>
      <w:tr>
        <w:trPr/>
        <w:tc>
          <w:tcPr>
            <w:tcW w:w="4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981960" cy="175260"/>
                      <wp:effectExtent l="0" t="0" r="0" b="0"/>
                      <wp:wrapNone/>
                      <wp:docPr id="83" name="Frame83"/>
                      <a:graphic xmlns:a="http://schemas.openxmlformats.org/drawingml/2006/main">
                        <a:graphicData uri="http://schemas.microsoft.com/office/word/2010/wordprocessingShape">
                          <wps:wsp>
                            <wps:cNvSpPr txBox="1"/>
                            <wps:spPr>
                              <a:xfrm>
                                <a:off x="0" y="0"/>
                                <a:ext cx="2981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185" cy="175260"/>
                      <wp:effectExtent l="0" t="0" r="0" b="0"/>
                      <wp:wrapNone/>
                      <wp:docPr id="85" name="Frame8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7480" cy="175260"/>
                      <wp:effectExtent l="0" t="0" r="0" b="0"/>
                      <wp:wrapNone/>
                      <wp:docPr id="87" name="Frame87"/>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7980" cy="175260"/>
                      <wp:effectExtent l="0" t="0" r="0" b="0"/>
                      <wp:wrapNone/>
                      <wp:docPr id="88" name="Frame88"/>
                      <a:graphic xmlns:a="http://schemas.openxmlformats.org/drawingml/2006/main">
                        <a:graphicData uri="http://schemas.microsoft.com/office/word/2010/wordprocessingShape">
                          <wps:wsp>
                            <wps:cNvSpPr txBox="1"/>
                            <wps:spPr>
                              <a:xfrm>
                                <a:off x="0" y="0"/>
                                <a:ext cx="347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29285" cy="175260"/>
                      <wp:effectExtent l="0" t="0" r="0" b="0"/>
                      <wp:wrapNone/>
                      <wp:docPr id="90" name="Frame90"/>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4785" cy="175260"/>
                      <wp:effectExtent l="0" t="0" r="0" b="0"/>
                      <wp:wrapNone/>
                      <wp:docPr id="92" name="Frame92"/>
                      <a:graphic xmlns:a="http://schemas.openxmlformats.org/drawingml/2006/main">
                        <a:graphicData uri="http://schemas.microsoft.com/office/word/2010/wordprocessingShape">
                          <wps:wsp>
                            <wps:cNvSpPr txBox="1"/>
                            <wps:spPr>
                              <a:xfrm>
                                <a:off x="0" y="0"/>
                                <a:ext cx="184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96875" cy="175260"/>
                      <wp:effectExtent l="0" t="0" r="0" b="0"/>
                      <wp:wrapNone/>
                      <wp:docPr id="93" name="Frame93"/>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8" w:type="dxa"/>
            <w:tcBorders/>
            <w:shd w:fill="auto" w:val="clear"/>
            <w:vAlign w:val="center"/>
          </w:tcPr>
          <w:p>
            <w:pPr>
              <w:pStyle w:val="TableContents"/>
              <w:spacing w:before="0" w:after="1"/>
              <w:ind w:left="0" w:right="0" w:hanging="0"/>
              <w:jc w:val="center"/>
              <w:rPr/>
            </w:pPr>
            <w:r>
              <w:rPr/>
              <w:t>​</w:t>
            </w:r>
          </w:p>
        </w:tc>
        <w:tc>
          <w:tcPr>
            <w:tcW w:w="54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291" w:type="dxa"/>
            <w:tcBorders/>
            <w:shd w:fill="auto" w:val="clear"/>
            <w:vAlign w:val="center"/>
          </w:tcPr>
          <w:p>
            <w:pPr>
              <w:pStyle w:val="TableContents"/>
              <w:spacing w:before="0" w:after="1"/>
              <w:ind w:left="0" w:right="0" w:hanging="0"/>
              <w:jc w:val="center"/>
              <w:rPr/>
            </w:pPr>
            <w:r>
              <w:rPr/>
              <w:t>​</w:t>
            </w:r>
          </w:p>
        </w:tc>
        <w:tc>
          <w:tcPr>
            <w:tcW w:w="625" w:type="dxa"/>
            <w:tcBorders/>
            <w:shd w:fill="auto" w:val="clear"/>
            <w:vAlign w:val="center"/>
          </w:tcPr>
          <w:p>
            <w:pPr>
              <w:pStyle w:val="TableContents"/>
              <w:spacing w:before="0" w:after="1"/>
              <w:ind w:left="0" w:right="0" w:hanging="0"/>
              <w:rPr/>
            </w:pPr>
            <w:r>
              <w:rPr/>
              <w:t>​</w: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8" w:type="dxa"/>
            <w:tcBorders/>
            <w:shd w:fill="auto" w:val="clear"/>
            <w:vAlign w:val="center"/>
          </w:tcPr>
          <w:p>
            <w:pPr>
              <w:pStyle w:val="TableContents"/>
              <w:spacing w:before="0" w:after="1"/>
              <w:ind w:left="0" w:right="0" w:hanging="0"/>
              <w:jc w:val="center"/>
              <w:rPr/>
            </w:pPr>
            <w:r>
              <w:rPr/>
              <w:t>​</w:t>
            </w:r>
          </w:p>
        </w:tc>
        <w:tc>
          <w:tcPr>
            <w:tcW w:w="54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291" w:type="dxa"/>
            <w:tcBorders/>
            <w:shd w:fill="auto" w:val="clear"/>
            <w:vAlign w:val="center"/>
          </w:tcPr>
          <w:p>
            <w:pPr>
              <w:pStyle w:val="TableContents"/>
              <w:spacing w:before="0" w:after="1"/>
              <w:ind w:left="0" w:right="0" w:hanging="0"/>
              <w:jc w:val="center"/>
              <w:rPr/>
            </w:pPr>
            <w:r>
              <w:rPr/>
              <w:t>​</w:t>
            </w:r>
          </w:p>
        </w:tc>
        <w:tc>
          <w:tcPr>
            <w:tcW w:w="625" w:type="dxa"/>
            <w:tcBorders/>
            <w:shd w:fill="auto" w:val="clear"/>
            <w:vAlign w:val="center"/>
          </w:tcPr>
          <w:p>
            <w:pPr>
              <w:pStyle w:val="TableContents"/>
              <w:spacing w:before="0" w:after="1"/>
              <w:ind w:left="0" w:right="0" w:hanging="0"/>
              <w:rPr/>
            </w:pPr>
            <w:r>
              <w:rPr/>
              <w:t>​</w: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jc w:val="center"/>
              <w:rPr/>
            </w:pPr>
            <w:r>
              <w:rPr/>
              <w:t>​</w:t>
            </w:r>
          </w:p>
        </w:tc>
        <w:tc>
          <w:tcPr>
            <w:tcW w:w="291" w:type="dxa"/>
            <w:tcBorders/>
            <w:shd w:fill="auto" w:val="clear"/>
            <w:vAlign w:val="center"/>
          </w:tcPr>
          <w:p>
            <w:pPr>
              <w:pStyle w:val="TableContents"/>
              <w:spacing w:before="0" w:after="1"/>
              <w:ind w:left="0" w:right="0" w:hanging="0"/>
              <w:jc w:val="center"/>
              <w:rPr/>
            </w:pPr>
            <w:r>
              <w:rPr/>
              <w:t>​</w:t>
            </w:r>
          </w:p>
        </w:tc>
        <w:tc>
          <w:tcPr>
            <w:tcW w:w="625" w:type="dxa"/>
            <w:tcBorders/>
            <w:shd w:fill="auto" w:val="clear"/>
            <w:vAlign w:val="center"/>
          </w:tcPr>
          <w:p>
            <w:pPr>
              <w:pStyle w:val="TableContents"/>
              <w:spacing w:before="0" w:after="1"/>
              <w:ind w:left="0" w:right="0" w:hanging="0"/>
              <w:rPr/>
            </w:pPr>
            <w:r>
              <w:rPr/>
              <w:t>​</w: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1"/>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5,630,970</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CCEEFF" w:val="clear"/>
            <w:vAlign w:val="center"/>
          </w:tcPr>
          <w:p>
            <w:pPr>
              <w:pStyle w:val="TableContents"/>
              <w:spacing w:before="0" w:after="1"/>
              <w:ind w:left="0" w:right="0" w:hanging="0"/>
              <w:rPr/>
            </w:pPr>
            <w:r>
              <w:rPr/>
              <w:t>​</w:t>
            </w:r>
          </w:p>
        </w:tc>
        <w:tc>
          <w:tcPr>
            <w:tcW w:w="2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1"/>
              <w:ind w:left="0" w:right="0" w:hanging="0"/>
              <w:jc w:val="right"/>
              <w:rPr/>
            </w:pPr>
            <w:r>
              <w:rPr/>
              <w:t>—</w:t>
            </w:r>
          </w:p>
        </w:tc>
      </w:tr>
      <w:tr>
        <w:trPr/>
        <w:tc>
          <w:tcPr>
            <w:tcW w:w="4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605,850</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5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rPr/>
            </w:pPr>
            <w:r>
              <w:rPr/>
              <w:t>  </w:t>
            </w:r>
          </w:p>
        </w:tc>
      </w:tr>
      <w:tr>
        <w:trPr/>
        <w:tc>
          <w:tcPr>
            <w:tcW w:w="4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5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pPr>
            <w:r>
              <w:rPr/>
              <w:t>​</w:t>
            </w:r>
          </w:p>
        </w:tc>
        <w:tc>
          <w:tcPr>
            <w:tcW w:w="291" w:type="dxa"/>
            <w:tcBorders/>
            <w:shd w:fill="CCEEFF" w:val="clear"/>
            <w:vAlign w:val="center"/>
          </w:tcPr>
          <w:p>
            <w:pPr>
              <w:pStyle w:val="TableContents"/>
              <w:spacing w:before="0" w:after="1"/>
              <w:ind w:left="0" w:right="0" w:hanging="0"/>
              <w:rPr/>
            </w:pPr>
            <w:r>
              <w:rPr/>
              <w:t> </w:t>
            </w:r>
          </w:p>
        </w:tc>
        <w:tc>
          <w:tcPr>
            <w:tcW w:w="625" w:type="dxa"/>
            <w:tcBorders/>
            <w:shd w:fill="CCEEFF" w:val="clear"/>
            <w:vAlign w:val="center"/>
          </w:tcPr>
          <w:p>
            <w:pPr>
              <w:pStyle w:val="TableContents"/>
              <w:spacing w:before="0" w:after="1"/>
              <w:ind w:left="0" w:right="0" w:hanging="0"/>
              <w:rPr/>
            </w:pPr>
            <w:r>
              <w:rPr/>
              <w:t>  </w:t>
            </w:r>
          </w:p>
        </w:tc>
      </w:tr>
      <w:tr>
        <w:trPr/>
        <w:tc>
          <w:tcPr>
            <w:tcW w:w="4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5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rPr/>
            </w:pPr>
            <w:r>
              <w:rPr/>
              <w:t>  </w:t>
            </w:r>
          </w:p>
        </w:tc>
      </w:tr>
      <w:tr>
        <w:trPr/>
        <w:tc>
          <w:tcPr>
            <w:tcW w:w="4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(622,510)</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spacing w:before="0" w:after="1"/>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pPr>
            <w:r>
              <w:rPr/>
              <w:t>​</w:t>
            </w:r>
          </w:p>
        </w:tc>
        <w:tc>
          <w:tcPr>
            <w:tcW w:w="29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r>
      <w:tr>
        <w:trPr/>
        <w:tc>
          <w:tcPr>
            <w:tcW w:w="4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December 31, 2022, and expected to vest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5,614,310</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auto" w:val="clear"/>
            <w:vAlign w:val="center"/>
          </w:tcPr>
          <w:p>
            <w:pPr>
              <w:pStyle w:val="TableContents"/>
              <w:spacing w:before="0" w:after="1"/>
              <w:ind w:left="0" w:right="0" w:hanging="0"/>
              <w:rPr/>
            </w:pPr>
            <w:r>
              <w:rPr/>
              <w:t>​</w:t>
            </w:r>
          </w:p>
        </w:tc>
        <w:tc>
          <w:tcPr>
            <w:tcW w:w="29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4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at December 31, 2022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1,916,810</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spacing w:before="0" w:after="1"/>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spacing w:before="0" w:after="1"/>
              <w:ind w:left="0" w:right="0" w:hanging="0"/>
              <w:rPr/>
            </w:pPr>
            <w:r>
              <w:rPr/>
              <w:t>​</w:t>
            </w:r>
          </w:p>
        </w:tc>
        <w:tc>
          <w:tcPr>
            <w:tcW w:w="29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 Year stock option grants were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2022, the Company granted options to purchase an aggregate of 380,850 shares of common stock to various employees. The exercise price of the options is $1.62 per share, and all options vested immediately on the date of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2022 the Company granted options to purchase an aggregate of 125,000 shares of common stock to non-management directors. The exercise price of the options is $1.62 per share, and 50% of the options vest on each of April 20, 2023 and April 20, 2024.</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2022, the Company granted options to purchase an aggregate of 100,000 shares of common stock to a consultant. The exercise price of the options is $1.58 per share, and all options vested immediately on the date of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Year stock option grants were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2021, the Company granted options to purchase an aggregate of 365,390 shares of common stock to various employees. The exercise price of the options is $1.86 per share, and all options vested immediately on the date of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2021, the Company granted options to purchase an aggregate of 125,000 shares of common stock to non-management directors. The exercise price of the options is $1.93 per share. One-half of the options vested on April 1, 2022, and the remaining half of the options will vest on April 1,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1, 2021, the Company granted options to purchase an aggregate of 20,000 shares of common stock to a member of management. The exercise price of the options is $2.76 per share. One-half of the options vested on June 1, 2022, and the remaining half of the options will vest on June 1,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13, 2021, the Company granted options to purchase an aggregate of 10,000 shares of common stock to an employee. The exercise price of the options is $2.00 per share. One-half of the options were to vest on August 13, 2022, with the remaining half of the options to vest on August 13, 2023, but all of these options were forfeited when the employee left the Company in the Current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bookmarkStart w:id="803" w:name="Tc_WMeBz63qqEOW_EbdfreE3Q_9_4"/>
      <w:bookmarkStart w:id="804" w:name="Tc_DN23RWU9nUWSOfqQeA5OYA_9_0"/>
      <w:bookmarkStart w:id="805" w:name="Tc_LD6nyuRYX06lOQgE1kB7Fg_8_0"/>
      <w:bookmarkStart w:id="806" w:name="Tc_Z5V-2aSwkkO37ejvKMq7wQ_7_0"/>
      <w:bookmarkStart w:id="807" w:name="Tc_Gf3l0efYLUCpfoLxw6lGgQ_6_0"/>
      <w:bookmarkStart w:id="808" w:name="Tc_wVA5zollW0-jXH6qcE1l2g_5_4"/>
      <w:bookmarkStart w:id="809" w:name="Tc_2f1RZf0m406YiNu77_DduA_5_0"/>
      <w:bookmarkStart w:id="810" w:name="Tc_kDrH9PsHIEGd5bzDFPHyTQ_4_4"/>
      <w:bookmarkStart w:id="811" w:name="Tc_H9lSu1YwOE6q_zomHQdkrw_4_2"/>
      <w:bookmarkStart w:id="812" w:name="Tc_RnejR0QsK0-N2kklWo4MFg_3_4"/>
      <w:bookmarkStart w:id="813" w:name="Tc_pUMAeYIBYEqk1cQ-7uWXvg_3_2"/>
      <w:bookmarkStart w:id="814" w:name="Tc_gBnA5Rmz8Uaj_dW0i1GKVQ_2_4"/>
      <w:bookmarkStart w:id="815" w:name="Tc_aVzm4tPtSU6zMLZkHx5X_g_1_4"/>
      <w:bookmarkStart w:id="816" w:name="_2cfc1710_f229_4f52_ab79_50c2080f6d1f"/>
      <w:bookmarkStart w:id="817" w:name="Tc_BTN6mlzFPEK6lJdg4egbOA_1_2"/>
      <w:bookmarkStart w:id="818" w:name="Tc_VhqRO-6APUW0Sv0KiBSZCA_1_0"/>
      <w:bookmarkStart w:id="819" w:name="Tc_7WtWDg26206vijl019eB5Q_6_5"/>
      <w:bookmarkStart w:id="820" w:name="Tc_rmKyPmp9x0akPRY5Ll8xNA_6_4"/>
      <w:bookmarkStart w:id="821" w:name="Tc_vhVOcChmEUGCqDtNy56Yig_6_3"/>
      <w:bookmarkStart w:id="822" w:name="Tc_UKXaPG-w70eefY7vqmD1Gw_6_2"/>
      <w:bookmarkStart w:id="823" w:name="Tc_yRNxyudta0-oKagrRguMzg_6_0"/>
      <w:bookmarkStart w:id="824" w:name="Tc_7cwyodtnpECUGekZH2YavA_5_4"/>
      <w:bookmarkStart w:id="825" w:name="Tc_x4rwfm2mAkedbGqaE2IUvg_5_2"/>
      <w:bookmarkStart w:id="826" w:name="Tc_LgGIK6SPi0ei1u4u9OSiMQ_5_0"/>
      <w:bookmarkStart w:id="827" w:name="Tc_8hqIvms3_E2Oa6tQq2tVFg_4_5"/>
      <w:bookmarkStart w:id="828" w:name="Tc_62ZPAx5tx0-yi9gE7RfBOQ_4_3"/>
      <w:bookmarkStart w:id="829" w:name="Tc_RPUM8pgZJUqCHx4JJH6Nbw_4_0"/>
      <w:bookmarkStart w:id="830" w:name="Tc_SdEO0unOQ06vFimrYSdCTQ_3_5"/>
      <w:bookmarkStart w:id="831" w:name="Tc_CMzt7x3hYUqOF4gwzMNGeg_3_4"/>
      <w:bookmarkStart w:id="832" w:name="Tc_CDGUS02dvEC8cfhZD-mZFA_3_3"/>
      <w:bookmarkStart w:id="833" w:name="Tc_OKPC3nul50SZzwAJ_ivv1Q_3_2"/>
      <w:bookmarkStart w:id="834" w:name="Tc_X-RpEKMygUKU7wBg3unhDw_3_0"/>
      <w:bookmarkStart w:id="835" w:name="Tc_3YtLevv-HEuV_C4v6CHgWQ_2_4"/>
      <w:bookmarkStart w:id="836" w:name="Tc_xC2_Cy6mvU-_dEa_SEZsaA_2_2"/>
      <w:bookmarkStart w:id="837" w:name="Tc_2_zzYdirVUSR6g1qIbe-kg_1_2"/>
      <w:bookmarkStart w:id="838" w:name="_bfdb3d6e_299e_4bef_bbde_fbb1d7141ced"/>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sz w:val="20"/>
        </w:rPr>
        <w:t>The fair value of the options granted was estimated at the date of grant using the Black-Scholes option pricing model with the following assumptions:</w:t>
      </w:r>
    </w:p>
    <w:p>
      <w:pPr>
        <w:pStyle w:val="TextBody"/>
        <w:spacing w:before="0" w:after="240"/>
        <w:ind w:left="0" w:right="0" w:hanging="0"/>
        <w:jc w:val="both"/>
        <w:rPr/>
      </w:pPr>
      <w:r>
        <w:rPr/>
        <w:t>​</w:t>
      </w:r>
    </w:p>
    <w:tbl>
      <w:tblPr>
        <w:tblW w:w="6031" w:type="dxa"/>
        <w:jc w:val="left"/>
        <w:tblInd w:w="0" w:type="dxa"/>
        <w:tblCellMar>
          <w:top w:w="0" w:type="dxa"/>
          <w:left w:w="0" w:type="dxa"/>
          <w:bottom w:w="0" w:type="dxa"/>
          <w:right w:w="0" w:type="dxa"/>
        </w:tblCellMar>
      </w:tblPr>
      <w:tblGrid>
        <w:gridCol w:w="2566"/>
        <w:gridCol w:w="326"/>
        <w:gridCol w:w="1231"/>
        <w:gridCol w:w="361"/>
        <w:gridCol w:w="1231"/>
        <w:gridCol w:w="316"/>
      </w:tblGrid>
      <w:tr>
        <w:trPr/>
        <w:tc>
          <w:tcPr>
            <w:tcW w:w="2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2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shd w:fill="auto" w:val="clear"/>
            <w:vAlign w:val="center"/>
          </w:tcPr>
          <w:p>
            <w:pPr>
              <w:pStyle w:val="TableContents"/>
              <w:spacing w:before="0" w:after="0"/>
              <w:ind w:left="0" w:right="0" w:hanging="0"/>
              <w:rPr/>
            </w:pPr>
            <w:r>
              <w:rPr/>
              <w:t> </w:t>
            </w:r>
          </w:p>
        </w:tc>
      </w:tr>
      <w:tr>
        <w:trPr/>
        <w:tc>
          <w:tcPr>
            <w:tcW w:w="2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0"/>
              <w:ind w:left="0" w:right="0" w:hanging="0"/>
              <w:rPr/>
            </w:pPr>
            <w:r>
              <w:rPr/>
              <w:t> </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57.14 – 92.65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29.49 – 82.99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31"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Life (Term, in years)</w:t>
            </w:r>
          </w:p>
        </w:tc>
        <w:tc>
          <w:tcPr>
            <w:tcW w:w="326"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0.67 – 3.25</w:t>
            </w:r>
          </w:p>
        </w:tc>
        <w:tc>
          <w:tcPr>
            <w:tcW w:w="361"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 – 3.25</w:t>
            </w:r>
          </w:p>
        </w:tc>
        <w:tc>
          <w:tcPr>
            <w:tcW w:w="316" w:type="dxa"/>
            <w:tcBorders/>
            <w:shd w:fill="CCEEFF" w:val="clear"/>
            <w:vAlign w:val="center"/>
          </w:tcPr>
          <w:p>
            <w:pPr>
              <w:pStyle w:val="TableContents"/>
              <w:spacing w:before="0" w:after="0"/>
              <w:ind w:left="0" w:right="0" w:hanging="0"/>
              <w:rPr/>
            </w:pPr>
            <w:r>
              <w:rPr/>
              <w:t>​</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 – 2.80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 – 0.52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expense related to stock options for the Current Year and Prior Year was approximately $0.5 million and $0.3 million, respectively. Total unrecognized compensation expense related to unvested stock options (excluding stock options with performance-based vesting) at December 31, 2022 amounts to approximately $0.1 million and is expected to be recognized over a weighted average period of 1.12 years.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 the total stock options outstanding at December 31, 2022, the vesting of 3,500,000 options is contingent upon the Company’s common stock achieving certain target prices as follows:</w:t>
      </w:r>
    </w:p>
    <w:p>
      <w:pPr>
        <w:pStyle w:val="TextBody"/>
        <w:spacing w:before="0" w:after="0"/>
        <w:ind w:left="0" w:right="0" w:hanging="0"/>
        <w:rPr/>
      </w:pPr>
      <w:r>
        <w:rPr/>
        <w:t>​</w:t>
      </w:r>
    </w:p>
    <w:tbl>
      <w:tblPr>
        <w:tblW w:w="3553" w:type="dxa"/>
        <w:jc w:val="left"/>
        <w:tblInd w:w="0" w:type="dxa"/>
        <w:tblCellMar>
          <w:top w:w="0" w:type="dxa"/>
          <w:left w:w="0" w:type="dxa"/>
          <w:bottom w:w="0" w:type="dxa"/>
          <w:right w:w="0" w:type="dxa"/>
        </w:tblCellMar>
      </w:tblPr>
      <w:tblGrid>
        <w:gridCol w:w="1096"/>
        <w:gridCol w:w="326"/>
        <w:gridCol w:w="2131"/>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5960" cy="175260"/>
                      <wp:effectExtent l="0" t="0" r="0" b="0"/>
                      <wp:wrapNone/>
                      <wp:docPr id="94" name="Frame9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53185" cy="175260"/>
                      <wp:effectExtent l="0" t="0" r="0" b="0"/>
                      <wp:wrapNone/>
                      <wp:docPr id="96" name="Frame96"/>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 Prices</w:t>
            </w:r>
          </w:p>
        </w:tc>
        <w:tc>
          <w:tcPr>
            <w:tcW w:w="326" w:type="dxa"/>
            <w:tcBorders/>
            <w:shd w:fill="auto" w:val="clear"/>
            <w:vAlign w:val="center"/>
          </w:tcPr>
          <w:p>
            <w:pPr>
              <w:pStyle w:val="TableContents"/>
              <w:spacing w:before="0" w:after="1"/>
              <w:ind w:left="0" w:right="0" w:hanging="0"/>
              <w:jc w:val="center"/>
              <w:rPr/>
            </w:pPr>
            <w:r>
              <w:rPr/>
              <w:t>    </w:t>
            </w:r>
          </w:p>
        </w:tc>
        <w:tc>
          <w:tcPr>
            <w:tcW w:w="21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Options Vesting</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$3.00 </w:t>
            </w:r>
          </w:p>
        </w:tc>
        <w:tc>
          <w:tcPr>
            <w:tcW w:w="326" w:type="dxa"/>
            <w:tcBorders/>
            <w:shd w:fill="CCEEFF" w:val="clear"/>
            <w:vAlign w:val="center"/>
          </w:tcPr>
          <w:p>
            <w:pPr>
              <w:pStyle w:val="TableContents"/>
              <w:spacing w:before="0" w:after="1"/>
              <w:ind w:left="0" w:right="0" w:hanging="0"/>
              <w:rPr/>
            </w:pPr>
            <w:r>
              <w:rPr/>
              <w:t>​</w:t>
            </w:r>
          </w:p>
        </w:tc>
        <w:tc>
          <w:tcPr>
            <w:tcW w:w="21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1,000,000</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$5.00 </w:t>
            </w:r>
          </w:p>
        </w:tc>
        <w:tc>
          <w:tcPr>
            <w:tcW w:w="326" w:type="dxa"/>
            <w:tcBorders/>
            <w:shd w:fill="auto" w:val="clear"/>
            <w:vAlign w:val="center"/>
          </w:tcPr>
          <w:p>
            <w:pPr>
              <w:pStyle w:val="TableContents"/>
              <w:spacing w:before="0" w:after="1"/>
              <w:ind w:left="0" w:right="0" w:hanging="0"/>
              <w:rPr/>
            </w:pPr>
            <w:r>
              <w:rPr/>
              <w:t>​</w:t>
            </w:r>
          </w:p>
        </w:tc>
        <w:tc>
          <w:tcPr>
            <w:tcW w:w="21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850,000</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$7.00 </w:t>
            </w:r>
          </w:p>
        </w:tc>
        <w:tc>
          <w:tcPr>
            <w:tcW w:w="326" w:type="dxa"/>
            <w:tcBorders/>
            <w:shd w:fill="CCEEFF" w:val="clear"/>
            <w:vAlign w:val="center"/>
          </w:tcPr>
          <w:p>
            <w:pPr>
              <w:pStyle w:val="TableContents"/>
              <w:spacing w:before="0" w:after="1"/>
              <w:ind w:left="0" w:right="0" w:hanging="0"/>
              <w:rPr/>
            </w:pPr>
            <w:r>
              <w:rPr/>
              <w:t>​</w:t>
            </w:r>
          </w:p>
        </w:tc>
        <w:tc>
          <w:tcPr>
            <w:tcW w:w="21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700,000</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$9.00 </w:t>
            </w:r>
          </w:p>
        </w:tc>
        <w:tc>
          <w:tcPr>
            <w:tcW w:w="326" w:type="dxa"/>
            <w:tcBorders/>
            <w:shd w:fill="auto" w:val="clear"/>
            <w:vAlign w:val="center"/>
          </w:tcPr>
          <w:p>
            <w:pPr>
              <w:pStyle w:val="TableContents"/>
              <w:spacing w:before="0" w:after="1"/>
              <w:ind w:left="0" w:right="0" w:hanging="0"/>
              <w:rPr/>
            </w:pPr>
            <w:r>
              <w:rPr/>
              <w:t>​</w:t>
            </w:r>
          </w:p>
        </w:tc>
        <w:tc>
          <w:tcPr>
            <w:tcW w:w="21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550,000</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$11.00 </w:t>
            </w:r>
          </w:p>
        </w:tc>
        <w:tc>
          <w:tcPr>
            <w:tcW w:w="326" w:type="dxa"/>
            <w:tcBorders/>
            <w:shd w:fill="CCEEFF" w:val="clear"/>
            <w:vAlign w:val="center"/>
          </w:tcPr>
          <w:p>
            <w:pPr>
              <w:pStyle w:val="TableContents"/>
              <w:spacing w:before="0" w:after="1"/>
              <w:ind w:left="0" w:right="0" w:hanging="0"/>
              <w:rPr/>
            </w:pPr>
            <w:r>
              <w:rPr/>
              <w:t>​</w:t>
            </w:r>
          </w:p>
        </w:tc>
        <w:tc>
          <w:tcPr>
            <w:tcW w:w="21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400,000</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none of these 3,500,000 performance-based stock options have vested, and no compensation expense has been recorded related to such options.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for non-vested options for the Current Year:</w:t>
      </w:r>
    </w:p>
    <w:p>
      <w:pPr>
        <w:pStyle w:val="TextBody"/>
        <w:spacing w:before="0" w:after="240"/>
        <w:ind w:left="0" w:right="0" w:hanging="0"/>
        <w:jc w:val="both"/>
        <w:rPr/>
      </w:pPr>
      <w:r>
        <w:rPr/>
        <w:t>​</w:t>
      </w:r>
    </w:p>
    <w:tbl>
      <w:tblPr>
        <w:tblW w:w="5215" w:type="dxa"/>
        <w:jc w:val="left"/>
        <w:tblInd w:w="0" w:type="dxa"/>
        <w:tblCellMar>
          <w:top w:w="0" w:type="dxa"/>
          <w:left w:w="0" w:type="dxa"/>
          <w:bottom w:w="0" w:type="dxa"/>
          <w:right w:w="0" w:type="dxa"/>
        </w:tblCellMar>
      </w:tblPr>
      <w:tblGrid>
        <w:gridCol w:w="2596"/>
        <w:gridCol w:w="326"/>
        <w:gridCol w:w="931"/>
        <w:gridCol w:w="326"/>
        <w:gridCol w:w="278"/>
        <w:gridCol w:w="758"/>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w:t>
            </w:r>
          </w:p>
        </w:tc>
        <w:tc>
          <w:tcPr>
            <w:tcW w:w="758" w:type="dxa"/>
            <w:tcBorders/>
            <w:shd w:fill="auto" w:val="clear"/>
            <w:vAlign w:val="center"/>
          </w:tcPr>
          <w:p>
            <w:pPr>
              <w:pStyle w:val="TableContents"/>
              <w:spacing w:before="0" w:after="0"/>
              <w:ind w:left="0" w:right="0" w:hanging="0"/>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Average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January 1, 2022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3,873,334</w:t>
            </w:r>
          </w:p>
        </w:tc>
        <w:tc>
          <w:tcPr>
            <w:tcW w:w="326"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605,850</w:t>
            </w:r>
          </w:p>
        </w:tc>
        <w:tc>
          <w:tcPr>
            <w:tcW w:w="326" w:type="dxa"/>
            <w:tcBorders/>
            <w:shd w:fill="auto" w:val="clear"/>
            <w:vAlign w:val="center"/>
          </w:tcPr>
          <w:p>
            <w:pPr>
              <w:pStyle w:val="TableContents"/>
              <w:spacing w:before="0" w:after="0"/>
              <w:ind w:left="0" w:right="0" w:hanging="0"/>
              <w:rPr/>
            </w:pPr>
            <w:r>
              <w:rPr/>
              <w:t>​</w:t>
            </w:r>
          </w:p>
        </w:tc>
        <w:tc>
          <w:tcPr>
            <w:tcW w:w="278" w:type="dxa"/>
            <w:tcBorders/>
            <w:shd w:fill="auto" w:val="clear"/>
            <w:vAlign w:val="center"/>
          </w:tcPr>
          <w:p>
            <w:pPr>
              <w:pStyle w:val="TableContents"/>
              <w:spacing w:before="0" w:after="0"/>
              <w:ind w:left="0" w:right="0" w:hanging="0"/>
              <w:rPr/>
            </w:pPr>
            <w:r>
              <w:rPr/>
              <w:t> </w:t>
            </w:r>
          </w:p>
        </w:tc>
        <w:tc>
          <w:tcPr>
            <w:tcW w:w="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0.79</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(771,684)</w:t>
            </w:r>
          </w:p>
        </w:tc>
        <w:tc>
          <w:tcPr>
            <w:tcW w:w="326" w:type="dxa"/>
            <w:tcBorders/>
            <w:shd w:fill="CCEEFF" w:val="clear"/>
            <w:vAlign w:val="center"/>
          </w:tcPr>
          <w:p>
            <w:pPr>
              <w:pStyle w:val="TableContents"/>
              <w:spacing w:before="0" w:after="0"/>
              <w:ind w:left="0" w:right="0" w:hanging="0"/>
              <w:rPr/>
            </w:pPr>
            <w:r>
              <w:rPr/>
              <w:t>​</w:t>
            </w:r>
          </w:p>
        </w:tc>
        <w:tc>
          <w:tcPr>
            <w:tcW w:w="278"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 or Canceled</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auto" w:val="clear"/>
            <w:vAlign w:val="center"/>
          </w:tcPr>
          <w:p>
            <w:pPr>
              <w:pStyle w:val="TableContents"/>
              <w:spacing w:before="0" w:after="0"/>
              <w:ind w:left="0" w:right="0" w:hanging="0"/>
              <w:rPr/>
            </w:pPr>
            <w:r>
              <w:rPr/>
              <w:t>​</w:t>
            </w:r>
          </w:p>
        </w:tc>
        <w:tc>
          <w:tcPr>
            <w:tcW w:w="27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3,697,500</w:t>
            </w:r>
          </w:p>
        </w:tc>
        <w:tc>
          <w:tcPr>
            <w:tcW w:w="326" w:type="dxa"/>
            <w:tcBorders/>
            <w:shd w:fill="CCEEFF" w:val="clear"/>
            <w:vAlign w:val="center"/>
          </w:tcPr>
          <w:p>
            <w:pPr>
              <w:pStyle w:val="TableContents"/>
              <w:spacing w:before="0" w:after="0"/>
              <w:ind w:left="0" w:right="0" w:hanging="0"/>
              <w:rPr/>
            </w:pPr>
            <w:r>
              <w:rPr/>
              <w:t>​</w:t>
            </w:r>
          </w:p>
        </w:tc>
        <w:tc>
          <w:tcPr>
            <w:tcW w:w="27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0.05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i/>
          <w:sz w:val="20"/>
        </w:rPr>
      </w:pPr>
      <w:bookmarkStart w:id="839" w:name="Tc_Rk9b-yhWNkWZhAnXytmN4A_10_4"/>
      <w:bookmarkStart w:id="840" w:name="Tc_9jbJBg5-4Eitxzw9yPRbRQ_10_0"/>
      <w:bookmarkStart w:id="841" w:name="Tc_LxRlg7sng0qN7Th-EOAkug_9_0"/>
      <w:bookmarkStart w:id="842" w:name="Tc_u06QTdu9CUCBBImdxKxQ7g_8_0"/>
      <w:bookmarkStart w:id="843" w:name="Tc__vMUIaHqgEmN_dBPdkR-PQ_7_0"/>
      <w:bookmarkStart w:id="844" w:name="Tc_nf_a-MgCe0mIbDNNZwnYwQ_6_0"/>
      <w:bookmarkStart w:id="845" w:name="Tc_kw6vN6XcY0aItH9WXSzpvQ_5_4"/>
      <w:bookmarkStart w:id="846" w:name="Tc_3RnaNsZEQEWXp7gbtyvTMw_5_0"/>
      <w:bookmarkStart w:id="847" w:name="Tc_eLOnuDaUCECtsu7guCjB3g_4_4"/>
      <w:bookmarkStart w:id="848" w:name="Tc_pZxWp5-Ts0iTcGRbgUHKHw_4_2"/>
      <w:bookmarkStart w:id="849" w:name="Tc_nkRlBAQ7hEG7s171uHuXZg_3_4"/>
      <w:bookmarkStart w:id="850" w:name="Tc_ocZbE0EsukuMXsosDCkJ3g_3_2"/>
      <w:bookmarkStart w:id="851" w:name="Tc_62wd8Gpr-kaiHiPBgJs44w_2_4"/>
      <w:bookmarkStart w:id="852" w:name="Tc_b2qgsrPK8UOTbH2otJecJQ_2_2"/>
      <w:bookmarkStart w:id="853" w:name="Tc_9IUhoO2vykq9DI8slCkuiw_1_4"/>
      <w:bookmarkStart w:id="854" w:name="_a2f82f91_52da_43e1_a235_e0d759fc5633"/>
      <w:bookmarkStart w:id="855" w:name="Tc_LAOknJyExUm1Z7E6tr0vwg_12_10"/>
      <w:bookmarkStart w:id="856" w:name="Tc_D41AESI5O0mzfu17t4VvMA_12_9"/>
      <w:bookmarkStart w:id="857" w:name="Tc_yxu_9Tvuh0mVf8nUG0UVGw_12_4"/>
      <w:bookmarkStart w:id="858" w:name="Tc_rXGXfkNrzkmY9ZHtQs0ONg_12_0"/>
      <w:bookmarkStart w:id="859" w:name="Tc_zkt4ZeYDo0mEqG3eGJb2KQ_11_0"/>
      <w:bookmarkStart w:id="860" w:name="Tc_h9dEOR0Jj0ac2F4bnjP_LA_10_0"/>
      <w:bookmarkStart w:id="861" w:name="Tc_SNh1cmxMj0SiifpUzSZ3vA_9_0"/>
      <w:bookmarkStart w:id="862" w:name="Tc_1W5vHFAUsEm2l33Eft65wQ_8_0"/>
      <w:bookmarkStart w:id="863" w:name="Tc_91WDSr70BkGGCCPSrvW7hA_7_10"/>
      <w:bookmarkStart w:id="864" w:name="Tc_CADGP_VRBk6zHT1abMbhzA_7_9"/>
      <w:bookmarkStart w:id="865" w:name="Tc_GJPBBqERPEeNwu29Stbe6Q_7_4"/>
      <w:bookmarkStart w:id="866" w:name="Tc_0PJG7DCNA0CFFgSg7P9Q0w_7_0"/>
      <w:bookmarkStart w:id="867" w:name="Tc_T-1qAgK6B0-8t0HM5tB_Sw_6_9"/>
      <w:bookmarkStart w:id="868" w:name="Tc_G53PzPGtYESD_86Ufcji9g_6_7"/>
      <w:bookmarkStart w:id="869" w:name="Tc_D-J7Dx8KI0GMd-rXQ17GAQ_6_4"/>
      <w:bookmarkStart w:id="870" w:name="Tc_fOqNOTfxhEGsLPPyMc3IQQ_6_2"/>
      <w:bookmarkStart w:id="871" w:name="Tc_bT5KfvloQ0uR-2n5en5WxA_5_9"/>
      <w:bookmarkStart w:id="872" w:name="Tc_qxS5M4Z0dEasrE7LAmmSEA_5_7"/>
      <w:bookmarkStart w:id="873" w:name="Tc_8lVhf2vfBkmXeTusRTXEwQ_5_4"/>
      <w:bookmarkStart w:id="874" w:name="Tc_e8izgRXCp0yRn6p2uO8Klw_5_2"/>
      <w:bookmarkStart w:id="875" w:name="Tc_sMwos23Ulk-ihm4Lx26x0Q_4_9"/>
      <w:bookmarkStart w:id="876" w:name="Tc_qwHX4FUSTUyzH-qtwuDGuw_4_7"/>
      <w:bookmarkStart w:id="877" w:name="Tc_Q6W5nBaM-0ikeWsAjfMuVA_4_4"/>
      <w:bookmarkStart w:id="878" w:name="Tc_fVqQg8bHR0e98IudGaTgmg_3_7"/>
      <w:bookmarkStart w:id="879" w:name="Tc_TvvYjRFeGUG49OgoxF3JSA_3_4"/>
      <w:bookmarkStart w:id="880" w:name="Tc_O6h8I4_99UyBq0hE57maLw_2_7"/>
      <w:bookmarkStart w:id="881" w:name="Tc_1igM_FQuK0qdrXnk5pA4mA_1_7"/>
      <w:bookmarkStart w:id="882" w:name="_2ef8bd55_5526_4595_a654_944e467974ab"/>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i/>
          <w:sz w:val="20"/>
        </w:rPr>
        <w:t>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Warrants granted by the Company expire at various times – either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seven</w:t>
      </w:r>
      <w:r>
        <w:rPr>
          <w:rFonts w:ascii="Times New Roman;Times;serif" w:hAnsi="Times New Roman;Times;serif"/>
          <w:sz w:val="20"/>
        </w:rPr>
        <w:t>, or ten years from the date of grant, depending on the particular grant.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warrant activity for the Current Year is as follows:</w:t>
      </w:r>
    </w:p>
    <w:p>
      <w:pPr>
        <w:pStyle w:val="TextBody"/>
        <w:spacing w:before="0" w:after="240"/>
        <w:ind w:left="0" w:right="0" w:hanging="0"/>
        <w:jc w:val="both"/>
        <w:rPr/>
      </w:pPr>
      <w:r>
        <w:rPr/>
        <w:t>​</w:t>
      </w:r>
    </w:p>
    <w:tbl>
      <w:tblPr>
        <w:tblW w:w="9139" w:type="dxa"/>
        <w:jc w:val="left"/>
        <w:tblInd w:w="0" w:type="dxa"/>
        <w:tblCellMar>
          <w:top w:w="0" w:type="dxa"/>
          <w:left w:w="0" w:type="dxa"/>
          <w:bottom w:w="0" w:type="dxa"/>
          <w:right w:w="0" w:type="dxa"/>
        </w:tblCellMar>
      </w:tblPr>
      <w:tblGrid>
        <w:gridCol w:w="4246"/>
        <w:gridCol w:w="326"/>
        <w:gridCol w:w="886"/>
        <w:gridCol w:w="326"/>
        <w:gridCol w:w="248"/>
        <w:gridCol w:w="548"/>
        <w:gridCol w:w="326"/>
        <w:gridCol w:w="991"/>
        <w:gridCol w:w="326"/>
        <w:gridCol w:w="291"/>
        <w:gridCol w:w="625"/>
      </w:tblGrid>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54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rPr/>
            </w:pPr>
            <w:r>
              <w:rPr/>
              <w:t>​</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5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jc w:val="center"/>
              <w:rPr/>
            </w:pPr>
            <w:r>
              <w:rPr/>
              <w:t>​</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5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jc w:val="center"/>
              <w:rPr/>
            </w:pPr>
            <w:r>
              <w:rPr/>
              <w:t>​</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jc w:val="center"/>
              <w:rPr/>
            </w:pPr>
            <w:r>
              <w:rPr/>
              <w:t>​</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1"/>
              <w:ind w:left="0" w:right="0" w:hanging="0"/>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shd w:fill="auto" w:val="clear"/>
            <w:vAlign w:val="center"/>
          </w:tcPr>
          <w:p>
            <w:pPr>
              <w:pStyle w:val="TableContents"/>
              <w:spacing w:before="0" w:after="1"/>
              <w:ind w:left="0" w:right="0" w:hanging="0"/>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1"/>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and exercisable at January 1, 2022</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spacing w:before="0" w:after="1"/>
              <w:ind w:left="0" w:right="0" w:hanging="0"/>
              <w:rPr/>
            </w:pPr>
            <w:r>
              <w:rPr/>
              <w:t>​</w:t>
            </w:r>
          </w:p>
        </w:tc>
        <w:tc>
          <w:tcPr>
            <w:tcW w:w="2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1"/>
              <w:ind w:left="0" w:right="0" w:hanging="0"/>
              <w:jc w:val="right"/>
              <w:rPr/>
            </w:pPr>
            <w:r>
              <w:rPr/>
              <w:t>—</w:t>
            </w:r>
          </w:p>
        </w:tc>
      </w:tr>
      <w:tr>
        <w:trPr/>
        <w:tc>
          <w:tcPr>
            <w:tcW w:w="4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5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jc w:val="right"/>
              <w:rPr/>
            </w:pPr>
            <w:r>
              <w:rPr/>
              <w:t>  </w:t>
            </w:r>
          </w:p>
        </w:tc>
      </w:tr>
      <w:tr>
        <w:trPr/>
        <w:tc>
          <w:tcPr>
            <w:tcW w:w="4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5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1" w:type="dxa"/>
            <w:tcBorders/>
            <w:shd w:fill="CCEEFF" w:val="clear"/>
            <w:vAlign w:val="center"/>
          </w:tcPr>
          <w:p>
            <w:pPr>
              <w:pStyle w:val="TableContents"/>
              <w:spacing w:before="0" w:after="1"/>
              <w:ind w:left="0" w:right="0" w:hanging="0"/>
              <w:rPr/>
            </w:pPr>
            <w:r>
              <w:rPr/>
              <w:t> </w:t>
            </w:r>
          </w:p>
        </w:tc>
        <w:tc>
          <w:tcPr>
            <w:tcW w:w="625" w:type="dxa"/>
            <w:tcBorders/>
            <w:shd w:fill="CCEEFF" w:val="clear"/>
            <w:vAlign w:val="center"/>
          </w:tcPr>
          <w:p>
            <w:pPr>
              <w:pStyle w:val="TableContents"/>
              <w:spacing w:before="0" w:after="1"/>
              <w:ind w:left="0" w:right="0" w:hanging="0"/>
              <w:jc w:val="right"/>
              <w:rPr/>
            </w:pPr>
            <w:r>
              <w:rPr/>
              <w:t>  </w:t>
            </w:r>
          </w:p>
        </w:tc>
      </w:tr>
      <w:tr>
        <w:trPr/>
        <w:tc>
          <w:tcPr>
            <w:tcW w:w="4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5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1"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jc w:val="right"/>
              <w:rPr/>
            </w:pPr>
            <w:r>
              <w:rPr/>
              <w:t>  </w:t>
            </w:r>
          </w:p>
        </w:tc>
      </w:tr>
      <w:tr>
        <w:trPr/>
        <w:tc>
          <w:tcPr>
            <w:tcW w:w="4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r>
      <w:tr>
        <w:trPr/>
        <w:tc>
          <w:tcPr>
            <w:tcW w:w="4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and exercisable at December 31, 2022</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auto" w:val="clear"/>
            <w:vAlign w:val="center"/>
          </w:tcPr>
          <w:p>
            <w:pPr>
              <w:pStyle w:val="TableContents"/>
              <w:spacing w:before="0" w:after="1"/>
              <w:ind w:left="0" w:right="0" w:hanging="0"/>
              <w:rPr/>
            </w:pPr>
            <w:r>
              <w:rPr/>
              <w:t>​</w:t>
            </w:r>
          </w:p>
        </w:tc>
        <w:tc>
          <w:tcPr>
            <w:tcW w:w="29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 compensation expense was recorded in the Current Year or Prior Year related to warrants.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 Awards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restricted stock activity for the Current Year is as follows:</w:t>
      </w:r>
    </w:p>
    <w:p>
      <w:pPr>
        <w:pStyle w:val="TextBody"/>
        <w:spacing w:before="0" w:after="240"/>
        <w:ind w:left="0" w:right="0" w:hanging="0"/>
        <w:jc w:val="both"/>
        <w:rPr/>
      </w:pPr>
      <w:r>
        <w:rPr/>
        <w:t>​</w:t>
      </w:r>
    </w:p>
    <w:tbl>
      <w:tblPr>
        <w:tblW w:w="5484" w:type="dxa"/>
        <w:jc w:val="left"/>
        <w:tblInd w:w="0" w:type="dxa"/>
        <w:tblCellMar>
          <w:top w:w="0" w:type="dxa"/>
          <w:left w:w="0" w:type="dxa"/>
          <w:bottom w:w="0" w:type="dxa"/>
          <w:right w:w="0" w:type="dxa"/>
        </w:tblCellMar>
      </w:tblPr>
      <w:tblGrid>
        <w:gridCol w:w="2941"/>
        <w:gridCol w:w="326"/>
        <w:gridCol w:w="901"/>
        <w:gridCol w:w="326"/>
        <w:gridCol w:w="266"/>
        <w:gridCol w:w="724"/>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67535" cy="175260"/>
                      <wp:effectExtent l="0" t="0" r="0" b="0"/>
                      <wp:wrapNone/>
                      <wp:docPr id="97" name="Frame97"/>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72135" cy="175260"/>
                      <wp:effectExtent l="0" t="0" r="0" b="0"/>
                      <wp:wrapNone/>
                      <wp:docPr id="99" name="Frame9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8910" cy="175260"/>
                      <wp:effectExtent l="0" t="0" r="0" b="0"/>
                      <wp:wrapNone/>
                      <wp:docPr id="101" name="Frame10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9740" cy="175260"/>
                      <wp:effectExtent l="0" t="0" r="0" b="0"/>
                      <wp:wrapNone/>
                      <wp:docPr id="102" name="Frame102"/>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26" w:type="dxa"/>
            <w:tcBorders/>
            <w:shd w:fill="auto" w:val="clear"/>
            <w:vAlign w:val="center"/>
          </w:tcPr>
          <w:p>
            <w:pPr>
              <w:pStyle w:val="TableContents"/>
              <w:spacing w:before="0" w:after="1"/>
              <w:ind w:left="0" w:right="0" w:hanging="0"/>
              <w:rPr/>
            </w:pPr>
            <w:r>
              <w:rPr/>
              <w:t>​</w:t>
            </w:r>
          </w:p>
        </w:tc>
        <w:tc>
          <w:tcPr>
            <w:tcW w:w="99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99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815,833</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347,623</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Canceled</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 </w:t>
            </w:r>
          </w:p>
        </w:tc>
        <w:tc>
          <w:tcPr>
            <w:tcW w:w="724" w:type="dxa"/>
            <w:tcBorders/>
            <w:shd w:fill="CCEEFF" w:val="clear"/>
            <w:vAlign w:val="center"/>
          </w:tcPr>
          <w:p>
            <w:pPr>
              <w:pStyle w:val="TableContents"/>
              <w:spacing w:before="0" w:after="1"/>
              <w:ind w:left="0" w:right="0" w:hanging="0"/>
              <w:jc w:val="right"/>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(830,123)</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Expired/Forfeited</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333,333</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3.71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 Year stock award grants were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2022, the Company issued an aggregate of 50,000 shares of common stock to non-management directors, which vest evenly over two years, of which 50% shall vest on April 20, 2023, and 50% shall vest on April 20, 2024.</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2022, the Company issued 20,064 shares of common stock to a consultant, which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issued 65,275 shares of common stock to a consultant in connection with the transaction related to the Isaac Mizrahi Brand (see Note 3); these shares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issued 33,557 shares of common stock to Isaac Mizrahi, which vested immediately (see Note 3 for additional details).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bookmarkStart w:id="883" w:name="Tc_A9fzLjAVaEK8Ajt4fSIftg_13_9"/>
      <w:bookmarkStart w:id="884" w:name="Tc_9gZtrOHJI0--uAGmma4fDQ_13_4"/>
      <w:bookmarkStart w:id="885" w:name="Tc_oPHKZmX4S02589xcMvnSeQ_13_0"/>
      <w:bookmarkStart w:id="886" w:name="Tc_-qo4YSOinkuouZALcF1UPA_12_0"/>
      <w:bookmarkStart w:id="887" w:name="Tc_FaXp7QfhaEyZ48eZEzi1xA_10_9"/>
      <w:bookmarkStart w:id="888" w:name="Tc_1Z88PiYcFEmM8fyI63A4Kw_10_4"/>
      <w:bookmarkStart w:id="889" w:name="Tc_05fZq22XyEqvBMqD9sc4iw_10_0"/>
      <w:bookmarkStart w:id="890" w:name="Tc_Lf1jKs5epEquFmlzm76qmg_9_0"/>
      <w:bookmarkStart w:id="891" w:name="Tc_uPpcYGZvPEGjasoBMsA2dg_8_0"/>
      <w:bookmarkStart w:id="892" w:name="Tc_yXc2YR9zjkuiC3yUxO3VnA_7_9"/>
      <w:bookmarkStart w:id="893" w:name="Tc_5FOhyKsY6UyS2GQAZD2MGw_7_7"/>
      <w:bookmarkStart w:id="894" w:name="Tc_fs9OfNCkbk6jnvVxyruhdQ_7_4"/>
      <w:bookmarkStart w:id="895" w:name="Tc_x1VjBgKPVEi9tMAbE8QzkA_7_2"/>
      <w:bookmarkStart w:id="896" w:name="Tc_QbB1UllpY0iGCELNfhq6bA_7_0"/>
      <w:bookmarkStart w:id="897" w:name="Tc_6AapRpt0NUGkPrTH61WK9A_6_9"/>
      <w:bookmarkStart w:id="898" w:name="Tc_-W-HrY2eTkm-cjGcNwPaRg_6_7"/>
      <w:bookmarkStart w:id="899" w:name="Tc_XOv8ktmDm0yDPUslHgteww_6_4"/>
      <w:bookmarkStart w:id="900" w:name="Tc_RGsNBKw1Q0aDd_5Xu6toKQ_6_2"/>
      <w:bookmarkStart w:id="901" w:name="Tc_Y3E3Rm5dUEqE9yjWXwxo4g_5_9"/>
      <w:bookmarkStart w:id="902" w:name="Tc_iG2iigeAhka76bOynlGkqA_5_7"/>
      <w:bookmarkStart w:id="903" w:name="Tc_6JtKH0KRREKuLRJ1qoxb2g_5_4"/>
      <w:bookmarkStart w:id="904" w:name="Tc_aQK9KLexykyWAJjfuuEgvA_5_2"/>
      <w:bookmarkStart w:id="905" w:name="Tc_lH4R9JpBfUq4TKAatOKv8g_4_7"/>
      <w:bookmarkStart w:id="906" w:name="Tc_7JQcb1UZAkqAPWf9BW1JGQ_3_7"/>
      <w:bookmarkStart w:id="907" w:name="Tc__l63Cl0_yk2_e2NPhY_6PA_2_7"/>
      <w:bookmarkStart w:id="908" w:name="Tc_deyVpCO_s0mDkFRnnzpQRA_1_7"/>
      <w:bookmarkStart w:id="909" w:name="_87226798_e4f3_4c71_a095_abdc3a76bd61"/>
      <w:bookmarkStart w:id="910" w:name="Narr_0u0leYrat0CHsUw4tXoZkw"/>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sz w:val="20"/>
        </w:rPr>
        <w:t>Additionally, on April 20, 2022, the Company issued 178,727 shares of common stock to a member of senior management as payment for a performance bonus earned in 2021. These shares vested immediately. The Company had previously recognized compensation expense of approximately $0.28 million in the Prior Year to accrue for this performance bonus.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Year stock award grants were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2021, the Company issued an aggregate of 50,000 shares of stock to non-management directors, which vest evenly over two years. One-half of the shares vested on April 1, 2022, and the remaining half shall vest on April 1,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2021, the Company issued 14,045 shares of stock to a consultant, which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1, 2021, the Company issued 9,399 shares of stock to a consultant, which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 2021, the Company issued 16,892 shares of stock to a consultant, which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29, 2021, the Company issued 12,489 shares of stock to an employee pursuant to the terms of a contractual agreement, which vested immediately.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on May 7, 2021, the Company issued 181,179 shares of common stock to a member of senior management as payment for a performance bonus earned 2020. These shares vested immediately. The Company recognized compensation expense of approximately $0.3 million in 2020 to accrue for this performance bonus.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compensation expense related to stock awards for the Current Year and Prior Year (inclusive of the amounts detailed above) was approximately $0.3 million and $0.4 million, respectively. Total unrecognized compensation expense related to unvested restricted stock grants at December 31, 2022 amounts to $0.1 million and is expected to be recognized over a weighted average period of 1.10 years.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with respect to restricted stock purchased and retired by the Company during the Current Year and Prior Year:</w:t>
      </w:r>
    </w:p>
    <w:p>
      <w:pPr>
        <w:pStyle w:val="TextBody"/>
        <w:spacing w:before="0" w:after="240"/>
        <w:ind w:left="0" w:right="0" w:hanging="0"/>
        <w:jc w:val="both"/>
        <w:rPr/>
      </w:pPr>
      <w:r>
        <w:rPr/>
        <w:t>​</w:t>
      </w:r>
    </w:p>
    <w:tbl>
      <w:tblPr>
        <w:tblW w:w="7249" w:type="dxa"/>
        <w:jc w:val="left"/>
        <w:tblInd w:w="0" w:type="dxa"/>
        <w:tblCellMar>
          <w:top w:w="0" w:type="dxa"/>
          <w:left w:w="0" w:type="dxa"/>
          <w:bottom w:w="0" w:type="dxa"/>
          <w:right w:w="0" w:type="dxa"/>
        </w:tblCellMar>
      </w:tblPr>
      <w:tblGrid>
        <w:gridCol w:w="1756"/>
        <w:gridCol w:w="326"/>
        <w:gridCol w:w="1126"/>
        <w:gridCol w:w="326"/>
        <w:gridCol w:w="266"/>
        <w:gridCol w:w="590"/>
        <w:gridCol w:w="326"/>
        <w:gridCol w:w="1051"/>
        <w:gridCol w:w="326"/>
        <w:gridCol w:w="235"/>
        <w:gridCol w:w="921"/>
      </w:tblGrid>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jc w:val="center"/>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jc w:val="center"/>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jc w:val="center"/>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Part of</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jc w:val="center"/>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shd w:fill="auto" w:val="clear"/>
            <w:vAlign w:val="center"/>
          </w:tcPr>
          <w:p>
            <w:pPr>
              <w:pStyle w:val="TableContents"/>
              <w:spacing w:before="0" w:after="1"/>
              <w:ind w:left="0" w:right="0" w:hanging="0"/>
              <w:rPr/>
            </w:pPr>
            <w:r>
              <w:rPr/>
              <w:t>​</w:t>
            </w:r>
          </w:p>
        </w:tc>
        <w:tc>
          <w:tcPr>
            <w:tcW w:w="8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Publicly</w:t>
            </w:r>
          </w:p>
        </w:tc>
        <w:tc>
          <w:tcPr>
            <w:tcW w:w="326" w:type="dxa"/>
            <w:tcBorders/>
            <w:shd w:fill="auto" w:val="clear"/>
            <w:vAlign w:val="center"/>
          </w:tcPr>
          <w:p>
            <w:pPr>
              <w:pStyle w:val="TableContents"/>
              <w:spacing w:before="0" w:after="1"/>
              <w:ind w:left="0" w:right="0" w:hanging="0"/>
              <w:rPr/>
            </w:pPr>
            <w:r>
              <w:rPr/>
              <w:t>​</w:t>
            </w:r>
          </w:p>
        </w:tc>
        <w:tc>
          <w:tcPr>
            <w:tcW w:w="11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shd w:fill="auto" w:val="clear"/>
            <w:vAlign w:val="center"/>
          </w:tcPr>
          <w:p>
            <w:pPr>
              <w:pStyle w:val="TableContents"/>
              <w:spacing w:before="0" w:after="1"/>
              <w:ind w:left="0" w:right="0" w:hanging="0"/>
              <w:rPr/>
            </w:pPr>
            <w:r>
              <w:rPr/>
              <w:t>​</w:t>
            </w:r>
          </w:p>
        </w:tc>
        <w:tc>
          <w:tcPr>
            <w:tcW w:w="8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326" w:type="dxa"/>
            <w:tcBorders/>
            <w:shd w:fill="auto" w:val="clear"/>
            <w:vAlign w:val="center"/>
          </w:tcPr>
          <w:p>
            <w:pPr>
              <w:pStyle w:val="TableContents"/>
              <w:spacing w:before="0" w:after="1"/>
              <w:ind w:left="0" w:right="0" w:hanging="0"/>
              <w:rPr/>
            </w:pPr>
            <w:r>
              <w:rPr/>
              <w:t>​</w:t>
            </w:r>
          </w:p>
        </w:tc>
        <w:tc>
          <w:tcPr>
            <w:tcW w:w="11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Re-Purchased</w:t>
            </w:r>
          </w:p>
        </w:tc>
      </w:tr>
      <w:tr>
        <w:trPr/>
        <w:tc>
          <w:tcPr>
            <w:tcW w:w="175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Date</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shd w:fill="auto" w:val="clear"/>
            <w:vAlign w:val="center"/>
          </w:tcPr>
          <w:p>
            <w:pPr>
              <w:pStyle w:val="TableContents"/>
              <w:spacing w:before="0" w:after="1"/>
              <w:ind w:left="0" w:right="0" w:hanging="0"/>
              <w:rPr/>
            </w:pPr>
            <w:r>
              <w:rPr/>
              <w:t>    </w:t>
            </w:r>
          </w:p>
        </w:tc>
        <w:tc>
          <w:tcPr>
            <w:tcW w:w="8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326" w:type="dxa"/>
            <w:tcBorders/>
            <w:shd w:fill="auto" w:val="clear"/>
            <w:vAlign w:val="center"/>
          </w:tcPr>
          <w:p>
            <w:pPr>
              <w:pStyle w:val="TableContents"/>
              <w:spacing w:before="0" w:after="1"/>
              <w:ind w:left="0" w:right="0" w:hanging="0"/>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April 20, 2022 (i)</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53,882</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 </w:t>
            </w:r>
          </w:p>
        </w:tc>
        <w:tc>
          <w:tcPr>
            <w:tcW w:w="5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9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84,000</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May 31, 2022 (i)</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240,000</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9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358,000</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2022</w:t>
            </w:r>
          </w:p>
        </w:tc>
        <w:tc>
          <w:tcPr>
            <w:tcW w:w="326" w:type="dxa"/>
            <w:tcBorders/>
            <w:shd w:fill="CCEEFF" w:val="clear"/>
            <w:vAlign w:val="center"/>
          </w:tcPr>
          <w:p>
            <w:pPr>
              <w:pStyle w:val="TableContents"/>
              <w:spacing w:before="0" w:after="1"/>
              <w:ind w:left="0" w:right="0" w:hanging="0"/>
              <w:rPr/>
            </w:pPr>
            <w:r>
              <w:rPr/>
              <w:t> </w:t>
            </w:r>
          </w:p>
        </w:tc>
        <w:tc>
          <w:tcPr>
            <w:tcW w:w="11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293,882</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442,000</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5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921" w:type="dxa"/>
            <w:tcBorders/>
            <w:shd w:fill="auto" w:val="clear"/>
            <w:vAlign w:val="center"/>
          </w:tcPr>
          <w:p>
            <w:pPr>
              <w:pStyle w:val="TableContents"/>
              <w:spacing w:before="0" w:after="1"/>
              <w:ind w:left="0" w:right="0" w:hanging="0"/>
              <w:rPr/>
            </w:pPr>
            <w:r>
              <w:rPr/>
              <w:t>​</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October 29, 2021 (i)</w:t>
            </w:r>
          </w:p>
        </w:tc>
        <w:tc>
          <w:tcPr>
            <w:tcW w:w="326" w:type="dxa"/>
            <w:tcBorders/>
            <w:shd w:fill="CCEEFF" w:val="clear"/>
            <w:vAlign w:val="center"/>
          </w:tcPr>
          <w:p>
            <w:pPr>
              <w:pStyle w:val="TableContents"/>
              <w:spacing w:before="0" w:after="1"/>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9,187</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2021</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9,187</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16,000</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exchanged from employees and directors in connection with the income tax withholding obligations on behalf of such employees and directors from the vesting of restricted stock or the receipt of stock awards. The 2011 Plan and 2021 Plan allow for award holders to surrender vested shares to cover withholding tax liabilities.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Shares Available Under the Company’s Equity Incentive Plans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2022, there were 3,291,909 shares of common stock available for award grants under the 2021 Plan.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Shares Reserved for Issuance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2022, there were 9,022,284 shares of common stock reserved for issuance, including 5,316,025 shares reserved pursuant to unexercised warrants and stock options previously granted under the 2011 Plan, 414,350 shares reserved pursuant to unexercised stock options granted under the 2021 Plan, and 3,291,909 shares available for issuance under the 2021 Plan.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not paid any dividends to date.</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911" w:name="Tc_lbvlXOmy4kuBA_Yp8zL2Dw_6_0"/>
      <w:bookmarkStart w:id="912" w:name="Tc_prS3IGKXCE2D-73EgwAL2A_5_0"/>
      <w:bookmarkStart w:id="913" w:name="Tc_1JxuESUBsE2sI0KLVGTjWg_4_0"/>
      <w:bookmarkStart w:id="914" w:name="Tc_rTTbpvhOkUecx-Qvf5yWUA_3_4"/>
      <w:bookmarkStart w:id="915" w:name="Tc_k_LpVk-FNk2I_Ni102pdgw_3_2"/>
      <w:bookmarkStart w:id="916" w:name="Tc_spGntLuAnkCgayskJYGbVw_2_2"/>
      <w:bookmarkStart w:id="917" w:name="Tc_dKbtyfwlKk62d3FAi0vBsg_1_2"/>
      <w:bookmarkStart w:id="918" w:name="Tc_uaN3-0yXUkKW7KJZKky2tg_14_5"/>
      <w:bookmarkStart w:id="919" w:name="Tc_OT4rC7C2tkmzcVhTE05bIQ_14_2"/>
      <w:bookmarkStart w:id="920" w:name="Tc_iQ8xrIIHJ0eEcptcHPwixw_14_0"/>
      <w:bookmarkStart w:id="921" w:name="Tc_ZvPiY3UMa06KCUrVv-4xVQ_13_5"/>
      <w:bookmarkStart w:id="922" w:name="Tc_G1K0SsWuyk6-rgS9isF6KA_13_2"/>
      <w:bookmarkStart w:id="923" w:name="Tc__TJgoaosxUi3oKlouuLe5w_13_0"/>
      <w:bookmarkStart w:id="924" w:name="Tc_X1M-WDQCfkuX_gSIvb17aw_11_0"/>
      <w:bookmarkStart w:id="925" w:name="Tc_L8wB_sc-T0Kl8BWB2zohhw_10_0"/>
      <w:bookmarkStart w:id="926" w:name="Tc_PVW86AUojEyIkRLqljRUvA_9_0"/>
      <w:bookmarkStart w:id="927" w:name="Tc_konfAawwjE2fa2DTlphxEw_8_0"/>
      <w:bookmarkStart w:id="928" w:name="Tc_rVzP8hNiLEyLEIbQyGXbdA_7_0"/>
      <w:bookmarkStart w:id="929" w:name="Tc_WH6LUOkiLUiXXZWiu-QdqA_5_5"/>
      <w:bookmarkStart w:id="930" w:name="Tc_J8mzMm8lokqNlFdJnlXdFA_5_2"/>
      <w:bookmarkStart w:id="931" w:name="Tc_iUnxjf-7GUqP-EGNjjTJAQ_5_0"/>
      <w:bookmarkStart w:id="932" w:name="Tc_qr4oHBIplkqtvh0p7RBuhw_4_0"/>
      <w:bookmarkStart w:id="933" w:name="Tc_FuBMIzIIH0uqSvaEe9TErA_3_5"/>
      <w:bookmarkStart w:id="934" w:name="Tc_EhgAR_Y3oU-A1UtuuSxO2Q_3_2"/>
      <w:bookmarkStart w:id="935" w:name="Tc_Faf-HDHsZU2VrAinAJI7HA_2_2"/>
      <w:bookmarkStart w:id="936" w:name="Tc_hMOBg0vHFUewQFSA7t_jQg_1_3"/>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sz w:val="20"/>
        </w:rPr>
        <w:t>8. Earnings (Loss) Per Share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the numerator and denominator of the basic and diluted net loss per share computations for the years ended December 31, 2022 and 2021:</w:t>
      </w:r>
    </w:p>
    <w:p>
      <w:pPr>
        <w:pStyle w:val="TextBody"/>
        <w:spacing w:before="0" w:after="240"/>
        <w:ind w:left="0" w:right="0" w:hanging="0"/>
        <w:jc w:val="both"/>
        <w:rPr/>
      </w:pPr>
      <w:r>
        <w:rPr/>
        <w:t>​</w:t>
      </w:r>
    </w:p>
    <w:tbl>
      <w:tblPr>
        <w:tblW w:w="9008" w:type="dxa"/>
        <w:jc w:val="left"/>
        <w:tblInd w:w="0" w:type="dxa"/>
        <w:tblCellMar>
          <w:top w:w="0" w:type="dxa"/>
          <w:left w:w="0" w:type="dxa"/>
          <w:bottom w:w="0" w:type="dxa"/>
          <w:right w:w="0" w:type="dxa"/>
        </w:tblCellMar>
      </w:tblPr>
      <w:tblGrid>
        <w:gridCol w:w="5671"/>
        <w:gridCol w:w="326"/>
        <w:gridCol w:w="211"/>
        <w:gridCol w:w="1036"/>
        <w:gridCol w:w="326"/>
        <w:gridCol w:w="211"/>
        <w:gridCol w:w="1036"/>
        <w:gridCol w:w="191"/>
      </w:tblGrid>
      <w:tr>
        <w:trPr/>
        <w:tc>
          <w:tcPr>
            <w:tcW w:w="5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01085" cy="175260"/>
                      <wp:effectExtent l="0" t="0" r="0" b="0"/>
                      <wp:wrapNone/>
                      <wp:docPr id="103" name="Frame103"/>
                      <a:graphic xmlns:a="http://schemas.openxmlformats.org/drawingml/2006/main">
                        <a:graphicData uri="http://schemas.microsoft.com/office/word/2010/wordprocessingShape">
                          <wps:wsp>
                            <wps:cNvSpPr txBox="1"/>
                            <wps:spPr>
                              <a:xfrm>
                                <a:off x="0" y="0"/>
                                <a:ext cx="3601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57860" cy="175260"/>
                      <wp:effectExtent l="0" t="0" r="0" b="0"/>
                      <wp:wrapNone/>
                      <wp:docPr id="106" name="Frame10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09" name="Frame10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1285" cy="175260"/>
                      <wp:effectExtent l="0" t="0" r="0" b="0"/>
                      <wp:wrapNone/>
                      <wp:docPr id="110" name="Frame11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2609"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1" w:type="dxa"/>
            <w:tcBorders/>
            <w:shd w:fill="auto" w:val="clear"/>
            <w:vAlign w:val="center"/>
          </w:tcPr>
          <w:p>
            <w:pPr>
              <w:pStyle w:val="TableContents"/>
              <w:spacing w:before="0" w:after="1"/>
              <w:ind w:left="0" w:right="0" w:hanging="0"/>
              <w:jc w:val="center"/>
              <w:rPr/>
            </w:pPr>
            <w:r>
              <w:rPr/>
              <w:t>​</w:t>
            </w:r>
          </w:p>
        </w:tc>
      </w:tr>
      <w:tr>
        <w:trPr/>
        <w:tc>
          <w:tcPr>
            <w:tcW w:w="5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8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shd w:fill="auto" w:val="clear"/>
            <w:vAlign w:val="center"/>
          </w:tcPr>
          <w:p>
            <w:pPr>
              <w:pStyle w:val="TableContents"/>
              <w:spacing w:before="0" w:after="1"/>
              <w:ind w:left="0" w:right="0" w:hanging="0"/>
              <w:jc w:val="center"/>
              <w:rPr/>
            </w:pPr>
            <w:r>
              <w:rPr/>
              <w:t>​</w:t>
            </w:r>
          </w:p>
        </w:tc>
      </w:tr>
      <w:tr>
        <w:trPr/>
        <w:tc>
          <w:tcPr>
            <w:tcW w:w="5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1"/>
              <w:ind w:left="0" w:right="0" w:hanging="0"/>
              <w:rPr/>
            </w:pPr>
            <w:r>
              <w:rPr/>
              <w:t>​</w:t>
            </w:r>
          </w:p>
        </w:tc>
      </w:tr>
      <w:tr>
        <w:trPr/>
        <w:tc>
          <w:tcPr>
            <w:tcW w:w="567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191" w:type="dxa"/>
            <w:tcBorders/>
            <w:shd w:fill="auto" w:val="clear"/>
            <w:vAlign w:val="center"/>
          </w:tcPr>
          <w:p>
            <w:pPr>
              <w:pStyle w:val="TableContents"/>
              <w:spacing w:before="0" w:after="1"/>
              <w:ind w:left="0" w:right="0" w:hanging="0"/>
              <w:rPr/>
            </w:pPr>
            <w:r>
              <w:rPr/>
              <w:t>​</w:t>
            </w:r>
          </w:p>
        </w:tc>
      </w:tr>
      <w:tr>
        <w:trPr/>
        <w:tc>
          <w:tcPr>
            <w:tcW w:w="56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Xcel Brands, Inc. stockholders (in thousands)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(4,018)</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(12,184)</w:t>
            </w:r>
          </w:p>
        </w:tc>
        <w:tc>
          <w:tcPr>
            <w:tcW w:w="191" w:type="dxa"/>
            <w:tcBorders/>
            <w:shd w:fill="CCEEFF" w:val="clear"/>
            <w:vAlign w:val="center"/>
          </w:tcPr>
          <w:p>
            <w:pPr>
              <w:pStyle w:val="TableContents"/>
              <w:spacing w:before="0" w:after="1"/>
              <w:ind w:left="0" w:right="0" w:hanging="0"/>
              <w:rPr/>
            </w:pPr>
            <w:r>
              <w:rPr/>
              <w:t>​</w:t>
            </w:r>
          </w:p>
        </w:tc>
      </w:tr>
      <w:tr>
        <w:trPr/>
        <w:tc>
          <w:tcPr>
            <w:tcW w:w="5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191" w:type="dxa"/>
            <w:tcBorders/>
            <w:shd w:fill="auto" w:val="clear"/>
            <w:vAlign w:val="center"/>
          </w:tcPr>
          <w:p>
            <w:pPr>
              <w:pStyle w:val="TableContents"/>
              <w:spacing w:before="0" w:after="1"/>
              <w:ind w:left="0" w:right="0" w:hanging="0"/>
              <w:rPr/>
            </w:pPr>
            <w:r>
              <w:rPr/>
              <w:t>​</w:t>
            </w:r>
          </w:p>
        </w:tc>
      </w:tr>
      <w:tr>
        <w:trPr/>
        <w:tc>
          <w:tcPr>
            <w:tcW w:w="567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center"/>
              <w:rPr/>
            </w:pPr>
            <w:r>
              <w:rPr/>
              <w:t>​</w:t>
            </w:r>
          </w:p>
        </w:tc>
        <w:tc>
          <w:tcPr>
            <w:tcW w:w="191" w:type="dxa"/>
            <w:tcBorders/>
            <w:shd w:fill="CCEEFF" w:val="clear"/>
            <w:vAlign w:val="center"/>
          </w:tcPr>
          <w:p>
            <w:pPr>
              <w:pStyle w:val="TableContents"/>
              <w:spacing w:before="0" w:after="1"/>
              <w:ind w:left="0" w:right="0" w:hanging="0"/>
              <w:rPr/>
            </w:pPr>
            <w:r>
              <w:rPr/>
              <w:t>​</w:t>
            </w:r>
          </w:p>
        </w:tc>
      </w:tr>
      <w:tr>
        <w:trPr/>
        <w:tc>
          <w:tcPr>
            <w:tcW w:w="56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weighted average number of shares outstanding</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19,624,669</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19,455,987</w:t>
            </w:r>
          </w:p>
        </w:tc>
        <w:tc>
          <w:tcPr>
            <w:tcW w:w="191" w:type="dxa"/>
            <w:tcBorders/>
            <w:shd w:fill="auto" w:val="clear"/>
            <w:vAlign w:val="center"/>
          </w:tcPr>
          <w:p>
            <w:pPr>
              <w:pStyle w:val="TableContents"/>
              <w:spacing w:before="0" w:after="1"/>
              <w:ind w:left="0" w:right="0" w:hanging="0"/>
              <w:rPr/>
            </w:pPr>
            <w:r>
              <w:rPr/>
              <w:t> </w:t>
            </w:r>
          </w:p>
        </w:tc>
      </w:tr>
      <w:tr>
        <w:trPr/>
        <w:tc>
          <w:tcPr>
            <w:tcW w:w="56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 Effect of warrants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191" w:type="dxa"/>
            <w:tcBorders/>
            <w:shd w:fill="CCEEFF" w:val="clear"/>
            <w:vAlign w:val="center"/>
          </w:tcPr>
          <w:p>
            <w:pPr>
              <w:pStyle w:val="TableContents"/>
              <w:spacing w:before="0" w:after="1"/>
              <w:ind w:left="0" w:right="0" w:hanging="0"/>
              <w:rPr/>
            </w:pPr>
            <w:r>
              <w:rPr/>
              <w:t> </w:t>
            </w:r>
          </w:p>
        </w:tc>
      </w:tr>
      <w:tr>
        <w:trPr/>
        <w:tc>
          <w:tcPr>
            <w:tcW w:w="56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 Effect of stock options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91" w:type="dxa"/>
            <w:tcBorders/>
            <w:shd w:fill="auto" w:val="clear"/>
            <w:vAlign w:val="center"/>
          </w:tcPr>
          <w:p>
            <w:pPr>
              <w:pStyle w:val="TableContents"/>
              <w:spacing w:before="0" w:after="1"/>
              <w:ind w:left="0" w:right="0" w:hanging="0"/>
              <w:rPr/>
            </w:pPr>
            <w:r>
              <w:rPr/>
              <w:t>​</w:t>
            </w:r>
          </w:p>
        </w:tc>
      </w:tr>
      <w:tr>
        <w:trPr/>
        <w:tc>
          <w:tcPr>
            <w:tcW w:w="56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weighted average number of shares outstanding</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19,624,669</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19,455,987</w:t>
            </w:r>
          </w:p>
        </w:tc>
        <w:tc>
          <w:tcPr>
            <w:tcW w:w="191" w:type="dxa"/>
            <w:tcBorders/>
            <w:shd w:fill="CCEEFF" w:val="clear"/>
            <w:vAlign w:val="center"/>
          </w:tcPr>
          <w:p>
            <w:pPr>
              <w:pStyle w:val="TableContents"/>
              <w:spacing w:before="0" w:after="1"/>
              <w:ind w:left="0" w:right="0" w:hanging="0"/>
              <w:rPr/>
            </w:pPr>
            <w:r>
              <w:rPr/>
              <w:t>​</w:t>
            </w:r>
          </w:p>
        </w:tc>
      </w:tr>
      <w:tr>
        <w:trPr/>
        <w:tc>
          <w:tcPr>
            <w:tcW w:w="5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191" w:type="dxa"/>
            <w:tcBorders/>
            <w:shd w:fill="auto" w:val="clear"/>
            <w:vAlign w:val="center"/>
          </w:tcPr>
          <w:p>
            <w:pPr>
              <w:pStyle w:val="TableContents"/>
              <w:spacing w:before="0" w:after="1"/>
              <w:ind w:left="0" w:right="0" w:hanging="0"/>
              <w:rPr/>
            </w:pPr>
            <w:r>
              <w:rPr/>
              <w:t>​</w:t>
            </w:r>
          </w:p>
        </w:tc>
      </w:tr>
      <w:tr>
        <w:trPr/>
        <w:tc>
          <w:tcPr>
            <w:tcW w:w="56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net loss per share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191" w:type="dxa"/>
            <w:tcBorders/>
            <w:shd w:fill="CCEEFF" w:val="clear"/>
            <w:vAlign w:val="center"/>
          </w:tcPr>
          <w:p>
            <w:pPr>
              <w:pStyle w:val="TableContents"/>
              <w:spacing w:before="0" w:after="1"/>
              <w:ind w:left="0" w:right="0" w:hanging="0"/>
              <w:rPr/>
            </w:pPr>
            <w:r>
              <w:rPr/>
              <w:t>​</w:t>
            </w:r>
          </w:p>
        </w:tc>
      </w:tr>
      <w:tr>
        <w:trPr/>
        <w:tc>
          <w:tcPr>
            <w:tcW w:w="56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net loss per share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19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net loss presented for the Current Year and Prior Year, the Company calculated diluted loss per share using basic weighted-average shares outstanding for both years, as utilizing diluted shares would be anti-dilutive to loss per share.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computation of basic and diluted loss per share excludes the common stock equivalents of the following potentially dilutive securities because their inclusion would be anti-dilutive:</w:t>
      </w:r>
    </w:p>
    <w:p>
      <w:pPr>
        <w:pStyle w:val="TextBody"/>
        <w:spacing w:before="0" w:after="240"/>
        <w:ind w:left="0" w:right="0" w:hanging="0"/>
        <w:jc w:val="both"/>
        <w:rPr/>
      </w:pPr>
      <w:r>
        <w:rPr/>
        <w:t>​</w:t>
      </w:r>
    </w:p>
    <w:tbl>
      <w:tblPr>
        <w:tblW w:w="3951" w:type="dxa"/>
        <w:jc w:val="left"/>
        <w:tblInd w:w="0" w:type="dxa"/>
        <w:tblCellMar>
          <w:top w:w="0" w:type="dxa"/>
          <w:left w:w="0" w:type="dxa"/>
          <w:bottom w:w="0" w:type="dxa"/>
          <w:right w:w="0" w:type="dxa"/>
        </w:tblCellMar>
      </w:tblPr>
      <w:tblGrid>
        <w:gridCol w:w="1246"/>
        <w:gridCol w:w="326"/>
        <w:gridCol w:w="931"/>
        <w:gridCol w:w="326"/>
        <w:gridCol w:w="931"/>
        <w:gridCol w:w="191"/>
      </w:tblGrid>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8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5,614,310</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5,630,970</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116,065</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116,065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5,730,375</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5,747,035</w:t>
            </w:r>
          </w:p>
        </w:tc>
        <w:tc>
          <w:tcPr>
            <w:tcW w:w="191"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937" w:name="Tc_kjH64zDR_0y3SaeSZyJn4Q_6_5"/>
      <w:bookmarkStart w:id="938" w:name="Tc_uzd_D64h-Uiaw6AI1p-WgA_6_2"/>
      <w:bookmarkStart w:id="939" w:name="Tc_bbC2Q1R3rUK9WsYm9Ixlyw_6_0"/>
      <w:bookmarkStart w:id="940" w:name="Tc_Cudurm79TkaKtXg9fVcVFA_5_0"/>
      <w:bookmarkStart w:id="941" w:name="Tc_S4SjASjjN02uwYWt2L1Y2g_4_0"/>
      <w:bookmarkStart w:id="942" w:name="Tc_NMijzSx3n0eKrahLi4hVUg_3_0"/>
      <w:bookmarkStart w:id="943" w:name="Tc_HNYLe045IUCRzgMpAx2jHA_2_5"/>
      <w:bookmarkStart w:id="944" w:name="Tc_0XP_sO-5LUutyW4b_SQ4Dw_2_2"/>
      <w:bookmarkStart w:id="945" w:name="Tc_ZqQCIwZYnU2nA5euhv1Gcw_2_0"/>
      <w:bookmarkStart w:id="946" w:name="Tc_vus--U68QEKL5VLNb36tqA_1_5"/>
      <w:bookmarkStart w:id="947" w:name="Tc_3rFCTU9zbUCsw049htCG_g_1_2"/>
      <w:bookmarkStart w:id="948" w:name="Tc__R3Y6nVGV0GyItiJ_YHn3g_1_0"/>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b/>
          <w:sz w:val="20"/>
        </w:rPr>
        <w:t>9.   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an operating lease for its corporate offices and operations facility, as well as certain equipment with a term of 12 months or less. The Company is currently not a party to any finance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real estate leases have remaining lease terms between approximately 5 to 7 years. As of December 31, 2022, the weighted average remaining lease term was 5.0 years and the weighted average discount rate was 6.25%.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 under an operating lease agreement related to the Company’s main headquarters located in New York City. This lease commenced on March 1, 2016 and expires on October 30, 2027. This lease requires the Company to pay additional rents related to increases in certain taxes and other costs on the property.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an operating lease for its former retail store location in Westchester, New York, which was closed in the Current Year. This lease shall expire on January 31, 2029; however, the Company is currently in the process of negotiating the termination of this lease. The Company recorded an impairment charge of $0.7 million to fully impair the remaining balance of the right-of-use asset for this lease in the Prior Year.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an operating lease for its former corporate offices and operations facility, which was subleased to a third-party subtenant through February 27, 2022, and the Company's lease of this office space expired by its terms on February 28,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2022 and 2021, total lease expense included in selling, general and administrative expenses on the Company's consolidated statements of operations was approximately $1.6 million and $1.7 million, respectively. The Company’s total lease costs for the years ended December 31, 2022 and 2021 were comprised of the following:</w:t>
      </w:r>
    </w:p>
    <w:p>
      <w:pPr>
        <w:pStyle w:val="TextBody"/>
        <w:spacing w:before="0" w:after="0"/>
        <w:ind w:left="0" w:right="0" w:hanging="0"/>
        <w:rPr/>
      </w:pPr>
      <w:r>
        <w:rPr/>
        <w:t>​</w:t>
      </w:r>
    </w:p>
    <w:tbl>
      <w:tblPr>
        <w:tblW w:w="4122" w:type="dxa"/>
        <w:jc w:val="left"/>
        <w:tblInd w:w="0" w:type="dxa"/>
        <w:tblCellMar>
          <w:top w:w="0" w:type="dxa"/>
          <w:left w:w="0" w:type="dxa"/>
          <w:bottom w:w="0" w:type="dxa"/>
          <w:right w:w="0" w:type="dxa"/>
        </w:tblCellMar>
      </w:tblPr>
      <w:tblGrid>
        <w:gridCol w:w="1801"/>
        <w:gridCol w:w="326"/>
        <w:gridCol w:w="211"/>
        <w:gridCol w:w="571"/>
        <w:gridCol w:w="326"/>
        <w:gridCol w:w="211"/>
        <w:gridCol w:w="676"/>
      </w:tblGrid>
      <w:tr>
        <w:trPr/>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18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2,047</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Sublease income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1,671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$1.7 million and $2.0 million in the Current Year and Prior Year, respectively. Cash received from subleasing was $0.1 million and $0.7 million in the Current Year and Prior Year,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bookmarkStart w:id="949" w:name="Tc_M3Zw04ury0qIWeZkJlHsWg_10_2"/>
      <w:bookmarkStart w:id="950" w:name="Tc_geRkpEcDn0m2_axcsp26xA_10_0"/>
      <w:bookmarkStart w:id="951" w:name="Tc_Kw-kHBOVrUGg5VYj2bp3tA_9_0"/>
      <w:bookmarkStart w:id="952" w:name="Tc_7uoaa6ziYUyEOs3YHKWduw_8_0"/>
      <w:bookmarkStart w:id="953" w:name="Tc_wS2mfXux_0m4_Nbo_ETN5w_7_0"/>
      <w:bookmarkStart w:id="954" w:name="Tc_vRoLmUqzLUyyotKsQ4CQ1A_6_0"/>
      <w:bookmarkStart w:id="955" w:name="Tc_1pVH8WImvkiiDb5m9BjZPw_5_0"/>
      <w:bookmarkStart w:id="956" w:name="Tc_vTFpFJuRrEGi86FApDiumw_4_2"/>
      <w:bookmarkStart w:id="957" w:name="Tc_GXXjb5aDCUufP0FufnRTdA_4_0"/>
      <w:bookmarkStart w:id="958" w:name="Tc_W7_CfQnceUmXdAWyvxvYSQ_3_2"/>
      <w:bookmarkStart w:id="959" w:name="Tc__99OHhYniki1NdGAg_7WwA_3_0"/>
      <w:bookmarkStart w:id="960" w:name="Tc_A257ig_r3EOVGxCfcUh72Q_2_2"/>
      <w:bookmarkStart w:id="961" w:name="Tc_58i8CeNWd0aTC-gyGuFuCw_2_0"/>
      <w:bookmarkStart w:id="962" w:name="Tc_aZMZ7qChJ0mtmVd7PTdP7Q_1_2"/>
      <w:bookmarkStart w:id="963" w:name="Tc_vF52Hgldy0-1X785PsFlKg_12_2"/>
      <w:bookmarkStart w:id="964" w:name="Tc_Sbn42PzJ10WosQQq_eT7ww_12_0"/>
      <w:bookmarkStart w:id="965" w:name="Tc_vt6ML_nv7UGS-f3jTfPMYQ_11_0"/>
      <w:bookmarkStart w:id="966" w:name="Tc_G2Nb6TMHGEqiC8Pk2ABZAg_10_0"/>
      <w:bookmarkStart w:id="967" w:name="Tc_EG-GkUujXkmaNp8MrLOqVg_9_0"/>
      <w:bookmarkStart w:id="968" w:name="Tc_x1rRFPaNBEuOsjRw-VPvMA_8_0"/>
      <w:bookmarkStart w:id="969" w:name="Tc_yhhUeCiHfkuUESiouGUPTg_7_0"/>
      <w:bookmarkStart w:id="970" w:name="Tc_mDg11zHZfUK0ZJdSd2kVqQ_6_0"/>
      <w:bookmarkStart w:id="971" w:name="Tc_230x4pPEPUKvjIkNtWvTuQ_5_0"/>
      <w:bookmarkStart w:id="972" w:name="Tc_SjzCK-2Qgk-4rzD0-V-LfA_4_0"/>
      <w:bookmarkStart w:id="973" w:name="Tc_tQe8CSm-0U-0wT8oyoeKIQ_3_0"/>
      <w:bookmarkStart w:id="974" w:name="Tc_ezAtLeurv0KbUjc4WXhwYQ_2_2"/>
      <w:bookmarkStart w:id="975" w:name="Tc_u8U72uGnskaWl2w9MVctwA_2_0"/>
      <w:bookmarkStart w:id="976" w:name="Tc_2UhcqpWNkEqDFVntaG4xGA_1_0"/>
      <w:bookmarkStart w:id="977" w:name="_1df1c161_5d13_4b27_b7c5_28541b7851e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Fonts w:ascii="Times New Roman;Times;serif" w:hAnsi="Times New Roman;Times;serif"/>
          <w:sz w:val="20"/>
        </w:rPr>
        <w:t>As of December 31, 2022, the maturities of lease liabilities were as follows:</w:t>
      </w:r>
    </w:p>
    <w:tbl>
      <w:tblPr>
        <w:tblW w:w="4439" w:type="dxa"/>
        <w:jc w:val="left"/>
        <w:tblInd w:w="0" w:type="dxa"/>
        <w:tblCellMar>
          <w:top w:w="0" w:type="dxa"/>
          <w:left w:w="0" w:type="dxa"/>
          <w:bottom w:w="0" w:type="dxa"/>
          <w:right w:w="0" w:type="dxa"/>
        </w:tblCellMar>
      </w:tblPr>
      <w:tblGrid>
        <w:gridCol w:w="3226"/>
        <w:gridCol w:w="326"/>
        <w:gridCol w:w="211"/>
        <w:gridCol w:w="676"/>
      </w:tblGrid>
      <w:tr>
        <w:trPr/>
        <w:tc>
          <w:tcPr>
            <w:tcW w:w="3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322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 (through 2028)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8,421</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Discount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7,215</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lease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portion of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5,839</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Employment Agreements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employment contracts with certain executives and key employees. The future minimum payments under these contracts are as follows:</w:t>
      </w:r>
    </w:p>
    <w:p>
      <w:pPr>
        <w:pStyle w:val="TextBody"/>
        <w:spacing w:before="0" w:after="240"/>
        <w:ind w:left="0" w:right="0" w:hanging="0"/>
        <w:jc w:val="both"/>
        <w:rPr>
          <w:highlight w:val="yellow"/>
        </w:rPr>
      </w:pPr>
      <w:r>
        <w:rPr>
          <w:highlight w:val="yellow"/>
        </w:rPr>
        <w:t>​</w:t>
      </w:r>
    </w:p>
    <w:tbl>
      <w:tblPr>
        <w:tblW w:w="5893" w:type="dxa"/>
        <w:jc w:val="left"/>
        <w:tblInd w:w="0" w:type="dxa"/>
        <w:tblCellMar>
          <w:top w:w="0" w:type="dxa"/>
          <w:left w:w="0" w:type="dxa"/>
          <w:bottom w:w="0" w:type="dxa"/>
          <w:right w:w="0" w:type="dxa"/>
        </w:tblCellMar>
      </w:tblPr>
      <w:tblGrid>
        <w:gridCol w:w="4501"/>
        <w:gridCol w:w="326"/>
        <w:gridCol w:w="226"/>
        <w:gridCol w:w="840"/>
      </w:tblGrid>
      <w:tr>
        <w:trPr/>
        <w:tc>
          <w:tcPr>
            <w:tcW w:w="45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33400" cy="175260"/>
                      <wp:effectExtent l="0" t="0" r="0" b="0"/>
                      <wp:wrapNone/>
                      <wp:docPr id="113" name="Frame113"/>
                      <a:graphic xmlns:a="http://schemas.openxmlformats.org/drawingml/2006/main">
                        <a:graphicData uri="http://schemas.microsoft.com/office/word/2010/wordprocessingShape">
                          <wps:wsp>
                            <wps:cNvSpPr txBox="1"/>
                            <wps:spPr>
                              <a:xfrm>
                                <a:off x="0" y="0"/>
                                <a:ext cx="533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Employment</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w:t>
            </w:r>
          </w:p>
        </w:tc>
        <w:tc>
          <w:tcPr>
            <w:tcW w:w="10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w:t>
            </w:r>
          </w:p>
        </w:tc>
      </w:tr>
      <w:tr>
        <w:trPr/>
        <w:tc>
          <w:tcPr>
            <w:tcW w:w="45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shd w:fill="auto" w:val="clear"/>
            <w:vAlign w:val="center"/>
          </w:tcPr>
          <w:p>
            <w:pPr>
              <w:pStyle w:val="TableContents"/>
              <w:spacing w:before="0" w:after="1"/>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4,313</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 </w:t>
            </w:r>
          </w:p>
        </w:tc>
        <w:tc>
          <w:tcPr>
            <w:tcW w:w="8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6,988</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future minimum employment contract payments</w:t>
            </w:r>
          </w:p>
        </w:tc>
        <w:tc>
          <w:tcPr>
            <w:tcW w:w="326" w:type="dxa"/>
            <w:tcBorders/>
            <w:shd w:fill="CCEEFF" w:val="clear"/>
            <w:vAlign w:val="center"/>
          </w:tcPr>
          <w:p>
            <w:pPr>
              <w:pStyle w:val="TableContents"/>
              <w:spacing w:before="0" w:after="1"/>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19,901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employment contract payments stated above, the Company’s employment contracts with certain executives and key employees contain performance-based bonus provisions. These provisions include bonuses based on the Company achieving revenues in excess of established targets and/or on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of the employment agreements contain severance and/or change in control provisions. Aggregate potential severance compensation amounted to approximately $3.6 million as of December 31, 2022.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Halston Heritage Earn-Out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In connection with the February 11, 2019 purchase of the Halston Heritage trademarks from the H Company IP, LLC (“HIP”), the Company agreed to pay HIP additional consideration (the “Halston Heritage Earn-Out”) of up to an aggregate of $6.0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based on royalties earned from 2019 through December 31, 2022. This additional consideration would have been payable in shares of common stock of the Company. The Halston Heritage Earn-Out of $0.9</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million was recorded as a long-term liability on February 11, 2019 and as of December 31, 2021, based on the difference at the date of acquisition between the fair value of the acquired assets of the Halston Heritage Trademarks and the total consideration paid.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final royalty target year ended on December 31, 2022, and HIP ultimately did not earn any additional consideration based on the formula set forth in the related asset purchase agreement. As such, during the year ended December 31, 2022, the Company recorded a $0.9 million gain on the reduction of contingent obligations in the accompanying consolidated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statement of operations. As of December 31, 2022, there were no amounts remaining under the Halston Heritage Earn-Out.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Lori Goldstein Earn-Out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April 1, 2021 purchase of the Lori Goldstein trademarks (see Note 3 for additional information), the Company agreed to pay the seller additional cash consideration of up to $12.5 million, based on royalties earned during the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calendar year period commencing in 2021. The Lori Goldstein Earn-Out of $6.6 million is recorded as a liability in the accompanying consolidated balance sheets, based on the difference between the fair value of the acquired assets of the Lori Goldstein brand and the total consideration paid, in accordance with the guidance in ASC Subtopic 805-50. Based on the performance of the Lori Goldstein brand through December 31, 2022, approximately $0.2 million of additional consideration has been earned and is payable to the Seller in 2023. At December 31, 2022, $0.2 million of the balance is recorded as a current liability and $6.4 million is recorded as a long-term liability; at December 31, 2021, the entire balance was recorded as a long-term liability.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Isaac Mizrahi Transaction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May 31, 2022 transaction related to the sale of a majority interest in the Isaac Mizrahi Brand (see Note 3 for additional information), the Company has agreed with WHP that, in the event that IM Topco receives less than $13.3 million in aggregate royalties for any four consecutive calendar quarters over a three-year period ending on May 31, 2025, WHP will be entitled to receive from the Company up to $16 million, less all amounts of net cash flow distributed to WHP on an accumulated basis, as an adjustment to the purchase price previously paid by WHP. Such amount would be payable by the Company in either cash or equity interests in IM Topco held by the Company. No amount has been recorded in the accompanying consolidated balance sheets related to this contingent obligation, and management believes the likelihood of any such payment is remote. Based on IM Topco’s earnings from May 31, 2022 through December 31, 2022 and the applicable distribution provisions, WHP earned $4.32 million in cash flow, which reduces the potential purchase price adjustment to $11.68 million.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November 22, 2022, the Company received a letter from the Listing Qualifications Department of The Nasdaq Stock Market (“Nasdaq”) notifying the Company that the minimum bid price per share for its common stock fell below $1.00 for a period of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business days. Therefore, the Company did not meet the minimum bid price requirement set forth in the Nasdaq Listing Rules.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letters also state that pursuant to Nasdaq Listing Rules 5810(c)(3)(A), the Company will be provided 180 calendar days to regain compliance with the minimum bid price requirement, or until May 22, 2022.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Nasdaq Listing Rule 5810(c)(3)(A), the Company can regain compliance if, at any time during the Tolling Period or such 180-day period, the closing bid price of the Company’s common stock is at least $1.00 for a minimum period of 10 consecutive business days. If by May 22, 2023, the Company does not regain compliance with the Nasdaq Listing Rules, the Company may be eligible for additional time to regain compliance pursuant to Nasdaq Listing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Rule 5810(c)(3)(A)(ii). To qualify, the Company would need to submit a transfer application and a $5,000 application fee. The Company would also need to provide written notice to Nasdaq of its intention to cure the minimum bid price deficiency during the second compliance period by effecting a reverse stock split, if necessary. As part of its review process, the Nasdaq staff will make a determination of whether it believes the Company will be able to cure this deficiency. Should the Nasdaq staff conclude that the Company will not be able to cure the deficiency, or should the Company determine not to submit a transfer application or make the required representation, Nasdaq will provide notice that the Company’s shares of common stock will be subject to delisting.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does not regain compliance within the allotted compliance period, including any extensions that may be granted by Nasdaq, Nasdaq will provide notice that the Company’s shares of common stock will be subject to delisting from the Nasdaq Global Market. At such time, the Company may appeal the delisting determination to a hearings panel.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intends to monitor its closing bid price and the market value of its publicly held common stock between now and May 22, 2023, and will consider available options to resolve the Company’s noncompliance with the minimum bid price requirement, as may be necessary. There can be no assurance that the Company will be able to regain compliance with the minimum bid price requirement or will otherwise be in compliance with other Nasdaq listing criteria.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Coronavirus Pandemic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2020, the World Health Organization declared the outbreak of a novel coronavirus disease (“COVID-19”) as a pandemic, which continues to circulate throughout the U.S. and the world. The COVID-19 pandemic (including actions taken by national, state, and local governments in response to COVID-19) has negatively impacted the U.S. and global economy, disrupted consumer spending and global supply chains, and created significant volatility and disruption of financial markets.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COVID-19 has had, and continues to have, a significant negative impact on the Company’s business. The initial onset of the pandemic in 2020 resulted in a sudden decrease in sales for many of the Company’s products, from which the Company has yet to fully recover. Additionally, COVID-19 has also impacted, and continues to impact, the Company’s supply chain partners, including third party manufacturers, logistics providers, and other vendors, as well as the supply chains of its licensees. These supply chains have experienced, and may continue to experience in the future, disruptions as a result of closed factories, factories operating with a reduced workforce, or other logistics constraints, including vessel, container and other transportation shortages, labor shortages, and port congestion.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Due to the ongoing COVID-19 pandemic, there is significant uncertainty surrounding the Company’s future results of operations and cash flows. Continued impacts of the pandemic could materially adversely affect the Company’s near-term and long-term revenues, earnings, liquidity, and cash flows.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ASC Topic 740. Deferred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bookmarkStart w:id="978" w:name="Tc_UBjdDN-4lkm8joCC3mB-7w_19_5"/>
      <w:bookmarkStart w:id="979" w:name="Tc_z0ZxZ02dU0-n6y7ZiOpobQ_19_2"/>
      <w:bookmarkStart w:id="980" w:name="Tc_vgdFy_2hW0qGMkstM6xtUQ_19_0"/>
      <w:bookmarkStart w:id="981" w:name="Tc_foJhG-bxBk-NKOE2gMvrEg_17_0"/>
      <w:bookmarkStart w:id="982" w:name="Tc_Qu16a8XkNEuGitMLS5f6zg_16_0"/>
      <w:bookmarkStart w:id="983" w:name="Tc_63fJ-1PHPEaePL8cFN4PAQ_15_0"/>
      <w:bookmarkStart w:id="984" w:name="Tc_Y4a-dhbwF0mAXB_9S791mA_13_0"/>
      <w:bookmarkStart w:id="985" w:name="Tc_WFjrvwwCaUiN12cKlCRcvw_12_0"/>
      <w:bookmarkStart w:id="986" w:name="Tc_8U3OvGvkbkKMsVgYPsBTNQ_11_0"/>
      <w:bookmarkStart w:id="987" w:name="Tc_KEePUR5VEEmutmmzwBodrA_10_0"/>
      <w:bookmarkStart w:id="988" w:name="Tc_sXmAb7r1wkGwQQ88kRUEVg_9_0"/>
      <w:bookmarkStart w:id="989" w:name="Tc_t0h8UY2JWEOSxlF9220M_g_8_0"/>
      <w:bookmarkStart w:id="990" w:name="Tc_lfqKsTvYfk2ubsOVopqrnw_7_0"/>
      <w:bookmarkStart w:id="991" w:name="Tc_NwGWTWfk4ki9GJlQkFVrbA_6_0"/>
      <w:bookmarkStart w:id="992" w:name="Tc_s4I6xy5Okk-gvBU2Pp5TXA_5_0"/>
      <w:bookmarkStart w:id="993" w:name="Tc_OydK44NuGkehBgFxRQhWIw_4_5"/>
      <w:bookmarkStart w:id="994" w:name="Tc_KV9EL1OTLU6fDnqnA0wNWQ_4_2"/>
      <w:bookmarkStart w:id="995" w:name="Tc_VqlVfzNqrEe9GRYpnhbq7Q_4_0"/>
      <w:bookmarkStart w:id="996" w:name="Tc_QA8v31nnv0-nVgkhSIKzXg_3_0"/>
      <w:bookmarkStart w:id="997" w:name="Tc_S254HWyfTkCLeoHBsly5iA_2_5"/>
      <w:bookmarkStart w:id="998" w:name="Tc_XZg-di6UxUi_lPQs6V8DTg_2_2"/>
      <w:bookmarkStart w:id="999" w:name="Tc_hxL3jr8e8UCRHYXPU8AMeQ_2_0"/>
      <w:bookmarkStart w:id="1000" w:name="Tc_rB6AWU-hq0qOfARQo4_3ng_1_2"/>
      <w:bookmarkStart w:id="1001" w:name="Tc_FSYbrqMzOECu9i85p2ZGkw_11_5"/>
      <w:bookmarkStart w:id="1002" w:name="Tc_4BDrhRkllkOtxmMiGmVnXw_11_3"/>
      <w:bookmarkStart w:id="1003" w:name="Tc_ChJxSnGOGkyxYc3Frfj4Yw_11_0"/>
      <w:bookmarkStart w:id="1004" w:name="Tc_ey88McVAsEG8_obalgxPiA_10_0"/>
      <w:bookmarkStart w:id="1005" w:name="Tc_5rX3rWiCxkGra5KpNU0R8A_9_0"/>
      <w:bookmarkStart w:id="1006" w:name="Tc_w52Vnqu0WUKjShriuHAd4A_8_0"/>
      <w:bookmarkStart w:id="1007" w:name="Tc_wtQ2V_d_EEGKv6AjKVS2lw_7_0"/>
      <w:bookmarkStart w:id="1008" w:name="Tc_2q1YdVQxWUCmFjlV6ZxgXg_6_0"/>
      <w:bookmarkStart w:id="1009" w:name="Tc_J7K6rfyG10ejkk7PzVU-Wg_5_0"/>
      <w:bookmarkStart w:id="1010" w:name="Tc_nNUwUlqCJ06nalPhm-KCiw_4_0"/>
      <w:bookmarkStart w:id="1011" w:name="Tc_YvwgVvNZrkyTV8dV_hR4UQ_3_5"/>
      <w:bookmarkStart w:id="1012" w:name="Tc_csdUkaJ8O0qXuW7rLazWrg_3_3"/>
      <w:bookmarkStart w:id="1013" w:name="Tc_D9VJpNprckaBklAuveuNbQ_3_0"/>
      <w:bookmarkStart w:id="1014" w:name="Tc_z5TARvumPU-OTyoaSLrUmQ_2_4"/>
      <w:bookmarkStart w:id="1015" w:name="Tc_WV71X1gY-kO3sS43t5CgaQ_2_2"/>
      <w:bookmarkStart w:id="1016" w:name="Tc_NZd9oCG0pkKzNEpIWRMQ8g_1_2"/>
      <w:bookmarkStart w:id="1017" w:name="Tc_SDAr1RUBpkOgutBmOtQ5Zw_12_5"/>
      <w:bookmarkStart w:id="1018" w:name="Tc_TOmBTlmTPUy4QvtXLnQLEQ_12_2"/>
      <w:bookmarkStart w:id="1019" w:name="Tc_CrUsWDqBQkaGRnmdKxf_jg_12_0"/>
      <w:bookmarkStart w:id="1020" w:name="Tc_Xs_lYKaW9Eq7mrdFtjASeg_11_0"/>
      <w:bookmarkStart w:id="1021" w:name="Tc_j3Q8rdX3wEi6NDEqnWxxpg_10_0"/>
      <w:bookmarkStart w:id="1022" w:name="Tc_uWDpXyrf7kyW76h3KcuzBw_9_0"/>
      <w:bookmarkStart w:id="1023" w:name="Tc_E0VI-3ijdkOMi1xZJMVX6w_8_0"/>
      <w:bookmarkStart w:id="1024" w:name="Tc_eoqhb8ZoUU-uWtuoSdOW4w_6_0"/>
      <w:bookmarkStart w:id="1025" w:name="Tc_k3PyXtwUUEulMVvMnv40XQ_5_0"/>
      <w:bookmarkStart w:id="1026" w:name="Tc_3AOU6iIh_EKikiSVpFD5yw_4_5"/>
      <w:bookmarkStart w:id="1027" w:name="Tc_0LKuwwXnqUy89qGHFQpyfg_4_2"/>
      <w:bookmarkStart w:id="1028" w:name="Tc_OOTS9f1zgkG9DNvjBP25gQ_4_0"/>
      <w:bookmarkStart w:id="1029" w:name="Tc_k7TToojGB0KcKHm4aGOD4A_3_0"/>
      <w:bookmarkStart w:id="1030" w:name="Tc_adDXiWPi4kqB5V3IIHPJVA_2_5"/>
      <w:bookmarkStart w:id="1031" w:name="Tc_He5hVjzguU-riqFldCH9yg_2_2"/>
      <w:bookmarkStart w:id="1032" w:name="Tc_Vf_s26LoKEqH9tMpH8KXpQ_2_0"/>
      <w:bookmarkStart w:id="1033" w:name="Tc_31374iV5QkeQ7EaX-v-TbQ_1_2"/>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sz w:val="20"/>
        </w:rPr>
        <w:t>The income tax provision (benefit) for federal and state and local income taxes in the consolidated statements of operations consists of the following:</w:t>
      </w:r>
    </w:p>
    <w:p>
      <w:pPr>
        <w:pStyle w:val="TextBody"/>
        <w:spacing w:before="0" w:after="240"/>
        <w:ind w:left="0" w:right="0" w:hanging="0"/>
        <w:jc w:val="both"/>
        <w:rPr/>
      </w:pPr>
      <w:r>
        <w:rPr/>
        <w:t>​</w:t>
      </w:r>
    </w:p>
    <w:tbl>
      <w:tblPr>
        <w:tblW w:w="3790" w:type="dxa"/>
        <w:jc w:val="left"/>
        <w:tblInd w:w="0" w:type="dxa"/>
        <w:tblCellMar>
          <w:top w:w="0" w:type="dxa"/>
          <w:left w:w="0" w:type="dxa"/>
          <w:bottom w:w="0" w:type="dxa"/>
          <w:right w:w="0" w:type="dxa"/>
        </w:tblCellMar>
      </w:tblPr>
      <w:tblGrid>
        <w:gridCol w:w="1321"/>
        <w:gridCol w:w="326"/>
        <w:gridCol w:w="223"/>
        <w:gridCol w:w="573"/>
        <w:gridCol w:w="345"/>
        <w:gridCol w:w="223"/>
        <w:gridCol w:w="779"/>
      </w:tblGrid>
      <w:tr>
        <w:trPr/>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38835" cy="175260"/>
                      <wp:effectExtent l="0" t="0" r="0" b="0"/>
                      <wp:wrapNone/>
                      <wp:docPr id="114" name="Frame114"/>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1605" cy="175260"/>
                      <wp:effectExtent l="0" t="0" r="0" b="0"/>
                      <wp:wrapNone/>
                      <wp:docPr id="116" name="Frame116"/>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3855" cy="175260"/>
                      <wp:effectExtent l="0" t="0" r="0" b="0"/>
                      <wp:wrapNone/>
                      <wp:docPr id="117" name="Frame117"/>
                      <a:graphic xmlns:a="http://schemas.openxmlformats.org/drawingml/2006/main">
                        <a:graphicData uri="http://schemas.microsoft.com/office/word/2010/wordprocessingShape">
                          <wps:wsp>
                            <wps:cNvSpPr txBox="1"/>
                            <wps:spPr>
                              <a:xfrm>
                                <a:off x="0" y="0"/>
                                <a:ext cx="363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075" cy="175260"/>
                      <wp:effectExtent l="0" t="0" r="0" b="0"/>
                      <wp:wrapNone/>
                      <wp:docPr id="118" name="Frame118"/>
                      <a:graphic xmlns:a="http://schemas.openxmlformats.org/drawingml/2006/main">
                        <a:graphicData uri="http://schemas.microsoft.com/office/word/2010/wordprocessingShape">
                          <wps:wsp>
                            <wps:cNvSpPr txBox="1"/>
                            <wps:spPr>
                              <a:xfrm>
                                <a:off x="0" y="0"/>
                                <a:ext cx="219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1605" cy="175260"/>
                      <wp:effectExtent l="0" t="0" r="0" b="0"/>
                      <wp:wrapNone/>
                      <wp:docPr id="119" name="Frame119"/>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4665" cy="175260"/>
                      <wp:effectExtent l="0" t="0" r="0" b="0"/>
                      <wp:wrapNone/>
                      <wp:docPr id="120" name="Frame120"/>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3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5" w:type="dxa"/>
            <w:tcBorders/>
            <w:shd w:fill="auto" w:val="clear"/>
            <w:vAlign w:val="center"/>
          </w:tcPr>
          <w:p>
            <w:pPr>
              <w:pStyle w:val="TableContents"/>
              <w:spacing w:before="0" w:after="1"/>
              <w:ind w:left="0" w:right="0" w:hanging="0"/>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3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spacing w:before="0" w:after="1"/>
              <w:ind w:left="0" w:right="0" w:hanging="0"/>
              <w:rPr/>
            </w:pPr>
            <w:r>
              <w:rPr/>
              <w:t> </w:t>
            </w:r>
          </w:p>
        </w:tc>
        <w:tc>
          <w:tcPr>
            <w:tcW w:w="223" w:type="dxa"/>
            <w:tcBorders/>
            <w:shd w:fill="CCEEFF" w:val="clear"/>
            <w:vAlign w:val="center"/>
          </w:tcPr>
          <w:p>
            <w:pPr>
              <w:pStyle w:val="TableContents"/>
              <w:spacing w:before="0" w:after="1"/>
              <w:ind w:left="0" w:right="0" w:hanging="0"/>
              <w:rPr/>
            </w:pPr>
            <w:r>
              <w:rPr/>
              <w:t>​</w:t>
            </w:r>
          </w:p>
        </w:tc>
        <w:tc>
          <w:tcPr>
            <w:tcW w:w="573" w:type="dxa"/>
            <w:tcBorders/>
            <w:shd w:fill="CCEEFF" w:val="clear"/>
            <w:vAlign w:val="center"/>
          </w:tcPr>
          <w:p>
            <w:pPr>
              <w:pStyle w:val="TableContents"/>
              <w:spacing w:before="0" w:after="1"/>
              <w:ind w:left="0" w:right="0" w:hanging="0"/>
              <w:jc w:val="right"/>
              <w:rPr/>
            </w:pPr>
            <w:r>
              <w:rPr/>
              <w:t>  </w:t>
            </w:r>
          </w:p>
        </w:tc>
        <w:tc>
          <w:tcPr>
            <w:tcW w:w="345" w:type="dxa"/>
            <w:tcBorders/>
            <w:shd w:fill="CCEEFF" w:val="clear"/>
            <w:vAlign w:val="center"/>
          </w:tcPr>
          <w:p>
            <w:pPr>
              <w:pStyle w:val="TableContents"/>
              <w:spacing w:before="0" w:after="1"/>
              <w:ind w:left="0" w:right="0" w:hanging="0"/>
              <w:rPr/>
            </w:pPr>
            <w:r>
              <w:rPr/>
              <w:t> </w:t>
            </w:r>
          </w:p>
        </w:tc>
        <w:tc>
          <w:tcPr>
            <w:tcW w:w="223" w:type="dxa"/>
            <w:tcBorders/>
            <w:shd w:fill="CCEEFF" w:val="clear"/>
            <w:vAlign w:val="center"/>
          </w:tcPr>
          <w:p>
            <w:pPr>
              <w:pStyle w:val="TableContents"/>
              <w:spacing w:before="0" w:after="1"/>
              <w:ind w:left="0" w:right="0" w:hanging="0"/>
              <w:rPr/>
            </w:pPr>
            <w:r>
              <w:rPr/>
              <w:t>​</w:t>
            </w:r>
          </w:p>
        </w:tc>
        <w:tc>
          <w:tcPr>
            <w:tcW w:w="779" w:type="dxa"/>
            <w:tcBorders/>
            <w:shd w:fill="CCEEFF" w:val="clear"/>
            <w:vAlign w:val="center"/>
          </w:tcPr>
          <w:p>
            <w:pPr>
              <w:pStyle w:val="TableContents"/>
              <w:spacing w:before="0" w:after="1"/>
              <w:ind w:left="0" w:right="0" w:hanging="0"/>
              <w:jc w:val="right"/>
              <w:rPr/>
            </w:pPr>
            <w:r>
              <w:rPr/>
              <w:t>  </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5"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1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local</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45"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45"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3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573" w:type="dxa"/>
            <w:tcBorders/>
            <w:shd w:fill="CCEEFF" w:val="clear"/>
            <w:vAlign w:val="center"/>
          </w:tcPr>
          <w:p>
            <w:pPr>
              <w:pStyle w:val="TableContents"/>
              <w:spacing w:before="0" w:after="1"/>
              <w:ind w:left="0" w:right="0" w:hanging="0"/>
              <w:rPr/>
            </w:pPr>
            <w:r>
              <w:rPr/>
              <w:t>​</w:t>
            </w:r>
          </w:p>
        </w:tc>
        <w:tc>
          <w:tcPr>
            <w:tcW w:w="345"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w:t>
            </w:r>
          </w:p>
        </w:tc>
        <w:tc>
          <w:tcPr>
            <w:tcW w:w="779" w:type="dxa"/>
            <w:tcBorders/>
            <w:shd w:fill="CCEEFF" w:val="clear"/>
            <w:vAlign w:val="center"/>
          </w:tcPr>
          <w:p>
            <w:pPr>
              <w:pStyle w:val="TableContents"/>
              <w:spacing w:before="0" w:after="1"/>
              <w:ind w:left="0" w:right="0" w:hanging="0"/>
              <w:rPr/>
            </w:pPr>
            <w:r>
              <w:rPr/>
              <w:t>​</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w:t>
            </w:r>
          </w:p>
        </w:tc>
        <w:tc>
          <w:tcPr>
            <w:tcW w:w="326"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573" w:type="dxa"/>
            <w:tcBorders/>
            <w:shd w:fill="auto" w:val="clear"/>
            <w:vAlign w:val="center"/>
          </w:tcPr>
          <w:p>
            <w:pPr>
              <w:pStyle w:val="TableContents"/>
              <w:spacing w:before="0" w:after="1"/>
              <w:ind w:left="0" w:right="0" w:hanging="0"/>
              <w:jc w:val="right"/>
              <w:rPr/>
            </w:pPr>
            <w:r>
              <w:rPr/>
              <w:t>  </w:t>
            </w:r>
          </w:p>
        </w:tc>
        <w:tc>
          <w:tcPr>
            <w:tcW w:w="345" w:type="dxa"/>
            <w:tcBorders/>
            <w:shd w:fill="auto" w:val="clear"/>
            <w:vAlign w:val="center"/>
          </w:tcPr>
          <w:p>
            <w:pPr>
              <w:pStyle w:val="TableContents"/>
              <w:spacing w:before="0" w:after="1"/>
              <w:ind w:left="0" w:right="0" w:hanging="0"/>
              <w:rPr/>
            </w:pPr>
            <w:r>
              <w:rPr/>
              <w:t>​</w:t>
            </w:r>
          </w:p>
        </w:tc>
        <w:tc>
          <w:tcPr>
            <w:tcW w:w="223" w:type="dxa"/>
            <w:tcBorders/>
            <w:shd w:fill="auto" w:val="clear"/>
            <w:vAlign w:val="center"/>
          </w:tcPr>
          <w:p>
            <w:pPr>
              <w:pStyle w:val="TableContents"/>
              <w:spacing w:before="0" w:after="1"/>
              <w:ind w:left="0" w:right="0" w:hanging="0"/>
              <w:rPr/>
            </w:pPr>
            <w:r>
              <w:rPr/>
              <w:t> </w:t>
            </w:r>
          </w:p>
        </w:tc>
        <w:tc>
          <w:tcPr>
            <w:tcW w:w="779" w:type="dxa"/>
            <w:tcBorders/>
            <w:shd w:fill="auto" w:val="clear"/>
            <w:vAlign w:val="center"/>
          </w:tcPr>
          <w:p>
            <w:pPr>
              <w:pStyle w:val="TableContents"/>
              <w:spacing w:before="0" w:after="1"/>
              <w:ind w:left="0" w:right="0" w:hanging="0"/>
              <w:jc w:val="right"/>
              <w:rPr/>
            </w:pPr>
            <w:r>
              <w:rPr/>
              <w:t>  </w:t>
            </w:r>
          </w:p>
        </w:tc>
      </w:tr>
      <w:tr>
        <w:trPr/>
        <w:tc>
          <w:tcPr>
            <w:tcW w:w="1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5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45" w:type="dxa"/>
            <w:tcBorders/>
            <w:shd w:fill="CCEEFF" w:val="clear"/>
            <w:vAlign w:val="center"/>
          </w:tcPr>
          <w:p>
            <w:pPr>
              <w:pStyle w:val="TableContents"/>
              <w:spacing w:before="0" w:after="1"/>
              <w:ind w:left="0" w:right="0" w:hanging="0"/>
              <w:rPr/>
            </w:pPr>
            <w:r>
              <w:rPr/>
              <w:t>​</w:t>
            </w:r>
          </w:p>
        </w:tc>
        <w:tc>
          <w:tcPr>
            <w:tcW w:w="223" w:type="dxa"/>
            <w:tcBorders/>
            <w:shd w:fill="CCEEFF" w:val="clear"/>
            <w:vAlign w:val="center"/>
          </w:tcPr>
          <w:p>
            <w:pPr>
              <w:pStyle w:val="TableContents"/>
              <w:spacing w:before="0" w:after="1"/>
              <w:ind w:left="0" w:right="0" w:hanging="0"/>
              <w:rPr/>
            </w:pPr>
            <w:r>
              <w:rPr/>
              <w:t> </w:t>
            </w:r>
          </w:p>
        </w:tc>
        <w:tc>
          <w:tcPr>
            <w:tcW w:w="7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(2,376)</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local</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45" w:type="dxa"/>
            <w:tcBorders/>
            <w:shd w:fill="auto" w:val="clear"/>
            <w:vAlign w:val="center"/>
          </w:tcPr>
          <w:p>
            <w:pPr>
              <w:pStyle w:val="TableContents"/>
              <w:spacing w:before="0" w:after="1"/>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1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w:t>
            </w:r>
          </w:p>
        </w:tc>
        <w:tc>
          <w:tcPr>
            <w:tcW w:w="326"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45" w:type="dxa"/>
            <w:tcBorders/>
            <w:shd w:fill="CCEEFF" w:val="clear"/>
            <w:vAlign w:val="center"/>
          </w:tcPr>
          <w:p>
            <w:pPr>
              <w:pStyle w:val="TableContents"/>
              <w:spacing w:before="0" w:after="1"/>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(3,192)</w:t>
            </w:r>
          </w:p>
        </w:tc>
      </w:tr>
      <w:tr>
        <w:trPr/>
        <w:tc>
          <w:tcPr>
            <w:tcW w:w="1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benefit</w:t>
            </w:r>
          </w:p>
        </w:tc>
        <w:tc>
          <w:tcPr>
            <w:tcW w:w="326" w:type="dxa"/>
            <w:tcBorders/>
            <w:shd w:fill="auto" w:val="clear"/>
            <w:vAlign w:val="center"/>
          </w:tcPr>
          <w:p>
            <w:pPr>
              <w:pStyle w:val="TableContents"/>
              <w:spacing w:before="0" w:after="1"/>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345" w:type="dxa"/>
            <w:tcBorders/>
            <w:shd w:fill="auto" w:val="clear"/>
            <w:vAlign w:val="center"/>
          </w:tcPr>
          <w:p>
            <w:pPr>
              <w:pStyle w:val="TableContents"/>
              <w:spacing w:before="0" w:after="1"/>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(3,106)</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reconciliation of income tax benefit computed at the federal and state and local statutory rates to the Company’s loss before taxes is as follows:</w:t>
      </w:r>
    </w:p>
    <w:p>
      <w:pPr>
        <w:pStyle w:val="TextBody"/>
        <w:spacing w:before="0" w:after="240"/>
        <w:ind w:left="0" w:right="0" w:hanging="0"/>
        <w:jc w:val="both"/>
        <w:rPr/>
      </w:pPr>
      <w:r>
        <w:rPr/>
        <w:t>​</w:t>
      </w:r>
    </w:p>
    <w:tbl>
      <w:tblPr>
        <w:tblW w:w="6478" w:type="dxa"/>
        <w:jc w:val="left"/>
        <w:tblInd w:w="0" w:type="dxa"/>
        <w:tblCellMar>
          <w:top w:w="0" w:type="dxa"/>
          <w:left w:w="0" w:type="dxa"/>
          <w:bottom w:w="0" w:type="dxa"/>
          <w:right w:w="0" w:type="dxa"/>
        </w:tblCellMar>
      </w:tblPr>
      <w:tblGrid>
        <w:gridCol w:w="3736"/>
        <w:gridCol w:w="326"/>
        <w:gridCol w:w="797"/>
        <w:gridCol w:w="504"/>
        <w:gridCol w:w="799"/>
        <w:gridCol w:w="31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72360" cy="175260"/>
                      <wp:effectExtent l="0" t="0" r="0" b="0"/>
                      <wp:wrapNone/>
                      <wp:docPr id="121" name="Frame121"/>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6095" cy="175260"/>
                      <wp:effectExtent l="0" t="0" r="0" b="0"/>
                      <wp:wrapNone/>
                      <wp:docPr id="123" name="Frame123"/>
                      <a:graphic xmlns:a="http://schemas.openxmlformats.org/drawingml/2006/main">
                        <a:graphicData uri="http://schemas.microsoft.com/office/word/2010/wordprocessingShape">
                          <wps:wsp>
                            <wps:cNvSpPr txBox="1"/>
                            <wps:spPr>
                              <a:xfrm>
                                <a:off x="0" y="0"/>
                                <a:ext cx="506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20040" cy="175260"/>
                      <wp:effectExtent l="0" t="0" r="0" b="0"/>
                      <wp:wrapNone/>
                      <wp:docPr id="124" name="Frame124"/>
                      <a:graphic xmlns:a="http://schemas.openxmlformats.org/drawingml/2006/main">
                        <a:graphicData uri="http://schemas.microsoft.com/office/word/2010/wordprocessingShape">
                          <wps:wsp>
                            <wps:cNvSpPr txBox="1"/>
                            <wps:spPr>
                              <a:xfrm>
                                <a:off x="0" y="0"/>
                                <a:ext cx="320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7365" cy="175260"/>
                      <wp:effectExtent l="0" t="0" r="0" b="0"/>
                      <wp:wrapNone/>
                      <wp:docPr id="125" name="Frame125"/>
                      <a:graphic xmlns:a="http://schemas.openxmlformats.org/drawingml/2006/main">
                        <a:graphicData uri="http://schemas.microsoft.com/office/word/2010/wordprocessingShape">
                          <wps:wsp>
                            <wps:cNvSpPr txBox="1"/>
                            <wps:spPr>
                              <a:xfrm>
                                <a:off x="0" y="0"/>
                                <a:ext cx="507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0660" cy="175260"/>
                      <wp:effectExtent l="0" t="0" r="0" b="0"/>
                      <wp:wrapNone/>
                      <wp:docPr id="126" name="Frame12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0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shd w:fill="auto"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04" w:type="dxa"/>
            <w:tcBorders/>
            <w:shd w:fill="auto" w:val="clear"/>
            <w:vAlign w:val="center"/>
          </w:tcPr>
          <w:p>
            <w:pPr>
              <w:pStyle w:val="TableContents"/>
              <w:spacing w:before="0" w:after="1"/>
              <w:ind w:left="0" w:right="0" w:hanging="0"/>
              <w:rPr/>
            </w:pPr>
            <w:r>
              <w:rPr/>
              <w:t>    </w:t>
            </w:r>
          </w:p>
        </w:tc>
        <w:tc>
          <w:tcPr>
            <w:tcW w:w="79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1"/>
              <w:ind w:left="0" w:right="0" w:hanging="0"/>
              <w:jc w:val="center"/>
              <w:rPr/>
            </w:pPr>
            <w:r>
              <w:rPr/>
              <w:t> </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statutory federal rate</w:t>
            </w:r>
          </w:p>
        </w:tc>
        <w:tc>
          <w:tcPr>
            <w:tcW w:w="326" w:type="dxa"/>
            <w:tcBorders/>
            <w:shd w:fill="CCEEFF" w:val="clear"/>
            <w:vAlign w:val="center"/>
          </w:tcPr>
          <w:p>
            <w:pPr>
              <w:pStyle w:val="TableContents"/>
              <w:spacing w:before="0" w:after="1"/>
              <w:ind w:left="0" w:right="0" w:hanging="0"/>
              <w:rPr/>
            </w:pPr>
            <w:r>
              <w:rPr/>
              <w:t> </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50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local rate, net of federal tax benefit</w:t>
            </w:r>
          </w:p>
        </w:tc>
        <w:tc>
          <w:tcPr>
            <w:tcW w:w="326" w:type="dxa"/>
            <w:tcBorders/>
            <w:shd w:fill="auto" w:val="clear"/>
            <w:vAlign w:val="center"/>
          </w:tcPr>
          <w:p>
            <w:pPr>
              <w:pStyle w:val="TableContents"/>
              <w:spacing w:before="0" w:after="1"/>
              <w:ind w:left="0" w:right="0" w:hanging="0"/>
              <w:rPr/>
            </w:pPr>
            <w:r>
              <w:rPr/>
              <w:t> </w:t>
            </w:r>
          </w:p>
        </w:tc>
        <w:tc>
          <w:tcPr>
            <w:tcW w:w="7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504" w:type="dxa"/>
            <w:tcBorders/>
            <w:shd w:fill="auto" w:val="clear"/>
            <w:vAlign w:val="center"/>
          </w:tcPr>
          <w:p>
            <w:pPr>
              <w:pStyle w:val="TableContents"/>
              <w:spacing w:before="0" w:after="1"/>
              <w:ind w:left="0" w:right="0" w:hanging="0"/>
              <w:rPr/>
            </w:pPr>
            <w:r>
              <w:rPr/>
              <w:t> </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compensation</w:t>
            </w:r>
          </w:p>
        </w:tc>
        <w:tc>
          <w:tcPr>
            <w:tcW w:w="326" w:type="dxa"/>
            <w:tcBorders/>
            <w:shd w:fill="CCEEFF" w:val="clear"/>
            <w:vAlign w:val="center"/>
          </w:tcPr>
          <w:p>
            <w:pPr>
              <w:pStyle w:val="TableContents"/>
              <w:spacing w:before="0" w:after="1"/>
              <w:ind w:left="0" w:right="0" w:hanging="0"/>
              <w:rPr/>
            </w:pPr>
            <w:r>
              <w:rPr/>
              <w:t> </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504" w:type="dxa"/>
            <w:tcBorders/>
            <w:shd w:fill="CCEEFF" w:val="clear"/>
            <w:vAlign w:val="center"/>
          </w:tcPr>
          <w:p>
            <w:pPr>
              <w:pStyle w:val="TableContents"/>
              <w:spacing w:before="0" w:after="1"/>
              <w:ind w:left="0" w:right="0" w:hanging="0"/>
              <w:rPr/>
            </w:pPr>
            <w:r>
              <w:rPr/>
              <w:t> </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16" w:type="dxa"/>
            <w:tcBorders/>
            <w:shd w:fill="CCEEFF"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Excess compensation deduction</w:t>
            </w:r>
          </w:p>
        </w:tc>
        <w:tc>
          <w:tcPr>
            <w:tcW w:w="326" w:type="dxa"/>
            <w:tcBorders/>
            <w:shd w:fill="auto" w:val="clear"/>
            <w:vAlign w:val="center"/>
          </w:tcPr>
          <w:p>
            <w:pPr>
              <w:pStyle w:val="TableContents"/>
              <w:spacing w:before="0" w:after="1"/>
              <w:ind w:left="0" w:right="0" w:hanging="0"/>
              <w:rPr/>
            </w:pPr>
            <w:r>
              <w:rPr/>
              <w:t> </w:t>
            </w:r>
          </w:p>
        </w:tc>
        <w:tc>
          <w:tcPr>
            <w:tcW w:w="7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504" w:type="dxa"/>
            <w:tcBorders/>
            <w:shd w:fill="auto" w:val="clear"/>
            <w:vAlign w:val="center"/>
          </w:tcPr>
          <w:p>
            <w:pPr>
              <w:pStyle w:val="TableContents"/>
              <w:spacing w:before="0" w:after="1"/>
              <w:ind w:left="0" w:right="0" w:hanging="0"/>
              <w:rPr/>
            </w:pPr>
            <w:r>
              <w:rPr/>
              <w:t> </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(0.68)</w:t>
            </w:r>
          </w:p>
        </w:tc>
        <w:tc>
          <w:tcPr>
            <w:tcW w:w="316"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true-ups</w:t>
            </w:r>
          </w:p>
        </w:tc>
        <w:tc>
          <w:tcPr>
            <w:tcW w:w="326" w:type="dxa"/>
            <w:tcBorders/>
            <w:shd w:fill="CCEEFF" w:val="clear"/>
            <w:vAlign w:val="center"/>
          </w:tcPr>
          <w:p>
            <w:pPr>
              <w:pStyle w:val="TableContents"/>
              <w:spacing w:before="0" w:after="1"/>
              <w:ind w:left="0" w:right="0" w:hanging="0"/>
              <w:rPr/>
            </w:pPr>
            <w:r>
              <w:rPr/>
              <w:t> </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504" w:type="dxa"/>
            <w:tcBorders/>
            <w:shd w:fill="CCEEFF" w:val="clear"/>
            <w:vAlign w:val="center"/>
          </w:tcPr>
          <w:p>
            <w:pPr>
              <w:pStyle w:val="TableContents"/>
              <w:spacing w:before="0" w:after="1"/>
              <w:ind w:left="0" w:right="0" w:hanging="0"/>
              <w:rPr/>
            </w:pPr>
            <w:r>
              <w:rPr/>
              <w:t> </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16" w:type="dxa"/>
            <w:tcBorders/>
            <w:shd w:fill="CCEEFF"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Life insurance</w:t>
            </w:r>
          </w:p>
        </w:tc>
        <w:tc>
          <w:tcPr>
            <w:tcW w:w="326" w:type="dxa"/>
            <w:tcBorders/>
            <w:shd w:fill="auto" w:val="clear"/>
            <w:vAlign w:val="center"/>
          </w:tcPr>
          <w:p>
            <w:pPr>
              <w:pStyle w:val="TableContents"/>
              <w:spacing w:before="0" w:after="1"/>
              <w:ind w:left="0" w:right="0" w:hanging="0"/>
              <w:rPr/>
            </w:pPr>
            <w:r>
              <w:rPr/>
              <w:t> </w:t>
            </w:r>
          </w:p>
        </w:tc>
        <w:tc>
          <w:tcPr>
            <w:tcW w:w="7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c>
          <w:tcPr>
            <w:tcW w:w="504" w:type="dxa"/>
            <w:tcBorders/>
            <w:shd w:fill="auto" w:val="clear"/>
            <w:vAlign w:val="center"/>
          </w:tcPr>
          <w:p>
            <w:pPr>
              <w:pStyle w:val="TableContents"/>
              <w:spacing w:before="0" w:after="1"/>
              <w:ind w:left="0" w:right="0" w:hanging="0"/>
              <w:rPr/>
            </w:pPr>
            <w:r>
              <w:rPr/>
              <w:t> </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16"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tax rate</w:t>
            </w:r>
          </w:p>
        </w:tc>
        <w:tc>
          <w:tcPr>
            <w:tcW w:w="326" w:type="dxa"/>
            <w:tcBorders/>
            <w:shd w:fill="CCEEFF" w:val="clear"/>
            <w:vAlign w:val="center"/>
          </w:tcPr>
          <w:p>
            <w:pPr>
              <w:pStyle w:val="TableContents"/>
              <w:spacing w:before="0" w:after="1"/>
              <w:ind w:left="0" w:right="0" w:hanging="0"/>
              <w:rPr/>
            </w:pPr>
            <w:r>
              <w:rPr/>
              <w:t>​</w:t>
            </w:r>
          </w:p>
        </w:tc>
        <w:tc>
          <w:tcPr>
            <w:tcW w:w="797" w:type="dxa"/>
            <w:tcBorders/>
            <w:shd w:fill="CCEEFF" w:val="clear"/>
            <w:vAlign w:val="center"/>
          </w:tcPr>
          <w:p>
            <w:pPr>
              <w:pStyle w:val="TableContents"/>
              <w:spacing w:before="0" w:after="1"/>
              <w:ind w:left="0" w:right="0" w:hanging="0"/>
              <w:jc w:val="right"/>
              <w:rPr/>
            </w:pPr>
            <w:r>
              <w:rPr/>
              <w:t>—</w:t>
            </w:r>
          </w:p>
        </w:tc>
        <w:tc>
          <w:tcPr>
            <w:tcW w:w="504" w:type="dxa"/>
            <w:tcBorders/>
            <w:shd w:fill="CCEEFF" w:val="clear"/>
            <w:vAlign w:val="center"/>
          </w:tcPr>
          <w:p>
            <w:pPr>
              <w:pStyle w:val="TableContents"/>
              <w:spacing w:before="0" w:after="1"/>
              <w:ind w:left="0" w:right="0" w:hanging="0"/>
              <w:rPr/>
            </w:pPr>
            <w:r>
              <w:rPr/>
              <w:t>​</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16" w:type="dxa"/>
            <w:tcBorders/>
            <w:shd w:fill="CCEEFF"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permanent differences</w:t>
            </w:r>
          </w:p>
        </w:tc>
        <w:tc>
          <w:tcPr>
            <w:tcW w:w="326" w:type="dxa"/>
            <w:tcBorders/>
            <w:shd w:fill="auto" w:val="clear"/>
            <w:vAlign w:val="center"/>
          </w:tcPr>
          <w:p>
            <w:pPr>
              <w:pStyle w:val="TableContents"/>
              <w:spacing w:before="0" w:after="1"/>
              <w:ind w:left="0" w:right="0" w:hanging="0"/>
              <w:rPr/>
            </w:pPr>
            <w:r>
              <w:rPr/>
              <w:t> </w:t>
            </w:r>
          </w:p>
        </w:tc>
        <w:tc>
          <w:tcPr>
            <w:tcW w:w="7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04" w:type="dxa"/>
            <w:tcBorders/>
            <w:shd w:fill="auto" w:val="clear"/>
            <w:vAlign w:val="center"/>
          </w:tcPr>
          <w:p>
            <w:pPr>
              <w:pStyle w:val="TableContents"/>
              <w:spacing w:before="0" w:after="1"/>
              <w:ind w:left="0" w:right="0" w:hanging="0"/>
              <w:rPr/>
            </w:pPr>
            <w:r>
              <w:rPr/>
              <w:t> </w:t>
            </w:r>
          </w:p>
        </w:tc>
        <w:tc>
          <w:tcPr>
            <w:tcW w:w="7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16"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spacing w:before="0" w:after="1"/>
              <w:ind w:left="0" w:right="0" w:hanging="0"/>
              <w:rPr/>
            </w:pPr>
            <w:r>
              <w:rPr/>
              <w:t> </w:t>
            </w:r>
          </w:p>
        </w:tc>
        <w:tc>
          <w:tcPr>
            <w:tcW w:w="7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50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7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19.25</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significant components of net deferred tax assets (liabilities) of the Company consist of the following:</w:t>
      </w:r>
    </w:p>
    <w:p>
      <w:pPr>
        <w:pStyle w:val="TextBody"/>
        <w:spacing w:before="0" w:after="240"/>
        <w:ind w:left="0" w:right="0" w:hanging="0"/>
        <w:jc w:val="both"/>
        <w:rPr/>
      </w:pPr>
      <w:r>
        <w:rPr/>
        <w:t>​</w:t>
      </w:r>
    </w:p>
    <w:tbl>
      <w:tblPr>
        <w:tblW w:w="7602" w:type="dxa"/>
        <w:jc w:val="left"/>
        <w:tblInd w:w="0" w:type="dxa"/>
        <w:tblCellMar>
          <w:top w:w="0" w:type="dxa"/>
          <w:left w:w="0" w:type="dxa"/>
          <w:bottom w:w="0" w:type="dxa"/>
          <w:right w:w="0" w:type="dxa"/>
        </w:tblCellMar>
      </w:tblPr>
      <w:tblGrid>
        <w:gridCol w:w="4996"/>
        <w:gridCol w:w="326"/>
        <w:gridCol w:w="211"/>
        <w:gridCol w:w="691"/>
        <w:gridCol w:w="326"/>
        <w:gridCol w:w="211"/>
        <w:gridCol w:w="841"/>
      </w:tblGrid>
      <w:tr>
        <w:trPr/>
        <w:tc>
          <w:tcPr>
            <w:tcW w:w="4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rPr/>
            </w:pPr>
            <w:r>
              <w:rPr/>
              <w:t>​</w:t>
            </w:r>
          </w:p>
        </w:tc>
      </w:tr>
      <w:tr>
        <w:trPr/>
        <w:tc>
          <w:tcPr>
            <w:tcW w:w="49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2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1,274</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state and local net operating loss carryforwards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6,684</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compensation and other accrued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Basis difference arising from discounted note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tax credit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Charitable contribution carryover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10,392</w:t>
            </w:r>
          </w:p>
        </w:tc>
      </w:tr>
      <w:tr>
        <w:trPr/>
        <w:tc>
          <w:tcPr>
            <w:tcW w:w="4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4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Basis difference arising from intangible assets of acquisition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(10,251)</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(10,251)</w:t>
            </w:r>
          </w:p>
        </w:tc>
      </w:tr>
      <w:tr>
        <w:trPr/>
        <w:tc>
          <w:tcPr>
            <w:tcW w:w="4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4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141</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had approximately $10.9 million and $20.8 million, respectively, of federal net operating loss carryforwards ("NOLs") available to offset future taxable income. The NOL as of December 31, 2017 of $0.3 million has an expiration period through 2037. The NOL generated during tax years beginning after December 31, 2017 of $10.9 million has an indefinite life and does not expire.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2021,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Related Party Transactions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Isaac Mizrahi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2020, the Company entered into an employment agreement with Isaac Mizrahi, a principal stockholder of the Company, for Mr. Mizrahi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 (see Note 3 for details).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employment agreement provided Mr. Mizrahi with a base salary of $1.8 million, $2.0 million, and $2.1 million per annum for 2020, 2021, and 2022, respectively. Mr. Mizrahi was also eligible to receive an annual cash bonus (the “Bonus”) up to an amount equal to $2.5 million less base salary for 2020 and $3.0 million less base salary for 2021 and 2022. The Bonus consisted of the DRT Revenue, Bonus, the Brick-and-Mortar Bonus, the Endorsement Bonus and the Monday Bonus, if any, as determined in accordance with the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sz w:val="20"/>
              </w:rPr>
              <w:t>DRT Bonus” means for any calendar year an amount equal to 10%</w:t>
            </w:r>
            <w:r>
              <w:rPr>
                <w:caps w:val="false"/>
                <w:smallCaps w:val="false"/>
              </w:rPr>
              <w:t xml:space="preserve"> </w:t>
            </w:r>
            <w:r>
              <w:rPr>
                <w:rFonts w:ascii="Times New Roman;Times;serif" w:hAnsi="Times New Roman;Times;serif"/>
                <w:b w:val="false"/>
                <w:i w:val="false"/>
                <w:caps w:val="false"/>
                <w:smallCaps w:val="false"/>
                <w:sz w:val="20"/>
              </w:rPr>
              <w:t>of the aggregate net revenue related to sales of Isaac Mizrahi Brand products through direct response television. The DRT Revenue Bonus shall be reduced by the amount of the Monday Bonus.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sz w:val="20"/>
              </w:rPr>
              <w:t>Brick-and-Mortar Bonus” means for any calendar year an amount equal to 10%</w:t>
            </w:r>
            <w:r>
              <w:rPr>
                <w:caps w:val="false"/>
                <w:smallCaps w:val="false"/>
              </w:rPr>
              <w:t xml:space="preserve"> </w:t>
            </w:r>
            <w:r>
              <w:rPr>
                <w:rFonts w:ascii="Times New Roman;Times;serif" w:hAnsi="Times New Roman;Times;serif"/>
                <w:b w:val="false"/>
                <w:i w:val="false"/>
                <w:caps w:val="false"/>
                <w:smallCaps w:val="false"/>
                <w:sz w:val="20"/>
              </w:rPr>
              <w:t>of the net revenues from sales of products under the Isaac Mizrahi Brand, excluding DRT revenue and endorsement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sz w:val="20"/>
              </w:rPr>
              <w:t>Endorsement Bonus” means for any calendar year an amount equal to 40%</w:t>
            </w:r>
            <w:r>
              <w:rPr>
                <w:caps w:val="false"/>
                <w:smallCaps w:val="false"/>
              </w:rPr>
              <w:t xml:space="preserve"> </w:t>
            </w:r>
            <w:r>
              <w:rPr>
                <w:rFonts w:ascii="Times New Roman;Times;serif" w:hAnsi="Times New Roman;Times;serif"/>
                <w:b w:val="false"/>
                <w:i w:val="false"/>
                <w:caps w:val="false"/>
                <w:smallCaps w:val="false"/>
                <w:sz w:val="20"/>
              </w:rPr>
              <w:t>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sz w:val="20"/>
              </w:rPr>
              <w:t>Monday Bonus” means $10,000</w:t>
            </w:r>
            <w:r>
              <w:rPr>
                <w:caps w:val="false"/>
                <w:smallCaps w:val="false"/>
              </w:rPr>
              <w:t xml:space="preserve"> </w:t>
            </w:r>
            <w:r>
              <w:rPr>
                <w:rFonts w:ascii="Times New Roman;Times;serif" w:hAnsi="Times New Roman;Times;serif"/>
                <w:b w:val="false"/>
                <w:i w:val="false"/>
                <w:caps w:val="false"/>
                <w:smallCaps w:val="false"/>
                <w:sz w:val="20"/>
              </w:rPr>
              <w:t>for each appearance by Mr. Mizrahi on Qurate’s QVC channel on Mondays (subject to certain expectations) up to a maximum of 40</w:t>
            </w:r>
            <w:r>
              <w:rPr>
                <w:caps w:val="false"/>
                <w:smallCaps w:val="false"/>
              </w:rPr>
              <w:t xml:space="preserve"> </w:t>
            </w:r>
            <w:r>
              <w:rPr>
                <w:rFonts w:ascii="Times New Roman;Times;serif" w:hAnsi="Times New Roman;Times;serif"/>
                <w:b w:val="false"/>
                <w:i w:val="false"/>
                <w:caps w:val="false"/>
                <w:smallCaps w:val="false"/>
                <w:sz w:val="20"/>
              </w:rPr>
              <w:t>such appearances in a calendar year.</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2020 the Company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 (see Note 3 for details).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 and 2021</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pStyle w:val="TextBody"/>
        <w:spacing w:before="0" w:after="240"/>
        <w:ind w:left="0" w:right="0" w:hanging="0"/>
        <w:jc w:val="both"/>
        <w:rPr/>
      </w:pPr>
      <w:r>
        <w:rPr/>
        <w:t>​</w:t>
      </w:r>
    </w:p>
    <w:p>
      <w:pPr>
        <w:pStyle w:val="TextBody"/>
        <w:spacing w:before="0" w:after="240"/>
        <w:ind w:left="0" w:right="0" w:hanging="0"/>
        <w:rPr>
          <w:color w:val="FF0000"/>
        </w:rPr>
      </w:pPr>
      <w:bookmarkStart w:id="1034" w:name="_c2e8b0cb_3ca5_44fc_b095_dc0bebd51859"/>
      <w:bookmarkEnd w:id="1034"/>
      <w:r>
        <w:rPr>
          <w:color w:val="FF0000"/>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35" w:name="Item9ChangesinandDisagreementswithAccoun"/>
      <w:bookmarkStart w:id="1036" w:name="_4af39f41_5dd6_45a4_a67b_13d6b810a3bc"/>
      <w:bookmarkEnd w:id="1035"/>
      <w:bookmarkEnd w:id="1036"/>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 2021, the Company dismissed CohnReznick LLP (“CR”) as its independent registered public accounting firm. CR’s report on the financial statements of the Company as of and for the year ended December 31, 2020 did not contain an adverse opinion or a disclaimer of opinion, nor was it qualified or modified as to uncertainty, audit scope, or accounting principles. In connection with the audit of the financial statements of the Company for the year ended December 31, 2020 and the subsequent interim period through October 1, 2021, there were no disagreements on any matter of accounting principles or practices, financial statement disclosures, or auditing scope or procedures, which disagreements if not resolved to their satisfaction would have caused them to make reference in connection with CR’s opinion to the subject matter of the disagreement.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30, 2021, the Audit Committee of the Board of Directors appointed Marcum LLP (“Marcum”) as the Company’s new independent registered public accounting firm. Prior to September 30, 2021, the Company did not consult with Marcum regarding (1) the application of accounting principles to a specified transactions, (2) the type of audit opinion that might be rendered on the Company’s financial statements, (3) written or oral advice was provided that would be an important factor considered by the Company in reaching a decision as to an accounting, auditing, or financial reporting issues, or (4) any matter that was the subject of a disagreement between the Company and its predecessor auditor as described in Item 304(a)(1)(iv) of Regulation S-K or a reportable event as described in Item 304(a)(1)(v) of Regulation S-K.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Audit Committee of the Board of Directors participated in and approved the decision to change our independent registered public accounting firm.</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were no disagreements with the Company’s auditors which would require disclosure under Item 304(b) of Regulation S-K.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37" w:name="Item9AControlsandProcedures_552748"/>
      <w:bookmarkStart w:id="1038" w:name="_e67d986b_fb98_4be6_875f_4ccb9caad203"/>
      <w:bookmarkEnd w:id="1037"/>
      <w:bookmarkEnd w:id="1038"/>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Our Chief Executive Officer and Chief Financial Officer evaluated the effectiveness of our disclosure controls and procedures as defined in Rule 13a-15(f) and 15d-15(f) of the Securities Exchange Act of 1934, as amended (the “Exchange Act”), as of December 31, 2022. Based on that evaluation, our Chief Executive Officer and Chief Financial Officer concluded that our disclosure controls and procedures were effective as of December 31, 2022,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Under the supervision and with the participation of our management, including our Chief Executive Officer and Chief Financial Officer, we conducted an evaluation of the design and effectiveness of our internal control over financial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2022.</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39" w:name="Item9BOtherInformation_38498"/>
      <w:bookmarkStart w:id="1040" w:name="_4df6e472_d4af_4140_8ff7_5f4389abb8a7"/>
      <w:bookmarkEnd w:id="1039"/>
      <w:bookmarkEnd w:id="1040"/>
      <w:r>
        <w:rPr>
          <w:rFonts w:ascii="Times New Roman;Times;serif" w:hAnsi="Times New Roman;Times;serif"/>
          <w:b/>
          <w:sz w:val="20"/>
        </w:rPr>
        <w:t>Item 9B.   Other Information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None. </w:t>
      </w:r>
    </w:p>
    <w:p>
      <w:pPr>
        <w:pStyle w:val="TextBody"/>
        <w:spacing w:before="0" w:after="240"/>
        <w:ind w:left="0" w:right="0" w:hanging="0"/>
        <w:jc w:val="both"/>
        <w:rPr/>
      </w:pPr>
      <w:r>
        <w:rPr/>
        <w:t>​</w:t>
      </w:r>
    </w:p>
    <w:p>
      <w:pPr>
        <w:pStyle w:val="TextBody"/>
        <w:spacing w:before="0" w:after="0"/>
        <w:ind w:left="0" w:right="0" w:hanging="0"/>
        <w:jc w:val="left"/>
        <w:rPr>
          <w:rFonts w:ascii="Times New Roman;Times;serif" w:hAnsi="Times New Roman;Times;serif"/>
          <w:sz w:val="20"/>
        </w:rPr>
      </w:pPr>
      <w:bookmarkStart w:id="1041" w:name="Item9CDisclosureRegardingForeignJurisdic"/>
      <w:bookmarkStart w:id="1042" w:name="_a81ffdcf_b304_43c4_bc99_ecff55e033d9"/>
      <w:bookmarkEnd w:id="1041"/>
      <w:bookmarkEnd w:id="1042"/>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1043" w:name="PARTIII_546425"/>
      <w:bookmarkStart w:id="1044" w:name="_2a09cd4c_4ea8_484d_8199_6100d4740f80"/>
      <w:bookmarkEnd w:id="1043"/>
      <w:bookmarkEnd w:id="1044"/>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1045" w:name="Item10DirectorsExecutiveOfficersPromoter"/>
      <w:bookmarkEnd w:id="1045"/>
      <w:r>
        <w:rPr>
          <w:rFonts w:ascii="Times New Roman;Times;serif" w:hAnsi="Times New Roman;Times;serif"/>
          <w:b/>
          <w:sz w:val="20"/>
        </w:rPr>
        <w:t>Item 10.   Directors, Executive Officers and Corporate Governance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624"/>
        <w:gridCol w:w="326"/>
        <w:gridCol w:w="466"/>
        <w:gridCol w:w="326"/>
        <w:gridCol w:w="7463"/>
      </w:tblGrid>
      <w:tr>
        <w:trPr/>
        <w:tc>
          <w:tcPr>
            <w:tcW w:w="1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31240" cy="175260"/>
                      <wp:effectExtent l="0" t="0" r="0" b="0"/>
                      <wp:wrapNone/>
                      <wp:docPr id="127" name="Frame127"/>
                      <a:graphic xmlns:a="http://schemas.openxmlformats.org/drawingml/2006/main">
                        <a:graphicData uri="http://schemas.microsoft.com/office/word/2010/wordprocessingShape">
                          <wps:wsp>
                            <wps:cNvSpPr txBox="1"/>
                            <wps:spPr>
                              <a:xfrm>
                                <a:off x="0" y="0"/>
                                <a:ext cx="1031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95910" cy="175260"/>
                      <wp:effectExtent l="0" t="0" r="0" b="0"/>
                      <wp:wrapNone/>
                      <wp:docPr id="129" name="Frame129"/>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739005" cy="175260"/>
                      <wp:effectExtent l="0" t="0" r="0" b="0"/>
                      <wp:wrapNone/>
                      <wp:docPr id="131" name="Frame131"/>
                      <a:graphic xmlns:a="http://schemas.openxmlformats.org/drawingml/2006/main">
                        <a:graphicData uri="http://schemas.microsoft.com/office/word/2010/wordprocessingShape">
                          <wps:wsp>
                            <wps:cNvSpPr txBox="1"/>
                            <wps:spPr>
                              <a:xfrm>
                                <a:off x="0" y="0"/>
                                <a:ext cx="4739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0"/>
              <w:ind w:left="0" w:right="0" w:hanging="0"/>
              <w:jc w:val="center"/>
              <w:rPr/>
            </w:pPr>
            <w:r>
              <w:rPr/>
              <w:t>    </w:t>
            </w:r>
          </w:p>
        </w:tc>
        <w:tc>
          <w:tcPr>
            <w:tcW w:w="746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6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Robert W. D’Loren</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spacing w:before="0" w:after="0"/>
              <w:ind w:left="0" w:right="0" w:hanging="0"/>
              <w:rPr/>
            </w:pPr>
            <w:r>
              <w:rPr/>
              <w:t> </w:t>
            </w:r>
          </w:p>
        </w:tc>
        <w:tc>
          <w:tcPr>
            <w:tcW w:w="74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of Directors and Chief Executive Officer and President</w:t>
            </w:r>
          </w:p>
        </w:tc>
      </w:tr>
      <w:tr>
        <w:trPr/>
        <w:tc>
          <w:tcPr>
            <w:tcW w:w="16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James F. Haran</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0"/>
              <w:ind w:left="0" w:right="0" w:hanging="0"/>
              <w:rPr/>
            </w:pPr>
            <w:r>
              <w:rPr/>
              <w:t> </w:t>
            </w:r>
          </w:p>
        </w:tc>
        <w:tc>
          <w:tcPr>
            <w:tcW w:w="74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Assistant Secretary, and Principal Financial and Accounting Officer</w:t>
            </w:r>
          </w:p>
        </w:tc>
      </w:tr>
      <w:tr>
        <w:trPr/>
        <w:tc>
          <w:tcPr>
            <w:tcW w:w="16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Seth Burroughs</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 </w:t>
            </w:r>
          </w:p>
        </w:tc>
        <w:tc>
          <w:tcPr>
            <w:tcW w:w="74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Vice President of Business Development and Treasury and Secretary</w:t>
            </w:r>
          </w:p>
        </w:tc>
      </w:tr>
      <w:tr>
        <w:trPr/>
        <w:tc>
          <w:tcPr>
            <w:tcW w:w="16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 DiSanto</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auto" w:val="clear"/>
            <w:vAlign w:val="center"/>
          </w:tcPr>
          <w:p>
            <w:pPr>
              <w:pStyle w:val="TableContents"/>
              <w:spacing w:before="0" w:after="0"/>
              <w:ind w:left="0" w:right="0" w:hanging="0"/>
              <w:rPr/>
            </w:pPr>
            <w:r>
              <w:rPr/>
              <w:t> </w:t>
            </w:r>
          </w:p>
        </w:tc>
        <w:tc>
          <w:tcPr>
            <w:tcW w:w="74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6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James Fielding</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 </w:t>
            </w:r>
          </w:p>
        </w:tc>
        <w:tc>
          <w:tcPr>
            <w:tcW w:w="74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6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R. Francis</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auto" w:val="clear"/>
            <w:vAlign w:val="center"/>
          </w:tcPr>
          <w:p>
            <w:pPr>
              <w:pStyle w:val="TableContents"/>
              <w:spacing w:before="0" w:after="0"/>
              <w:ind w:left="0" w:right="0" w:hanging="0"/>
              <w:rPr/>
            </w:pPr>
            <w:r>
              <w:rPr/>
              <w:t> </w:t>
            </w:r>
          </w:p>
        </w:tc>
        <w:tc>
          <w:tcPr>
            <w:tcW w:w="74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6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Howard Liebman</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0"/>
              <w:ind w:left="0" w:right="0" w:hanging="0"/>
              <w:rPr/>
            </w:pPr>
            <w:r>
              <w:rPr/>
              <w:t> </w:t>
            </w:r>
          </w:p>
        </w:tc>
        <w:tc>
          <w:tcPr>
            <w:tcW w:w="74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6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Deborah Weinswig</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 </w:t>
            </w:r>
          </w:p>
        </w:tc>
        <w:tc>
          <w:tcPr>
            <w:tcW w:w="74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Below are the biographies of each of our officers and directors as of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Robert W. D’Loren</w:t>
      </w:r>
      <w:r>
        <w:rPr>
          <w:rFonts w:ascii="Times New Roman;Times;serif" w:hAnsi="Times New Roman;Times;serif"/>
          <w:sz w:val="20"/>
        </w:rPr>
        <w:t xml:space="preserve"> has been the Chairman of our Board and our Chief Executive Officer and President since September 2011. Mr. D’Loren has been an entrepreneur, innovator, and pioneer of the consumer branded products industry for over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James F. Haran</w:t>
      </w:r>
      <w:r>
        <w:rPr>
          <w:rFonts w:ascii="Times New Roman;Times;serif" w:hAnsi="Times New Roman;Times;serif"/>
          <w:sz w:val="20"/>
        </w:rPr>
        <w:t xml:space="preserve"> has been our Chief Financial Officer since September 2011. Mr. Haran served as CFO of IPX Capital, 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Seth Burroughs</w:t>
      </w:r>
      <w:r>
        <w:rPr>
          <w:rFonts w:ascii="Times New Roman;Times;serif" w:hAnsi="Times New Roman;Times;serif"/>
          <w:sz w:val="20"/>
        </w:rPr>
        <w:t xml:space="preserve"> has been our Executive Vice President of Business Development and Treasury since September 2011. 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Mark DiSanto</w:t>
      </w:r>
      <w:r>
        <w:rPr>
          <w:rFonts w:ascii="Times New Roman;Times;serif" w:hAnsi="Times New Roman;Times;serif"/>
          <w:sz w:val="20"/>
        </w:rPr>
        <w:t xml:space="preserve"> has served as a member of our Board since October 2011. Since 1988, Mr. DiSanto has served as the Chief 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James Fielding</w:t>
      </w:r>
      <w:r>
        <w:rPr>
          <w:rFonts w:ascii="Times New Roman;Times;serif" w:hAnsi="Times New Roman;Times;serif"/>
          <w:sz w:val="20"/>
        </w:rPr>
        <w:t xml:space="preserve"> was appointed as a member of our Board in July 2018. He is a 25-year veteran in the consumer retail 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Michael R. Francis</w:t>
      </w:r>
      <w:r>
        <w:rPr>
          <w:rFonts w:ascii="Times New Roman;Times;serif" w:hAnsi="Times New Roman;Times;serif"/>
          <w:sz w:val="20"/>
        </w:rPr>
        <w:t xml:space="preserve"> has served as a member of our Board since June 2015. Mr. Francis is founder and CEO of Fairview Associates, LLC, a retail and branding 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Howard Liebman</w:t>
      </w:r>
      <w:r>
        <w:rPr>
          <w:rFonts w:ascii="Times New Roman;Times;serif" w:hAnsi="Times New Roman;Times;serif"/>
          <w:sz w:val="20"/>
        </w:rPr>
        <w:t xml:space="preserve"> has served as a member of our Board since October 2011. He was President, Chief Operating Officer 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Deborah Weinswig</w:t>
      </w:r>
      <w:r>
        <w:rPr>
          <w:rFonts w:ascii="Times New Roman;Times;serif" w:hAnsi="Times New Roman;Times;serif"/>
          <w:sz w:val="20"/>
        </w:rPr>
        <w:t xml:space="preserve"> was appointed as a member of our Board in January 2018. She is a Managing Director of Funding 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Directors’ Qualifications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Robert W. D’Loren</w:t>
      </w:r>
      <w:r>
        <w:rPr>
          <w:rFonts w:ascii="Times New Roman;Times;serif" w:hAnsi="Times New Roman;Times;serif"/>
          <w:sz w:val="20"/>
        </w:rPr>
        <w:t xml:space="preserve"> has extensive experience in and knowledge of the licensing and commercial business industries and 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Mark DiSanto</w:t>
      </w:r>
      <w:r>
        <w:rPr>
          <w:rFonts w:ascii="Times New Roman;Times;serif" w:hAnsi="Times New Roman;Times;serif"/>
          <w:sz w:val="20"/>
        </w:rPr>
        <w:t xml:space="preserve"> has considerable experience in building and running businesses and brings his strong business acumen to the Board.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James Fielding</w:t>
      </w:r>
      <w:r>
        <w:rPr>
          <w:rFonts w:ascii="Times New Roman;Times;serif" w:hAnsi="Times New Roman;Times;serif"/>
          <w:sz w:val="20"/>
        </w:rPr>
        <w:t xml:space="preserve"> brings extensive senior level experience in the consumer retail space, as well as strong relationships in the media and retail industries.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Michael R. Francis</w:t>
      </w:r>
      <w:r>
        <w:rPr>
          <w:rFonts w:ascii="Times New Roman;Times;serif" w:hAnsi="Times New Roman;Times;serif"/>
          <w:sz w:val="20"/>
        </w:rPr>
        <w:t xml:space="preserve"> brings extensive senior level experience in the media and retail industries, as well as relationships in the media and retail industries.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Howard Liebman</w:t>
      </w:r>
      <w:r>
        <w:rPr>
          <w:rFonts w:ascii="Times New Roman;Times;serif" w:hAnsi="Times New Roman;Times;serif"/>
          <w:sz w:val="20"/>
        </w:rPr>
        <w:t xml:space="preserve"> brings comprehensive knowledge of accounting, the capital markets, mergers and acquisitions, financial reporting, and financial strategies from his extensive public accounting experience and prior service as Chief Financial Officer of a public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Deborah Weinswig</w:t>
      </w:r>
      <w:r>
        <w:rPr>
          <w:rFonts w:ascii="Times New Roman;Times;serif" w:hAnsi="Times New Roman;Times;serif"/>
          <w:sz w:val="20"/>
        </w:rPr>
        <w:t xml:space="preserve"> brings thought leadership in the retail and licensing industries, particularly in the areas of sourcing and logistics.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Employees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Lori Goldstein</w:t>
      </w:r>
      <w:r>
        <w:rPr>
          <w:rFonts w:ascii="Times New Roman;Times;serif" w:hAnsi="Times New Roman;Times;serif"/>
          <w:sz w:val="20"/>
        </w:rPr>
        <w:t xml:space="preserve"> is Chief Creative Officer and Spokeswoman for the Lori Goldstein Brands. As Chief Creative Officer, she is responsible for providing design input and guidance to Xcel Brands for all brands under her name. Ms. Goldstein’s work has covered a vast range, from her collaborations with photographers Annie Leibovitz at Vanity Fair to Steven Meisel at Vogue Italia, to her styling for designers Donatella Versace and Vera Wang. Ms. Goldstein stepped in front of the camera in 2009 when she launched LOGO by Lori Goldstein, her exclusive collection for QVC. She is the author of “Style Is Instinct,” which was published in 2013. In 2014, Ms. Goldstein’s brand was awarded “Apparel Product Concept of the Year” and she was named QVC Ambassador.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 with Executives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Robert W. D’Loren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automatically renewed for a one-year term in 2022 and again in 2023, and will be automatically renewed for one-year terms thereafter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Bonus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D’Loren Agreement, Mr. D’Loren was granted an option to purchase up to 2,578,947 shares of the Company’s common stock at an exercise price of $1.72 per share. The option is exercisable until February 28, 2029 and shall vest, subject to Mr. D’Loren remaining employed by the Company and based upon the Company’s common stock achieving the following target prices:</w:t>
      </w:r>
    </w:p>
    <w:p>
      <w:pPr>
        <w:pStyle w:val="TextBody"/>
        <w:spacing w:before="0" w:after="240"/>
        <w:ind w:left="0" w:right="0" w:hanging="0"/>
        <w:jc w:val="both"/>
        <w:rPr/>
      </w:pPr>
      <w:r>
        <w:rPr/>
        <w:t>​</w:t>
      </w:r>
    </w:p>
    <w:tbl>
      <w:tblPr>
        <w:tblW w:w="4018" w:type="dxa"/>
        <w:jc w:val="left"/>
        <w:tblInd w:w="0" w:type="dxa"/>
        <w:tblCellMar>
          <w:top w:w="0" w:type="dxa"/>
          <w:left w:w="0" w:type="dxa"/>
          <w:bottom w:w="0" w:type="dxa"/>
          <w:right w:w="0" w:type="dxa"/>
        </w:tblCellMar>
      </w:tblPr>
      <w:tblGrid>
        <w:gridCol w:w="1096"/>
        <w:gridCol w:w="326"/>
        <w:gridCol w:w="2596"/>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5960" cy="175260"/>
                      <wp:effectExtent l="0" t="0" r="0" b="0"/>
                      <wp:wrapNone/>
                      <wp:docPr id="132" name="Frame13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48460" cy="175260"/>
                      <wp:effectExtent l="0" t="0" r="0" b="0"/>
                      <wp:wrapNone/>
                      <wp:docPr id="134" name="Frame134"/>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 Prices</w:t>
            </w:r>
          </w:p>
        </w:tc>
        <w:tc>
          <w:tcPr>
            <w:tcW w:w="326" w:type="dxa"/>
            <w:tcBorders/>
            <w:shd w:fill="auto" w:val="clear"/>
            <w:vAlign w:val="center"/>
          </w:tcPr>
          <w:p>
            <w:pPr>
              <w:pStyle w:val="TableContents"/>
              <w:spacing w:before="0" w:after="1"/>
              <w:ind w:left="0" w:right="0" w:hanging="0"/>
              <w:rPr/>
            </w:pPr>
            <w:r>
              <w:rPr/>
              <w:t>    </w:t>
            </w:r>
          </w:p>
        </w:tc>
        <w:tc>
          <w:tcPr>
            <w:tcW w:w="25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Option Shares Vesting</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spacing w:before="0" w:after="1"/>
              <w:ind w:left="0" w:right="0" w:hanging="0"/>
              <w:rPr/>
            </w:pPr>
            <w:r>
              <w:rPr/>
              <w:t>​</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736,842</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shd w:fill="auto" w:val="clear"/>
            <w:vAlign w:val="center"/>
          </w:tcPr>
          <w:p>
            <w:pPr>
              <w:pStyle w:val="TableContents"/>
              <w:spacing w:before="0" w:after="1"/>
              <w:ind w:left="0" w:right="0" w:hanging="0"/>
              <w:rPr/>
            </w:pPr>
            <w:r>
              <w:rPr/>
              <w:t>​</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626,316</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spacing w:before="0" w:after="1"/>
              <w:ind w:left="0" w:right="0" w:hanging="0"/>
              <w:rPr/>
            </w:pPr>
            <w:r>
              <w:rPr/>
              <w:t>​</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515,789</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1"/>
              <w:ind w:left="0" w:right="0" w:hanging="0"/>
              <w:rPr/>
            </w:pPr>
            <w:r>
              <w:rPr/>
              <w:t>​</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405,263</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spacing w:before="0" w:after="1"/>
              <w:ind w:left="0" w:right="0" w:hanging="0"/>
              <w:rPr/>
            </w:pPr>
            <w:r>
              <w:rPr/>
              <w:t>​</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294,737</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Severance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Mr. D’Loren’s employment is terminated by the Company without cause, or if Mr. D’Loren resigns with good reason, or if the Company fails to renew the term, then Mr. D’Loren will be entitled to receive his unpaid base salary and cash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 of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Non-Competition and Non-Solicitation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James Haran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automatically renewed for successive one-year terms in 2021, 2022, and 2023,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Bonus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Haran Employment Agreement, Mr. Haran was granted an option to purchase up to 552,632 shares of the Company’s common stock at an exercise price of $1.72 per share. The option is exercisable until February 28, 2029 and shall vest, subject to Mr. Haran remaining employed with the Company and based upon the Company’s common stock achieving target prices as follows:</w:t>
      </w:r>
    </w:p>
    <w:p>
      <w:pPr>
        <w:pStyle w:val="TextBody"/>
        <w:spacing w:before="0" w:after="240"/>
        <w:ind w:left="0" w:right="0" w:hanging="0"/>
        <w:jc w:val="both"/>
        <w:rPr/>
      </w:pPr>
      <w:r>
        <w:rPr/>
        <w:t>​</w:t>
      </w:r>
    </w:p>
    <w:tbl>
      <w:tblPr>
        <w:tblW w:w="4018" w:type="dxa"/>
        <w:jc w:val="left"/>
        <w:tblInd w:w="0" w:type="dxa"/>
        <w:tblCellMar>
          <w:top w:w="0" w:type="dxa"/>
          <w:left w:w="0" w:type="dxa"/>
          <w:bottom w:w="0" w:type="dxa"/>
          <w:right w:w="0" w:type="dxa"/>
        </w:tblCellMar>
      </w:tblPr>
      <w:tblGrid>
        <w:gridCol w:w="1096"/>
        <w:gridCol w:w="326"/>
        <w:gridCol w:w="2596"/>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5960" cy="175260"/>
                      <wp:effectExtent l="0" t="0" r="0" b="0"/>
                      <wp:wrapNone/>
                      <wp:docPr id="135" name="Frame135"/>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48460" cy="175260"/>
                      <wp:effectExtent l="0" t="0" r="0" b="0"/>
                      <wp:wrapNone/>
                      <wp:docPr id="137" name="Frame137"/>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 Prices</w:t>
            </w:r>
          </w:p>
        </w:tc>
        <w:tc>
          <w:tcPr>
            <w:tcW w:w="326" w:type="dxa"/>
            <w:tcBorders/>
            <w:shd w:fill="auto" w:val="clear"/>
            <w:vAlign w:val="center"/>
          </w:tcPr>
          <w:p>
            <w:pPr>
              <w:pStyle w:val="TableContents"/>
              <w:spacing w:before="0" w:after="1"/>
              <w:ind w:left="0" w:right="0" w:hanging="0"/>
              <w:jc w:val="center"/>
              <w:rPr/>
            </w:pPr>
            <w:r>
              <w:rPr/>
              <w:t>    </w:t>
            </w:r>
          </w:p>
        </w:tc>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Number of Option Shares Vesting</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157,895</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shd w:fill="auto" w:val="clear"/>
            <w:vAlign w:val="center"/>
          </w:tcPr>
          <w:p>
            <w:pPr>
              <w:pStyle w:val="TableContents"/>
              <w:spacing w:before="0" w:after="1"/>
              <w:ind w:left="0" w:right="0" w:hanging="0"/>
              <w:rPr/>
            </w:pPr>
            <w:r>
              <w:rPr/>
              <w:t> </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134,211</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110,526</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1"/>
              <w:ind w:left="0" w:right="0" w:hanging="0"/>
              <w:rPr/>
            </w:pPr>
            <w:r>
              <w:rPr/>
              <w:t> </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86,842</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63,158</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Severance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 of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Non-Competition and Non-Solicitation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Seth Burroughs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28, 2019, and effective as of January 1, 2019, the Company entered into a two-year employment agreement with Seth Burroughs for him to continue to serve as the Company’s Executive Vice President – Business Development and Treasury, referred to as the Burroughs Employment Agreement. Following the initial two-year term, the agreement automatically renewed for successive one-year terms in 2021, 2022, and 2023, and will be automatically renewed for one-year terms thereafter unless either party gives written notice of intent to terminate at least 30 days prior to the expiration of the then current term. Pursuant to the Burroughs Employment Agreement, Mr. Burroughs’ annual base salary is $0.34 million per annum. The board of directors or the compensation committee may approve increases (but not decreases) from time to time. Following the initial two-year term, the base salary shall be reviewed at least annually.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Bonus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Burroughs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Burroughs Employment Agreement, Mr. Burroughs was granted an option to purchase up to 368,421 shares of the Company’s common stock at an exercise price of $1.72 per share. The option is exercisable until February 28, 2029 and shall vest, subject to Mr. Burroughs remaining employed with the Company and based upon the Company’s common stock achieving target prices as follows:</w:t>
      </w:r>
    </w:p>
    <w:p>
      <w:pPr>
        <w:pStyle w:val="TextBody"/>
        <w:spacing w:before="0" w:after="240"/>
        <w:ind w:left="0" w:right="0" w:hanging="0"/>
        <w:jc w:val="both"/>
        <w:rPr/>
      </w:pPr>
      <w:r>
        <w:rPr/>
        <w:t>​</w:t>
      </w:r>
    </w:p>
    <w:tbl>
      <w:tblPr>
        <w:tblW w:w="4018" w:type="dxa"/>
        <w:jc w:val="left"/>
        <w:tblInd w:w="0" w:type="dxa"/>
        <w:tblCellMar>
          <w:top w:w="0" w:type="dxa"/>
          <w:left w:w="0" w:type="dxa"/>
          <w:bottom w:w="0" w:type="dxa"/>
          <w:right w:w="0" w:type="dxa"/>
        </w:tblCellMar>
      </w:tblPr>
      <w:tblGrid>
        <w:gridCol w:w="1096"/>
        <w:gridCol w:w="326"/>
        <w:gridCol w:w="2596"/>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5960" cy="175260"/>
                      <wp:effectExtent l="0" t="0" r="0" b="0"/>
                      <wp:wrapNone/>
                      <wp:docPr id="138" name="Frame13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48460" cy="175260"/>
                      <wp:effectExtent l="0" t="0" r="0" b="0"/>
                      <wp:wrapNone/>
                      <wp:docPr id="140" name="Frame140"/>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 Prices</w:t>
            </w:r>
          </w:p>
        </w:tc>
        <w:tc>
          <w:tcPr>
            <w:tcW w:w="326" w:type="dxa"/>
            <w:tcBorders/>
            <w:shd w:fill="auto" w:val="clear"/>
            <w:vAlign w:val="center"/>
          </w:tcPr>
          <w:p>
            <w:pPr>
              <w:pStyle w:val="TableContents"/>
              <w:spacing w:before="0" w:after="1"/>
              <w:ind w:left="0" w:right="0" w:hanging="0"/>
              <w:jc w:val="center"/>
              <w:rPr/>
            </w:pPr>
            <w:r>
              <w:rPr/>
              <w:t>    </w:t>
            </w:r>
          </w:p>
        </w:tc>
        <w:tc>
          <w:tcPr>
            <w:tcW w:w="25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Number of Option Shares Vesting</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105,263</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shd w:fill="auto" w:val="clear"/>
            <w:vAlign w:val="center"/>
          </w:tcPr>
          <w:p>
            <w:pPr>
              <w:pStyle w:val="TableContents"/>
              <w:spacing w:before="0" w:after="1"/>
              <w:ind w:left="0" w:right="0" w:hanging="0"/>
              <w:rPr/>
            </w:pPr>
            <w:r>
              <w:rPr/>
              <w:t> </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89,474</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73,684</w:t>
            </w:r>
          </w:p>
        </w:tc>
      </w:tr>
      <w:tr>
        <w:trPr/>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1"/>
              <w:ind w:left="0" w:right="0" w:hanging="0"/>
              <w:rPr/>
            </w:pPr>
            <w:r>
              <w:rPr/>
              <w:t> </w:t>
            </w:r>
          </w:p>
        </w:tc>
        <w:tc>
          <w:tcPr>
            <w:tcW w:w="25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57,895</w:t>
            </w:r>
          </w:p>
        </w:tc>
      </w:tr>
      <w:tr>
        <w:trPr/>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spacing w:before="0" w:after="1"/>
              <w:ind w:left="0" w:right="0" w:hanging="0"/>
              <w:rPr/>
            </w:pPr>
            <w:r>
              <w:rPr/>
              <w:t> </w:t>
            </w:r>
          </w:p>
        </w:tc>
        <w:tc>
          <w:tcPr>
            <w:tcW w:w="25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42,105</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Severance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Mr. Burrough’s employment is terminated by the Company without cause, or if Mr. Burroughs resigns with good reason, or if the Company fails to renew the term, then Mr. Burroughs will be entitled to receive his unpaid base salary and cash bonuses through the termination date and a lump sum payment equal to his base salary in effect on the termination date for 12 months. Mr. Burroughs would also be entitled to continue to participate in our group medical plan, subject to certain conditions, for a period of 12 months from the termination date.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 of Control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Non-Competition and Non-Solicitation</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Family Relationships</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There are no family relationships among our directors or officers.</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Independence of the Board of Directors</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The board has determined that Messrs. Howard Liebman, Mark DiSanto, James Fielding, Michael R. Francis,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Section 16(a) Beneficial Ownership Reporting Compliance</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Code of Ethics</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On September 29, 2011, we adopted a code of ethics that applies to our officers, employees, and directors, including our Chief Executive Officer, Chief Financial Officer and senior executives. Our Code of Ethics can be accessed on our website, www.xcelbrands.com.</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Audit Committee and Audit Committee Financial Expert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Compensation Committee</w:t>
      </w:r>
    </w:p>
    <w:p>
      <w:pPr>
        <w:pStyle w:val="TextBody"/>
        <w:spacing w:before="0" w:after="220"/>
        <w:ind w:left="0" w:right="0" w:hanging="0"/>
        <w:jc w:val="both"/>
        <w:rPr>
          <w:rFonts w:ascii="Times New Roman;Times;serif" w:hAnsi="Times New Roman;Times;serif"/>
          <w:sz w:val="20"/>
        </w:rPr>
      </w:pPr>
      <w:r>
        <w:rPr>
          <w:rFonts w:ascii="Times New Roman;Times;serif" w:hAnsi="Times New Roman;Times;serif"/>
          <w:sz w:val="20"/>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Nominating Committee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pStyle w:val="TextBody"/>
        <w:spacing w:before="0" w:after="240"/>
        <w:ind w:left="0" w:right="0" w:hanging="0"/>
        <w:jc w:val="both"/>
        <w:rPr/>
      </w:pPr>
      <w:r>
        <w:rPr/>
        <w:t>​</w:t>
      </w:r>
    </w:p>
    <w:p>
      <w:pPr>
        <w:pStyle w:val="TextBody"/>
        <w:spacing w:before="0" w:after="200"/>
        <w:ind w:left="0" w:right="0" w:hanging="0"/>
        <w:rPr>
          <w:rFonts w:ascii="Times New Roman;Times;serif" w:hAnsi="Times New Roman;Times;serif"/>
          <w:b/>
          <w:sz w:val="20"/>
        </w:rPr>
      </w:pPr>
      <w:bookmarkStart w:id="1046" w:name="Item11ExecutiveCompensation_10826"/>
      <w:bookmarkStart w:id="1047" w:name="_3d12666e_063c_40a2_aca7_e7776252f150"/>
      <w:bookmarkEnd w:id="1046"/>
      <w:bookmarkEnd w:id="1047"/>
      <w:r>
        <w:rPr>
          <w:rFonts w:ascii="Times New Roman;Times;serif" w:hAnsi="Times New Roman;Times;serif"/>
          <w:b/>
          <w:sz w:val="20"/>
        </w:rPr>
        <w:t>Item 11.   Executive Compensation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all cash and non-cash compensation earned, during the years ended December 31, 2022 and 2021, by our principal executive officer and our two other most highly compensated executive officers, which we refer to collectively as the named executive officers, for services in all capacities to the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p>
      <w:pPr>
        <w:pStyle w:val="TextBody"/>
        <w:spacing w:before="0" w:after="240"/>
        <w:ind w:left="0" w:right="0" w:hanging="0"/>
        <w:jc w:val="center"/>
        <w:rPr/>
      </w:pPr>
      <w:r>
        <w:rPr/>
        <w:t>​</w:t>
      </w:r>
    </w:p>
    <w:tbl>
      <w:tblPr>
        <w:tblW w:w="10464" w:type="dxa"/>
        <w:jc w:val="left"/>
        <w:tblInd w:w="0" w:type="dxa"/>
        <w:tblCellMar>
          <w:top w:w="0" w:type="dxa"/>
          <w:left w:w="0" w:type="dxa"/>
          <w:bottom w:w="0" w:type="dxa"/>
          <w:right w:w="0" w:type="dxa"/>
        </w:tblCellMar>
      </w:tblPr>
      <w:tblGrid>
        <w:gridCol w:w="976"/>
        <w:gridCol w:w="326"/>
        <w:gridCol w:w="1201"/>
        <w:gridCol w:w="326"/>
        <w:gridCol w:w="526"/>
        <w:gridCol w:w="326"/>
        <w:gridCol w:w="211"/>
        <w:gridCol w:w="781"/>
        <w:gridCol w:w="326"/>
        <w:gridCol w:w="211"/>
        <w:gridCol w:w="781"/>
        <w:gridCol w:w="326"/>
        <w:gridCol w:w="211"/>
        <w:gridCol w:w="781"/>
        <w:gridCol w:w="326"/>
        <w:gridCol w:w="285"/>
        <w:gridCol w:w="916"/>
        <w:gridCol w:w="326"/>
        <w:gridCol w:w="326"/>
        <w:gridCol w:w="976"/>
      </w:tblGrid>
      <w:tr>
        <w:trPr/>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9760" cy="175260"/>
                      <wp:effectExtent l="0" t="0" r="0" b="0"/>
                      <wp:wrapNone/>
                      <wp:docPr id="141" name="Frame141"/>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62635" cy="175260"/>
                      <wp:effectExtent l="0" t="0" r="0" b="0"/>
                      <wp:wrapNone/>
                      <wp:docPr id="143" name="Frame143"/>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34010" cy="175260"/>
                      <wp:effectExtent l="0" t="0" r="0" b="0"/>
                      <wp:wrapNone/>
                      <wp:docPr id="145" name="Frame145"/>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5935" cy="175260"/>
                      <wp:effectExtent l="0" t="0" r="0" b="0"/>
                      <wp:wrapNone/>
                      <wp:docPr id="148" name="Frame14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0975" cy="175260"/>
                      <wp:effectExtent l="0" t="0" r="0" b="0"/>
                      <wp:wrapNone/>
                      <wp:docPr id="156" name="Frame156"/>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81660" cy="175260"/>
                      <wp:effectExtent l="0" t="0" r="0" b="0"/>
                      <wp:wrapNone/>
                      <wp:docPr id="157" name="Frame15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19760" cy="175260"/>
                      <wp:effectExtent l="0" t="0" r="0" b="0"/>
                      <wp:wrapNone/>
                      <wp:docPr id="160" name="Frame16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0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Awards</w:t>
            </w:r>
          </w:p>
        </w:tc>
        <w:tc>
          <w:tcPr>
            <w:tcW w:w="326" w:type="dxa"/>
            <w:tcBorders/>
            <w:shd w:fill="auto" w:val="clear"/>
            <w:vAlign w:val="center"/>
          </w:tcPr>
          <w:p>
            <w:pPr>
              <w:pStyle w:val="TableContents"/>
              <w:spacing w:before="0" w:after="1"/>
              <w:ind w:left="0" w:right="0" w:hanging="0"/>
              <w:jc w:val="center"/>
              <w:rPr/>
            </w:pPr>
            <w:r>
              <w:rPr/>
              <w:t>    </w:t>
            </w:r>
          </w:p>
        </w:tc>
        <w:tc>
          <w:tcPr>
            <w:tcW w:w="12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976" w:type="dxa"/>
            <w:tcBorders/>
            <w:shd w:fill="auto" w:val="clear"/>
            <w:vAlign w:val="center"/>
          </w:tcPr>
          <w:p>
            <w:pPr>
              <w:pStyle w:val="TableContents"/>
              <w:spacing w:before="0" w:after="1"/>
              <w:ind w:left="0" w:right="0" w:hanging="0"/>
              <w:jc w:val="center"/>
              <w:rPr/>
            </w:pPr>
            <w:r>
              <w:rPr/>
              <w:t>​</w:t>
            </w:r>
          </w:p>
        </w:tc>
      </w:tr>
      <w:tr>
        <w:trPr/>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auto" w:val="clear"/>
            <w:vAlign w:val="center"/>
          </w:tcPr>
          <w:p>
            <w:pPr>
              <w:pStyle w:val="TableContents"/>
              <w:spacing w:before="0" w:after="1"/>
              <w:ind w:left="0" w:right="0" w:hanging="0"/>
              <w:jc w:val="center"/>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(1)</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(2)</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(3)</w:t>
            </w:r>
          </w:p>
        </w:tc>
        <w:tc>
          <w:tcPr>
            <w:tcW w:w="326" w:type="dxa"/>
            <w:tcBorders/>
            <w:shd w:fill="auto" w:val="clear"/>
            <w:vAlign w:val="center"/>
          </w:tcPr>
          <w:p>
            <w:pPr>
              <w:pStyle w:val="TableContents"/>
              <w:spacing w:before="0" w:after="1"/>
              <w:ind w:left="0" w:right="0" w:hanging="0"/>
              <w:jc w:val="center"/>
              <w:rPr/>
            </w:pPr>
            <w:r>
              <w:rPr/>
              <w:t>​</w:t>
            </w:r>
          </w:p>
        </w:tc>
        <w:tc>
          <w:tcPr>
            <w:tcW w:w="12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Compensation</w:t>
            </w:r>
          </w:p>
        </w:tc>
        <w:tc>
          <w:tcPr>
            <w:tcW w:w="326" w:type="dxa"/>
            <w:tcBorders/>
            <w:shd w:fill="auto" w:val="clear"/>
            <w:vAlign w:val="center"/>
          </w:tcPr>
          <w:p>
            <w:pPr>
              <w:pStyle w:val="TableContents"/>
              <w:spacing w:before="0" w:after="1"/>
              <w:ind w:left="0" w:right="0" w:hanging="0"/>
              <w:jc w:val="center"/>
              <w:rPr/>
            </w:pPr>
            <w:r>
              <w:rPr/>
              <w:t>​</w:t>
            </w:r>
          </w:p>
        </w:tc>
        <w:tc>
          <w:tcPr>
            <w:tcW w:w="13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Robert W. D’Loren</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CEO and Chairman</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888,500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863,534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280,601</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10,698</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2,043,333</w:t>
            </w:r>
          </w:p>
        </w:tc>
      </w:tr>
      <w:tr>
        <w:trPr/>
        <w:tc>
          <w:tcPr>
            <w:tcW w:w="9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888,500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382,640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282,640</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1,553,780</w:t>
            </w:r>
          </w:p>
        </w:tc>
      </w:tr>
      <w:tr>
        <w:trPr/>
        <w:tc>
          <w:tcPr>
            <w:tcW w:w="9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jc w:val="center"/>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shd w:fill="auto" w:val="clear"/>
            <w:vAlign w:val="center"/>
          </w:tcPr>
          <w:p>
            <w:pPr>
              <w:pStyle w:val="TableContents"/>
              <w:spacing w:before="0" w:after="1"/>
              <w:ind w:left="0" w:right="0" w:hanging="0"/>
              <w:jc w:val="right"/>
              <w:rPr/>
            </w:pPr>
            <w:r>
              <w:rPr/>
              <w:t>​</w:t>
            </w:r>
          </w:p>
        </w:tc>
      </w:tr>
      <w:tr>
        <w:trPr/>
        <w:tc>
          <w:tcPr>
            <w:tcW w:w="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James F. Haran</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CFO</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139,672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3,332</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509,004</w:t>
            </w:r>
          </w:p>
        </w:tc>
      </w:tr>
      <w:tr>
        <w:trPr/>
        <w:tc>
          <w:tcPr>
            <w:tcW w:w="9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405,310</w:t>
            </w:r>
          </w:p>
        </w:tc>
      </w:tr>
      <w:tr>
        <w:trPr/>
        <w:tc>
          <w:tcPr>
            <w:tcW w:w="9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jc w:val="center"/>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6" w:type="dxa"/>
            <w:tcBorders/>
            <w:shd w:fill="auto" w:val="clear"/>
            <w:vAlign w:val="center"/>
          </w:tcPr>
          <w:p>
            <w:pPr>
              <w:pStyle w:val="TableContents"/>
              <w:spacing w:before="0" w:after="1"/>
              <w:ind w:left="0" w:right="0" w:hanging="0"/>
              <w:jc w:val="right"/>
              <w:rPr/>
            </w:pPr>
            <w:r>
              <w:rPr/>
              <w:t>​</w:t>
            </w:r>
          </w:p>
        </w:tc>
      </w:tr>
      <w:tr>
        <w:trPr/>
        <w:tc>
          <w:tcPr>
            <w:tcW w:w="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Seth Burroughs</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EVP - Business</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340,600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154,672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495,272</w:t>
            </w:r>
          </w:p>
        </w:tc>
      </w:tr>
      <w:tr>
        <w:trPr/>
        <w:tc>
          <w:tcPr>
            <w:tcW w:w="9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20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Development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340,600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63,310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403,910</w:t>
            </w:r>
          </w:p>
        </w:tc>
      </w:tr>
      <w:tr>
        <w:trPr/>
        <w:tc>
          <w:tcPr>
            <w:tcW w:w="9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and Treasury</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jc w:val="center"/>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pPr>
            <w:r>
              <w:rPr/>
              <w:t>​</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 D’Loren’s salary amount for 2022 includes a voluntary temporary deferral of salary of $178,265, which was paid to Mr. D’Loren in 2023.</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Bonuses in 2021 include amounts paid in accordance with the executives’ respective employment agreements (see “Employment Agreements with Executives” in Item 10). Bonuses in 2022 include (i) amounts paid in accordance with the executives’ respective employment agreements and (ii) amounts awarded by the board of directors as transaction bonuses related to the May 2022 sale of a majority interest in the Isaac Mizrahi brand.</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represent the grant date fair value of fully-vested common stock awards issued as payment for performance bonuses earned in the prior year.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Equity Awards as of December 31, 2022</w:t>
      </w:r>
    </w:p>
    <w:p>
      <w:pPr>
        <w:pStyle w:val="TextBody"/>
        <w:spacing w:before="0" w:after="240"/>
        <w:ind w:left="0" w:right="0" w:hanging="0"/>
        <w:jc w:val="center"/>
        <w:rPr/>
      </w:pPr>
      <w:r>
        <w:rPr/>
        <w:t>​</w:t>
      </w:r>
    </w:p>
    <w:tbl>
      <w:tblPr>
        <w:tblW w:w="10205" w:type="dxa"/>
        <w:jc w:val="left"/>
        <w:tblInd w:w="0" w:type="dxa"/>
        <w:tblCellMar>
          <w:top w:w="0" w:type="dxa"/>
          <w:left w:w="0" w:type="dxa"/>
          <w:bottom w:w="0" w:type="dxa"/>
          <w:right w:w="0" w:type="dxa"/>
        </w:tblCellMar>
      </w:tblPr>
      <w:tblGrid>
        <w:gridCol w:w="944"/>
        <w:gridCol w:w="326"/>
        <w:gridCol w:w="1152"/>
        <w:gridCol w:w="326"/>
        <w:gridCol w:w="1021"/>
        <w:gridCol w:w="326"/>
        <w:gridCol w:w="1171"/>
        <w:gridCol w:w="326"/>
        <w:gridCol w:w="224"/>
        <w:gridCol w:w="482"/>
        <w:gridCol w:w="326"/>
        <w:gridCol w:w="931"/>
        <w:gridCol w:w="326"/>
        <w:gridCol w:w="931"/>
        <w:gridCol w:w="326"/>
        <w:gridCol w:w="352"/>
        <w:gridCol w:w="715"/>
      </w:tblGrid>
      <w:tr>
        <w:trPr/>
        <w:tc>
          <w:tcPr>
            <w:tcW w:w="9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9440" cy="175260"/>
                      <wp:effectExtent l="0" t="0" r="0" b="0"/>
                      <wp:wrapNone/>
                      <wp:docPr id="161" name="Frame161"/>
                      <a:graphic xmlns:a="http://schemas.openxmlformats.org/drawingml/2006/main">
                        <a:graphicData uri="http://schemas.microsoft.com/office/word/2010/wordprocessingShape">
                          <wps:wsp>
                            <wps:cNvSpPr txBox="1"/>
                            <wps:spPr>
                              <a:xfrm>
                                <a:off x="0" y="0"/>
                                <a:ext cx="599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31520" cy="175260"/>
                      <wp:effectExtent l="0" t="0" r="0" b="0"/>
                      <wp:wrapNone/>
                      <wp:docPr id="163" name="Frame163"/>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335" cy="175260"/>
                      <wp:effectExtent l="0" t="0" r="0" b="0"/>
                      <wp:wrapNone/>
                      <wp:docPr id="165" name="Frame165"/>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43585" cy="175260"/>
                      <wp:effectExtent l="0" t="0" r="0" b="0"/>
                      <wp:wrapNone/>
                      <wp:docPr id="167" name="Frame167"/>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2240" cy="175260"/>
                      <wp:effectExtent l="0" t="0" r="0" b="0"/>
                      <wp:wrapNone/>
                      <wp:docPr id="169" name="Frame169"/>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06070" cy="175260"/>
                      <wp:effectExtent l="0" t="0" r="0" b="0"/>
                      <wp:wrapNone/>
                      <wp:docPr id="170" name="Frame170"/>
                      <a:graphic xmlns:a="http://schemas.openxmlformats.org/drawingml/2006/main">
                        <a:graphicData uri="http://schemas.microsoft.com/office/word/2010/wordprocessingShape">
                          <wps:wsp>
                            <wps:cNvSpPr txBox="1"/>
                            <wps:spPr>
                              <a:xfrm>
                                <a:off x="0" y="0"/>
                                <a:ext cx="306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72" name="Frame17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74" name="Frame17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3520" cy="175260"/>
                      <wp:effectExtent l="0" t="0" r="0" b="0"/>
                      <wp:wrapNone/>
                      <wp:docPr id="176" name="Frame176"/>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4025" cy="175260"/>
                      <wp:effectExtent l="0" t="0" r="0" b="0"/>
                      <wp:wrapNone/>
                      <wp:docPr id="177" name="Frame177"/>
                      <a:graphic xmlns:a="http://schemas.openxmlformats.org/drawingml/2006/main">
                        <a:graphicData uri="http://schemas.microsoft.com/office/word/2010/wordprocessingShape">
                          <wps:wsp>
                            <wps:cNvSpPr txBox="1"/>
                            <wps:spPr>
                              <a:xfrm>
                                <a:off x="0" y="0"/>
                                <a:ext cx="454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4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807"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and Warrant Awards</w:t>
            </w:r>
          </w:p>
        </w:tc>
        <w:tc>
          <w:tcPr>
            <w:tcW w:w="326" w:type="dxa"/>
            <w:tcBorders/>
            <w:shd w:fill="auto" w:val="clear"/>
            <w:vAlign w:val="center"/>
          </w:tcPr>
          <w:p>
            <w:pPr>
              <w:pStyle w:val="TableContents"/>
              <w:spacing w:before="0" w:after="1"/>
              <w:ind w:left="0" w:right="0" w:hanging="0"/>
              <w:jc w:val="center"/>
              <w:rPr/>
            </w:pPr>
            <w:r>
              <w:rPr/>
              <w:t>​</w:t>
            </w:r>
          </w:p>
        </w:tc>
        <w:tc>
          <w:tcPr>
            <w:tcW w:w="232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224" w:type="dxa"/>
            <w:tcBorders/>
            <w:shd w:fill="auto" w:val="clear"/>
            <w:vAlign w:val="center"/>
          </w:tcPr>
          <w:p>
            <w:pPr>
              <w:pStyle w:val="TableContents"/>
              <w:spacing w:before="0" w:after="1"/>
              <w:ind w:left="0" w:right="0" w:hanging="0"/>
              <w:jc w:val="center"/>
              <w:rPr/>
            </w:pPr>
            <w:r>
              <w:rPr/>
              <w:t>​</w:t>
            </w:r>
          </w:p>
        </w:tc>
        <w:tc>
          <w:tcPr>
            <w:tcW w:w="4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52" w:type="dxa"/>
            <w:tcBorders/>
            <w:shd w:fill="auto" w:val="clear"/>
            <w:vAlign w:val="center"/>
          </w:tcPr>
          <w:p>
            <w:pPr>
              <w:pStyle w:val="TableContents"/>
              <w:spacing w:before="0" w:after="1"/>
              <w:ind w:left="0" w:right="0" w:hanging="0"/>
              <w:jc w:val="center"/>
              <w:rPr/>
            </w:pPr>
            <w:r>
              <w:rPr/>
              <w:t>​</w:t>
            </w:r>
          </w:p>
        </w:tc>
        <w:tc>
          <w:tcPr>
            <w:tcW w:w="715" w:type="dxa"/>
            <w:tcBorders/>
            <w:shd w:fill="auto" w:val="clear"/>
            <w:vAlign w:val="center"/>
          </w:tcPr>
          <w:p>
            <w:pPr>
              <w:pStyle w:val="TableContents"/>
              <w:spacing w:before="0" w:after="1"/>
              <w:ind w:left="0" w:right="0" w:hanging="0"/>
              <w:jc w:val="center"/>
              <w:rPr/>
            </w:pPr>
            <w:r>
              <w:rPr/>
              <w:t>​</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w:t>
            </w:r>
          </w:p>
        </w:tc>
        <w:tc>
          <w:tcPr>
            <w:tcW w:w="326" w:type="dxa"/>
            <w:tcBorders/>
            <w:shd w:fill="auto" w:val="clear"/>
            <w:vAlign w:val="center"/>
          </w:tcPr>
          <w:p>
            <w:pPr>
              <w:pStyle w:val="TableContents"/>
              <w:spacing w:before="0" w:after="1"/>
              <w:ind w:left="0" w:right="0" w:hanging="0"/>
              <w:rPr/>
            </w:pPr>
            <w:r>
              <w:rPr/>
              <w:t> </w:t>
            </w:r>
          </w:p>
        </w:tc>
        <w:tc>
          <w:tcPr>
            <w:tcW w:w="224" w:type="dxa"/>
            <w:tcBorders/>
            <w:shd w:fill="auto" w:val="clear"/>
            <w:vAlign w:val="center"/>
          </w:tcPr>
          <w:p>
            <w:pPr>
              <w:pStyle w:val="TableContents"/>
              <w:spacing w:before="0" w:after="1"/>
              <w:ind w:left="0" w:right="0" w:hanging="0"/>
              <w:jc w:val="center"/>
              <w:rPr/>
            </w:pPr>
            <w:r>
              <w:rPr/>
              <w:t>​</w:t>
            </w:r>
          </w:p>
        </w:tc>
        <w:tc>
          <w:tcPr>
            <w:tcW w:w="4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1"/>
              <w:ind w:left="0" w:right="0" w:hanging="0"/>
              <w:rPr/>
            </w:pPr>
            <w:r>
              <w:rPr/>
              <w:t>​</w:t>
            </w:r>
          </w:p>
        </w:tc>
        <w:tc>
          <w:tcPr>
            <w:tcW w:w="10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 </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 </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or</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26" w:type="dxa"/>
            <w:tcBorders/>
            <w:shd w:fill="auto" w:val="clear"/>
            <w:vAlign w:val="center"/>
          </w:tcPr>
          <w:p>
            <w:pPr>
              <w:pStyle w:val="TableContents"/>
              <w:spacing w:before="0" w:after="1"/>
              <w:ind w:left="0" w:right="0" w:hanging="0"/>
              <w:rPr/>
            </w:pPr>
            <w:r>
              <w:rPr/>
              <w:t>​</w:t>
            </w:r>
          </w:p>
        </w:tc>
        <w:tc>
          <w:tcPr>
            <w:tcW w:w="10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&amp;</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&amp;</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 </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Stock that</w:t>
            </w:r>
          </w:p>
        </w:tc>
        <w:tc>
          <w:tcPr>
            <w:tcW w:w="326" w:type="dxa"/>
            <w:tcBorders/>
            <w:shd w:fill="auto" w:val="clear"/>
            <w:vAlign w:val="center"/>
          </w:tcPr>
          <w:p>
            <w:pPr>
              <w:pStyle w:val="TableContents"/>
              <w:spacing w:before="0" w:after="1"/>
              <w:ind w:left="0" w:right="0" w:hanging="0"/>
              <w:jc w:val="center"/>
              <w:rPr/>
            </w:pPr>
            <w:r>
              <w:rPr/>
              <w:t>​</w:t>
            </w:r>
          </w:p>
        </w:tc>
        <w:tc>
          <w:tcPr>
            <w:tcW w:w="1067"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Stock that </w:t>
            </w:r>
          </w:p>
        </w:tc>
      </w:tr>
      <w:tr>
        <w:trPr/>
        <w:tc>
          <w:tcPr>
            <w:tcW w:w="94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Warrants,</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Warrants,</w:t>
            </w:r>
          </w:p>
        </w:tc>
        <w:tc>
          <w:tcPr>
            <w:tcW w:w="326" w:type="dxa"/>
            <w:tcBorders/>
            <w:shd w:fill="auto" w:val="clear"/>
            <w:vAlign w:val="center"/>
          </w:tcPr>
          <w:p>
            <w:pPr>
              <w:pStyle w:val="TableContents"/>
              <w:spacing w:before="0" w:after="1"/>
              <w:ind w:left="0" w:right="0" w:hanging="0"/>
              <w:rPr/>
            </w:pPr>
            <w:r>
              <w:rPr/>
              <w:t>​</w:t>
            </w:r>
          </w:p>
        </w:tc>
        <w:tc>
          <w:tcPr>
            <w:tcW w:w="70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Have Not</w:t>
            </w:r>
          </w:p>
        </w:tc>
        <w:tc>
          <w:tcPr>
            <w:tcW w:w="326" w:type="dxa"/>
            <w:tcBorders/>
            <w:shd w:fill="auto" w:val="clear"/>
            <w:vAlign w:val="center"/>
          </w:tcPr>
          <w:p>
            <w:pPr>
              <w:pStyle w:val="TableContents"/>
              <w:spacing w:before="0" w:after="1"/>
              <w:ind w:left="0" w:right="0" w:hanging="0"/>
              <w:jc w:val="center"/>
              <w:rPr/>
            </w:pPr>
            <w:r>
              <w:rPr/>
              <w:t>​</w:t>
            </w:r>
          </w:p>
        </w:tc>
        <w:tc>
          <w:tcPr>
            <w:tcW w:w="10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 </w:t>
            </w:r>
          </w:p>
        </w:tc>
      </w:tr>
      <w:tr>
        <w:trPr/>
        <w:tc>
          <w:tcPr>
            <w:tcW w:w="94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rPr/>
            </w:pPr>
            <w:r>
              <w:rPr/>
              <w:t>    </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Exercisable</w:t>
            </w:r>
          </w:p>
        </w:tc>
        <w:tc>
          <w:tcPr>
            <w:tcW w:w="326" w:type="dxa"/>
            <w:tcBorders/>
            <w:shd w:fill="auto" w:val="clear"/>
            <w:vAlign w:val="center"/>
          </w:tcPr>
          <w:p>
            <w:pPr>
              <w:pStyle w:val="TableContents"/>
              <w:spacing w:before="0" w:after="1"/>
              <w:ind w:left="0" w:right="0" w:hanging="0"/>
              <w:rPr/>
            </w:pPr>
            <w:r>
              <w:rPr/>
              <w:t>    </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Unexercisable</w:t>
            </w:r>
          </w:p>
        </w:tc>
        <w:tc>
          <w:tcPr>
            <w:tcW w:w="326" w:type="dxa"/>
            <w:tcBorders/>
            <w:shd w:fill="auto" w:val="clear"/>
            <w:vAlign w:val="center"/>
          </w:tcPr>
          <w:p>
            <w:pPr>
              <w:pStyle w:val="TableContents"/>
              <w:spacing w:before="0" w:after="1"/>
              <w:ind w:left="0" w:right="0" w:hanging="0"/>
              <w:rPr/>
            </w:pPr>
            <w:r>
              <w:rPr/>
              <w:t>    </w:t>
            </w:r>
          </w:p>
        </w:tc>
        <w:tc>
          <w:tcPr>
            <w:tcW w:w="70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Vested</w:t>
            </w:r>
          </w:p>
        </w:tc>
        <w:tc>
          <w:tcPr>
            <w:tcW w:w="326" w:type="dxa"/>
            <w:tcBorders/>
            <w:shd w:fill="auto" w:val="clear"/>
            <w:vAlign w:val="center"/>
          </w:tcPr>
          <w:p>
            <w:pPr>
              <w:pStyle w:val="TableContents"/>
              <w:spacing w:before="0" w:after="1"/>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w:t>
            </w:r>
          </w:p>
        </w:tc>
      </w:tr>
      <w:tr>
        <w:trPr/>
        <w:tc>
          <w:tcPr>
            <w:tcW w:w="944"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Robert W. D’Loren</w:t>
            </w:r>
          </w:p>
        </w:tc>
        <w:tc>
          <w:tcPr>
            <w:tcW w:w="326" w:type="dxa"/>
            <w:tcBorders/>
            <w:shd w:fill="CCEEFF" w:val="clear"/>
            <w:vAlign w:val="center"/>
          </w:tcPr>
          <w:p>
            <w:pPr>
              <w:pStyle w:val="TableContents"/>
              <w:spacing w:before="0" w:after="1"/>
              <w:ind w:left="0" w:right="0" w:hanging="0"/>
              <w:rPr/>
            </w:pPr>
            <w:r>
              <w:rPr/>
              <w:t>​</w:t>
            </w:r>
          </w:p>
        </w:tc>
        <w:tc>
          <w:tcPr>
            <w:tcW w:w="1152"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CEO, Chairman</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2,578,947</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(1)</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2/28/2029</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spacing w:before="0" w:after="1"/>
              <w:ind w:left="0" w:right="0" w:hanging="0"/>
              <w:jc w:val="right"/>
              <w:rPr/>
            </w:pPr>
            <w:r>
              <w:rPr/>
              <w:t>—</w:t>
            </w:r>
          </w:p>
        </w:tc>
      </w:tr>
      <w:tr>
        <w:trPr/>
        <w:tc>
          <w:tcPr>
            <w:tcW w:w="94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715" w:type="dxa"/>
            <w:tcBorders/>
            <w:shd w:fill="CCEEFF" w:val="clear"/>
            <w:vAlign w:val="center"/>
          </w:tcPr>
          <w:p>
            <w:pPr>
              <w:pStyle w:val="TableContents"/>
              <w:spacing w:before="0" w:after="1"/>
              <w:ind w:left="0" w:right="0" w:hanging="0"/>
              <w:jc w:val="right"/>
              <w:rPr/>
            </w:pPr>
            <w:r>
              <w:rPr/>
              <w:t>​</w:t>
            </w:r>
          </w:p>
        </w:tc>
      </w:tr>
      <w:tr>
        <w:trPr/>
        <w:tc>
          <w:tcPr>
            <w:tcW w:w="944"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James F. Haran</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CFO</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552,632</w:t>
            </w:r>
          </w:p>
        </w:tc>
        <w:tc>
          <w:tcPr>
            <w:tcW w:w="3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(1)</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2/28/2029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5" w:type="dxa"/>
            <w:tcBorders/>
            <w:shd w:fill="auto" w:val="clear"/>
            <w:vAlign w:val="center"/>
          </w:tcPr>
          <w:p>
            <w:pPr>
              <w:pStyle w:val="TableContents"/>
              <w:spacing w:before="0" w:after="1"/>
              <w:ind w:left="0" w:right="0" w:hanging="0"/>
              <w:jc w:val="right"/>
              <w:rPr/>
            </w:pPr>
            <w:r>
              <w:rPr/>
              <w:t>—</w:t>
            </w:r>
          </w:p>
        </w:tc>
      </w:tr>
      <w:tr>
        <w:trPr/>
        <w:tc>
          <w:tcPr>
            <w:tcW w:w="94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4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715" w:type="dxa"/>
            <w:tcBorders/>
            <w:shd w:fill="auto" w:val="clear"/>
            <w:vAlign w:val="center"/>
          </w:tcPr>
          <w:p>
            <w:pPr>
              <w:pStyle w:val="TableContents"/>
              <w:spacing w:before="0" w:after="1"/>
              <w:ind w:left="0" w:right="0" w:hanging="0"/>
              <w:jc w:val="right"/>
              <w:rPr/>
            </w:pPr>
            <w:r>
              <w:rPr/>
              <w:t>​</w:t>
            </w:r>
          </w:p>
        </w:tc>
      </w:tr>
      <w:tr>
        <w:trPr/>
        <w:tc>
          <w:tcPr>
            <w:tcW w:w="944"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Seth Burroughs</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EVP - Bus. Development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368,421</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(1)</w:t>
            </w:r>
          </w:p>
        </w:tc>
        <w:tc>
          <w:tcPr>
            <w:tcW w:w="22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2/28/2029</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spacing w:before="0" w:after="1"/>
              <w:ind w:left="0" w:right="0" w:hanging="0"/>
              <w:jc w:val="right"/>
              <w:rPr/>
            </w:pPr>
            <w:r>
              <w:rPr/>
              <w:t>—</w:t>
            </w:r>
          </w:p>
        </w:tc>
      </w:tr>
      <w:tr>
        <w:trPr/>
        <w:tc>
          <w:tcPr>
            <w:tcW w:w="94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&amp; Treasury</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4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715" w:type="dxa"/>
            <w:tcBorders/>
            <w:shd w:fill="CCEEFF" w:val="clear"/>
            <w:vAlign w:val="center"/>
          </w:tcPr>
          <w:p>
            <w:pPr>
              <w:pStyle w:val="TableContents"/>
              <w:spacing w:before="0" w:after="1"/>
              <w:ind w:left="0" w:right="0" w:hanging="0"/>
              <w:jc w:val="right"/>
              <w:rPr/>
            </w:pPr>
            <w:r>
              <w:rPr/>
              <w:t>​</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shall become exercisable based upon the Company’s common stock achieving specified target prices as outlined in the executive’s employment agreement, and expire on February 28, 2029. See “Employment Agreements with Executives” in Item 10.</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with respect to each non-employee director’s compensation for the year ended December 31, 2022. The dollar amounts shown for Stock Awards represent the grant date fair value of the restricted stock awards or stock options granted during the fiscal year calculated in accordance with ASC Topic 718.</w:t>
      </w:r>
    </w:p>
    <w:p>
      <w:pPr>
        <w:pStyle w:val="TextBody"/>
        <w:spacing w:before="0" w:after="240"/>
        <w:ind w:left="0" w:right="0" w:hanging="0"/>
        <w:jc w:val="both"/>
        <w:rPr/>
      </w:pPr>
      <w:r>
        <w:rPr/>
        <w:t>​</w:t>
      </w:r>
    </w:p>
    <w:tbl>
      <w:tblPr>
        <w:tblW w:w="7207" w:type="dxa"/>
        <w:jc w:val="left"/>
        <w:tblInd w:w="0" w:type="dxa"/>
        <w:tblCellMar>
          <w:top w:w="0" w:type="dxa"/>
          <w:left w:w="0" w:type="dxa"/>
          <w:bottom w:w="0" w:type="dxa"/>
          <w:right w:w="0" w:type="dxa"/>
        </w:tblCellMar>
      </w:tblPr>
      <w:tblGrid>
        <w:gridCol w:w="2206"/>
        <w:gridCol w:w="326"/>
        <w:gridCol w:w="235"/>
        <w:gridCol w:w="756"/>
        <w:gridCol w:w="326"/>
        <w:gridCol w:w="211"/>
        <w:gridCol w:w="676"/>
        <w:gridCol w:w="326"/>
        <w:gridCol w:w="211"/>
        <w:gridCol w:w="676"/>
        <w:gridCol w:w="326"/>
        <w:gridCol w:w="211"/>
        <w:gridCol w:w="721"/>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00810" cy="175260"/>
                      <wp:effectExtent l="0" t="0" r="0" b="0"/>
                      <wp:wrapNone/>
                      <wp:docPr id="178" name="Frame178"/>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9225" cy="175260"/>
                      <wp:effectExtent l="0" t="0" r="0" b="0"/>
                      <wp:wrapNone/>
                      <wp:docPr id="180" name="Frame180"/>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80060" cy="175260"/>
                      <wp:effectExtent l="0" t="0" r="0" b="0"/>
                      <wp:wrapNone/>
                      <wp:docPr id="181" name="Frame181"/>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87" name="Frame18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57835" cy="175260"/>
                      <wp:effectExtent l="0" t="0" r="0" b="0"/>
                      <wp:wrapNone/>
                      <wp:docPr id="190" name="Frame19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21" w:type="dxa"/>
            <w:tcBorders/>
            <w:shd w:fill="auto" w:val="clear"/>
            <w:vAlign w:val="center"/>
          </w:tcPr>
          <w:p>
            <w:pPr>
              <w:pStyle w:val="TableContents"/>
              <w:spacing w:before="0" w:after="1"/>
              <w:ind w:left="0" w:right="0" w:hanging="0"/>
              <w:jc w:val="center"/>
              <w:rPr/>
            </w:pPr>
            <w:r>
              <w:rPr/>
              <w:t>​</w:t>
            </w:r>
          </w:p>
        </w:tc>
      </w:tr>
      <w:tr>
        <w:trPr/>
        <w:tc>
          <w:tcPr>
            <w:tcW w:w="22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 Paid </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rPr/>
            </w:pPr>
            <w:r>
              <w:rPr/>
              <w:t>​</w:t>
            </w:r>
          </w:p>
        </w:tc>
      </w:tr>
      <w:tr>
        <w:trPr/>
        <w:tc>
          <w:tcPr>
            <w:tcW w:w="22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Cash</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1"/>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 DiSanto (1) (2)</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16,200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23,536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60,736</w:t>
            </w:r>
          </w:p>
        </w:tc>
      </w:tr>
      <w:tr>
        <w:trPr/>
        <w:tc>
          <w:tcPr>
            <w:tcW w:w="22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Michael R. Francis (1) (2)</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16,200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23,536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48,736</w:t>
            </w:r>
          </w:p>
        </w:tc>
      </w:tr>
      <w:tr>
        <w:trPr/>
        <w:tc>
          <w:tcPr>
            <w:tcW w:w="22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Howard Liebman (1) (2)</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28,000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16,200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23,536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67,736</w:t>
            </w:r>
          </w:p>
        </w:tc>
      </w:tr>
      <w:tr>
        <w:trPr/>
        <w:tc>
          <w:tcPr>
            <w:tcW w:w="22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Deborah Weinswig (1) (2)</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16,200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23,536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60,736</w:t>
            </w:r>
          </w:p>
        </w:tc>
      </w:tr>
      <w:tr>
        <w:trPr/>
        <w:tc>
          <w:tcPr>
            <w:tcW w:w="22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James Fielding (1) (2)</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16,200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23,536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51,736</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2022, each non-employee directory was granted 10,000 shares of restricted stock pursuant to the terms and conditions of the 2021 Equity Incentive Plan. Such shares of restricted stock will vest evenly over two years, whereby 50% shall vest on April 20, 2023 and 50% shall vest on April 20, 2024. Notwithstanding the foregoing, each grantee may extent the vesting date of all or a portion of the restricted shares by six months and, thereafter one or more times may further extend such date with respect to all or a portion of the restricted shares until the next following October 20 or April 20, as the case may be. The grant date fair value of the shares was $1.62 per share.</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20, 2022, each non-employee director was granted options to purchase 25,000 shares of stock pursuant to the terms and conditions of the 2021 Equity Incentive Plan. Such options will vest evenly over two years, whereby 50% shall vest on April 20, 2023 and 50% shall vest on April 20, 2024. The exercise price of the options is $1.62 per share.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2021 Equity Incentive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2021 Plan provides for the grant of stock options, restricted stock, restricted stock units, performance awards, or cash awards. The stock options may be incentive stock options or non-qualified stock options. A total of 4,000,000 shares of common stock are eligible for issuance under the 2021 Plan. The 2021 Plan may be administered by the board of directors or a committee consisting of two or more members of the board of directors appointed by the board of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Officers and other employees of Xcel or any parent or subsidiary of Xcel who are at the time of the grant of an award employed by us or any parent or subsidiary of Xcel are eligible to be granted options or other awards under the 2021 Plan. In addition, non-qualified stock options and other awards may be granted under the 2021 Plan to any person, including, but not limited to, directors, independent agents, consultants, and attorneys who the board of directors or the committee, as the case may be, believes has contributed or will contribute to our success.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awards may be issued under the 2021 Plan either alone or in addition to or in tandem with other awards granted under the 2021 Plan or other payments made to a participant not under the 2021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 Restricted stock unit (“RSU”)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awards made under the 2021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stock options and certain stock awards, performance awards, and stock units granted under the 2021 Plan, and the compensation attributable to such awards, are intended to (i) qualify as performance-based awards or (ii) be otherwise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exempt from the deduction limitation imposed by Internal Revenue Code Section 162(m). No awards may be granted on or after the fifth anniversary of the effective date of the 2021 Plan.</w:t>
      </w:r>
    </w:p>
    <w:p>
      <w:pPr>
        <w:pStyle w:val="TextBody"/>
        <w:spacing w:before="0" w:after="240"/>
        <w:ind w:left="0" w:right="0" w:hanging="0"/>
        <w:jc w:val="both"/>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2021 Equity Incentive Plan became effective April 19, 2022. Prior to the effectiveness of the 2021 Plan, the Company made awards under our Amended and Restated 2011 Equity Incentive Plan (the “2011 Plan”), the key terms and provisions of which were substantially similar to the 2021 Plan described above, with the major difference being the number of shares of common stock eligible for issuance. Stock-based awards (including options, warrants, and restricted stock) previously granted under our 2011 Plan remain outstanding, and shares of common stock may be issued to satisfy options or warrants previously granted under the 2011 Plan, although no new awards may be granted under the 2011 Plan.</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048" w:name="Item12SecurityOwnershipofCertainBenefici"/>
      <w:bookmarkStart w:id="1049" w:name="_1d1e0d18_a96f_4044_a36a_ce974025ef09"/>
      <w:bookmarkEnd w:id="1048"/>
      <w:bookmarkEnd w:id="1049"/>
      <w:r>
        <w:rPr>
          <w:rFonts w:ascii="Times New Roman;Times;serif" w:hAnsi="Times New Roman;Times;serif"/>
          <w:b/>
          <w:sz w:val="20"/>
        </w:rPr>
        <w:t>Item 12.   Security Ownership of Certain Beneficial Owners and Management and Related Stockholder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lists, as of April 14, 2023,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percentages below are calculated based on 19,624,860 shares of common stock issued and outstanding as of April 14, 2023:</w:t>
      </w:r>
    </w:p>
    <w:p>
      <w:pPr>
        <w:pStyle w:val="TextBody"/>
        <w:spacing w:before="0" w:after="240"/>
        <w:ind w:left="0" w:right="0" w:hanging="0"/>
        <w:jc w:val="both"/>
        <w:rPr/>
      </w:pPr>
      <w:r>
        <w:rPr/>
        <w:t>​</w:t>
      </w:r>
    </w:p>
    <w:tbl>
      <w:tblPr>
        <w:tblW w:w="8216" w:type="dxa"/>
        <w:jc w:val="left"/>
        <w:tblInd w:w="0" w:type="dxa"/>
        <w:tblCellMar>
          <w:top w:w="0" w:type="dxa"/>
          <w:left w:w="0" w:type="dxa"/>
          <w:bottom w:w="0" w:type="dxa"/>
          <w:right w:w="0" w:type="dxa"/>
        </w:tblCellMar>
      </w:tblPr>
      <w:tblGrid>
        <w:gridCol w:w="5221"/>
        <w:gridCol w:w="326"/>
        <w:gridCol w:w="1036"/>
        <w:gridCol w:w="326"/>
        <w:gridCol w:w="991"/>
        <w:gridCol w:w="316"/>
      </w:tblGrid>
      <w:tr>
        <w:trPr/>
        <w:tc>
          <w:tcPr>
            <w:tcW w:w="5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315335" cy="175260"/>
                      <wp:effectExtent l="0" t="0" r="0" b="0"/>
                      <wp:wrapNone/>
                      <wp:docPr id="191" name="Frame191"/>
                      <a:graphic xmlns:a="http://schemas.openxmlformats.org/drawingml/2006/main">
                        <a:graphicData uri="http://schemas.microsoft.com/office/word/2010/wordprocessingShape">
                          <wps:wsp>
                            <wps:cNvSpPr txBox="1"/>
                            <wps:spPr>
                              <a:xfrm>
                                <a:off x="0" y="0"/>
                                <a:ext cx="3315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193" name="Frame1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29285" cy="175260"/>
                      <wp:effectExtent l="0" t="0" r="0" b="0"/>
                      <wp:wrapNone/>
                      <wp:docPr id="195" name="Frame19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0660" cy="175260"/>
                      <wp:effectExtent l="0" t="0" r="0" b="0"/>
                      <wp:wrapNone/>
                      <wp:docPr id="196" name="Frame19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 </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center"/>
              <w:rPr/>
            </w:pPr>
            <w:r>
              <w:rPr/>
              <w:t> </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Common </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Name and Address</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Named executive officers and directors: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Robert W. D’Loren (1)</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8,124,560</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James F. Haran (2)</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204,018</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Seth Burroughs (3)</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310,549</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Howard Liebman (4)</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188,665</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 DiSanto (5)</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1,559,176</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Michael R. Francis (6)</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231,500</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Deborah Weinswig (7)</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140,500</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James Fielding (8)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107,500</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All directors and executive officers as a group (8 persons) (9)</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10,866,468</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54.03</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5% Shareholders: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Isaac Mizrahi (10)</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2,416,882</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12.26</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Hilco Trading, LLC (11)</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1,667,767</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5 Revere Drive, Suite 206, Northbrook, IL 60062</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5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Burch Acquisition LLC (12)</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16" w:type="dxa"/>
            <w:tcBorders/>
            <w:shd w:fill="CCEEFF" w:val="clear"/>
            <w:vAlign w:val="center"/>
          </w:tcPr>
          <w:p>
            <w:pPr>
              <w:pStyle w:val="TableContents"/>
              <w:spacing w:before="0" w:after="1"/>
              <w:ind w:left="0" w:right="0" w:hanging="0"/>
              <w:rPr/>
            </w:pPr>
            <w:r>
              <w:rPr/>
              <w:t>​</w:t>
            </w:r>
          </w:p>
        </w:tc>
      </w:tr>
      <w:tr>
        <w:trPr/>
        <w:tc>
          <w:tcPr>
            <w:tcW w:w="5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840 First Avenue, Suite 200, King of Prussia, PA 19406</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pPr>
            <w:r>
              <w:rPr/>
              <w:t>  </w:t>
            </w:r>
          </w:p>
        </w:tc>
        <w:tc>
          <w:tcPr>
            <w:tcW w:w="316" w:type="dxa"/>
            <w:tcBorders/>
            <w:shd w:fill="auto" w:val="clear"/>
            <w:vAlign w:val="center"/>
          </w:tcPr>
          <w:p>
            <w:pPr>
              <w:pStyle w:val="TableContents"/>
              <w:spacing w:before="0" w:after="1"/>
              <w:ind w:left="0" w:right="0" w:hanging="0"/>
              <w:rPr/>
            </w:pPr>
            <w:r>
              <w:rPr/>
              <w:t>​</w:t>
            </w:r>
          </w:p>
        </w:tc>
      </w:tr>
    </w:tbl>
    <w:p>
      <w:pPr>
        <w:pStyle w:val="TextBody"/>
        <w:pBdr/>
        <w:spacing w:before="0" w:after="200"/>
        <w:ind w:left="0" w:right="0" w:hanging="360"/>
        <w:rPr>
          <w:rFonts w:ascii="Times New Roman;Times;serif" w:hAnsi="Times New Roman;Times;serif"/>
          <w:sz w:val="20"/>
        </w:rPr>
      </w:pPr>
      <w:r>
        <w:rPr>
          <w:rFonts w:ascii="Times New Roman;Times;serif" w:hAnsi="Times New Roman;Times;serif"/>
          <w:sz w:val="20"/>
        </w:rPr>
        <w:t>*  Less than 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1,738,990 shares held by Mr. D’Loren, (ii) 607,317 shares owned by Irrevocable Trust of Rose Dempsey (or the Irrevocable Trust) of which Mr. D’Loren and Mr. DiSanto are the trustees and as to which Mr. D’Loren has sole voting and dispositive power, (iii) 1,988,390 shares of common stock held in the name of Isaac Mizrahi, (iv) 1,666,667 shares of common stock held in the name of Hilco Trading, LLC, and (v) 2,123,196 shares of common stock as to which holders thereof granted to Mr. D’Loren irrevocable proxy and attorney-in-fact with respect to the shares. Certain holders or grantees have entered into certain agreements, pursuant to which appoint a person designated by our board of directors as their irrevocable proxy and attorney-in-fact with respect to the shares set forth in clauses (iii), (iv), and (v). Mr. D’Loren does not have any pecuniary interest in these shares described in clauses (iii), (iv), and (v) and disclaims beneficial ownership thereof. Does not include 326,671 shares held by the D’Loren Family Trust (or the Family Trust) of which Mark DiSanto is a trustee and has sole voting and dispositive power. Does not include 2,578,947 options that are not yet exercisable. </w:t>
            </w:r>
          </w:p>
        </w:tc>
      </w:tr>
    </w:tbl>
    <w:tbl>
      <w:tblPr>
        <w:tblW w:w="9437" w:type="dxa"/>
        <w:jc w:val="left"/>
        <w:tblInd w:w="0" w:type="dxa"/>
        <w:tblCellMar>
          <w:top w:w="0" w:type="dxa"/>
          <w:left w:w="0" w:type="dxa"/>
          <w:bottom w:w="0" w:type="dxa"/>
          <w:right w:w="0" w:type="dxa"/>
        </w:tblCellMar>
      </w:tblPr>
      <w:tblGrid>
        <w:gridCol w:w="346"/>
        <w:gridCol w:w="909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0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204,018 shares of common stock. Does not include 552,632 options that are not yet exercisable.</w:t>
            </w:r>
          </w:p>
        </w:tc>
      </w:tr>
    </w:tbl>
    <w:tbl>
      <w:tblPr>
        <w:tblW w:w="9437" w:type="dxa"/>
        <w:jc w:val="left"/>
        <w:tblInd w:w="0" w:type="dxa"/>
        <w:tblCellMar>
          <w:top w:w="0" w:type="dxa"/>
          <w:left w:w="0" w:type="dxa"/>
          <w:bottom w:w="0" w:type="dxa"/>
          <w:right w:w="0" w:type="dxa"/>
        </w:tblCellMar>
      </w:tblPr>
      <w:tblGrid>
        <w:gridCol w:w="346"/>
        <w:gridCol w:w="909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0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310,549 shares of common stock. Does not include 368,421 options that are not yet exercisable.</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36,165 shares of common stock, (ii) 50,000 restricted shares, and (iii) immediately exercisable options to purchase 102,500 shares.</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326,671 shares held by the D’Loren Family Trust, of which Mark DiSanto is trustee and has sole voting and dispositive power over the shares held by the D’Loren Family Trust, (ii) 1,027,613 shares held by Mark X. DiSanto Investment Trust, of which Mark DiSanto is trustee and has sole voting and dispositive power over the shares held by the Trust, (iii) 20,000 restricted shares, (iv) 102,500 shares issuable upon exercise of warrants and options that have vested, and (v) 82,392 shares held by other trusts, of which Mark DiSanto is trustee and has sole voting and dispositive power over the shares held by the trusts.</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109,000 shares of common stock, (ii) 20,000 restricted shares, and (iii) immediately exercisable options to purchase 102,500 shares.</w:t>
            </w:r>
          </w:p>
        </w:tc>
      </w:tr>
    </w:tbl>
    <w:tbl>
      <w:tblPr>
        <w:tblW w:w="9167" w:type="dxa"/>
        <w:jc w:val="left"/>
        <w:tblInd w:w="0" w:type="dxa"/>
        <w:tblCellMar>
          <w:top w:w="0" w:type="dxa"/>
          <w:left w:w="0" w:type="dxa"/>
          <w:bottom w:w="0" w:type="dxa"/>
          <w:right w:w="0" w:type="dxa"/>
        </w:tblCellMar>
      </w:tblPr>
      <w:tblGrid>
        <w:gridCol w:w="346"/>
        <w:gridCol w:w="882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88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38,000 restricted shares and (ii) immediately exercisable options to purchase 102,500 shares.</w:t>
            </w:r>
          </w:p>
        </w:tc>
      </w:tr>
    </w:tbl>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10,000 shares of common stock, (ii) 20,000 restricted shares, and (iii) immediately exercisable options to purchase 77,500 shares.</w:t>
            </w:r>
          </w:p>
        </w:tc>
      </w:tr>
    </w:tbl>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4,452,715 shares of common stock, (ii) 148,000 restricted shares, (iii) 487,500 shares issuable upon exercise of options that are currently exercisable, and (iv) 5,778,253 other shares of common stock as to which holders thereof granted to Mr. D’Loren irrevocable proxy and attorney-in-fact with respect to the shares.</w:t>
            </w:r>
          </w:p>
        </w:tc>
      </w:tr>
    </w:tbl>
    <w:tbl>
      <w:tblPr>
        <w:tblW w:w="10172" w:type="dxa"/>
        <w:jc w:val="left"/>
        <w:tblInd w:w="0" w:type="dxa"/>
        <w:tblCellMar>
          <w:top w:w="0" w:type="dxa"/>
          <w:left w:w="0" w:type="dxa"/>
          <w:bottom w:w="0" w:type="dxa"/>
          <w:right w:w="0" w:type="dxa"/>
        </w:tblCellMar>
      </w:tblPr>
      <w:tblGrid>
        <w:gridCol w:w="451"/>
        <w:gridCol w:w="9721"/>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7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2,266,882 shares of common stock and (ii) immediately exercisable options to purchase 150,000 shares.</w:t>
            </w:r>
          </w:p>
        </w:tc>
      </w:tr>
    </w:tbl>
    <w:tbl>
      <w:tblPr>
        <w:tblW w:w="10205" w:type="dxa"/>
        <w:jc w:val="left"/>
        <w:tblInd w:w="0" w:type="dxa"/>
        <w:tblCellMar>
          <w:top w:w="0" w:type="dxa"/>
          <w:left w:w="0" w:type="dxa"/>
          <w:bottom w:w="0" w:type="dxa"/>
          <w:right w:w="0" w:type="dxa"/>
        </w:tblCellMar>
      </w:tblPr>
      <w:tblGrid>
        <w:gridCol w:w="394"/>
        <w:gridCol w:w="9811"/>
      </w:tblGrid>
      <w:tr>
        <w:trPr/>
        <w:tc>
          <w:tcPr>
            <w:tcW w:w="3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8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 Company IP, LLC, or HIP, directly owns 1,000,000 shares of common stock, which we refer to as the H Company Shares. House of Halston, LLC, or HOH, is the parent company of HIP and may be deemed to share beneficial ownership of the H Company Shares by virtue of its ability to direct the business and investment decisions of HIP. The H Investment Company, LLC, or H Investment, in its capacity as the controlling member of HOH, has the ability to direct the investment decisions of HOH, including the power to direct the decisions of HOH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667,767 shares of our outstanding common stock, which we refer to as the Hilco Shares. By virtue of the relationship described above and its direct ownership of the Hilco Shares, Hilco Trading beneficially owns 1,667,767 shares of our common stock. Jeffrey Bruce Hecktman is the majority owner of Hilco Trading and may be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0081"/>
      </w:tblGrid>
      <w:tr>
        <w:trPr/>
        <w:tc>
          <w:tcPr>
            <w:tcW w:w="124" w:type="dxa"/>
            <w:tcBorders/>
            <w:shd w:fill="auto" w:val="clear"/>
            <w:vAlign w:val="center"/>
          </w:tcPr>
          <w:p>
            <w:pPr>
              <w:pStyle w:val="TableContents"/>
              <w:spacing w:before="0" w:after="283"/>
              <w:rPr>
                <w:sz w:val="4"/>
                <w:szCs w:val="4"/>
              </w:rPr>
            </w:pPr>
            <w:r>
              <w:rPr>
                <w:sz w:val="4"/>
                <w:szCs w:val="4"/>
              </w:rPr>
            </w:r>
          </w:p>
        </w:tc>
        <w:tc>
          <w:tcPr>
            <w:tcW w:w="100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to share beneficial ownership of the H Company Shares and the Hilco Shares by virtue of his ability to direct the business and investment decisions of Hilco Trading. By virtue of this relationship, Mr. Hecktman may be deemed to have indirect beneficial ownership of 1,667,767 shares of our common stock.</w:t>
            </w:r>
          </w:p>
        </w:tc>
      </w:tr>
    </w:tbl>
    <w:tbl>
      <w:tblPr>
        <w:tblW w:w="4397" w:type="dxa"/>
        <w:jc w:val="left"/>
        <w:tblInd w:w="0" w:type="dxa"/>
        <w:tblCellMar>
          <w:top w:w="0" w:type="dxa"/>
          <w:left w:w="0" w:type="dxa"/>
          <w:bottom w:w="0" w:type="dxa"/>
          <w:right w:w="0" w:type="dxa"/>
        </w:tblCellMar>
      </w:tblPr>
      <w:tblGrid>
        <w:gridCol w:w="451"/>
        <w:gridCol w:w="3946"/>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39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1,000,000 shares of common stock.</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1050" w:name="Item13CertainRelationshipsandRelatedTran"/>
      <w:bookmarkStart w:id="1051" w:name="_39aab08a_bd67_4989_87a8_7bb3d4ae6f80"/>
      <w:bookmarkEnd w:id="1050"/>
      <w:bookmarkEnd w:id="1051"/>
      <w:r>
        <w:rPr>
          <w:rFonts w:ascii="Times New Roman;Times;serif" w:hAnsi="Times New Roman;Times;serif"/>
          <w:b/>
          <w:sz w:val="20"/>
        </w:rPr>
        <w:t>Item 13.   Certain Relationships and Related Transactions, and Director Independence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Isaac Mizrahi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2020, the Company entered into an employment agreement with Isaac Mizrahi, a principal stockholder of the Company, for Mr. Mizrahi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employment agreement provided Mr. Mizrahi with a base salary of $1.8 million, $2.0 million, and $2.1 million per annum for 2020, 2021, and 2022, respectively. Mr. Mizrahi was also eligible to receive an annual cash bonus (the “Bonus”) up to an amount equal to $2.5 million less base salary for 2020 and $3.0 million less base salary for 2021 and 2022. The Bonus consisted of the DRT Revenue, Bonus, the Brick-and-Mortar Bonus, the Endorsement Bonus and the Monday Bonus, if any, as determined in accordance with the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DRT Bonus” means for any calendar year an amount equal to 10% of the aggregate net revenue related to sales of Isaac Mizrahi Brand products through direct response television. The DRT Revenue Bonus shall be reduced by the amount of the Monday Bonus.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Brick-and-Mortar Bonus” means for any calendar year an amount equal to 10% of the net revenues from sales of products under the Isaac Mizrahi Brand, excluding DRT revenue and endorsement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Monday Bonus” means $10,000 for each appearance by Mr. Mizrahi on Qurate’s QVC channel on Mondays (subject to certain expectations) up to a maximum of 40 such appearances in a calendar year.</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2020 the Company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rPr>
          <w:rFonts w:ascii="Times New Roman;Times;serif" w:hAnsi="Times New Roman;Times;serif"/>
          <w:b/>
          <w:sz w:val="20"/>
        </w:rPr>
      </w:pPr>
      <w:bookmarkStart w:id="1052" w:name="Item14PrincipalAccountingFeesandServices"/>
      <w:bookmarkStart w:id="1053" w:name="_23ac7189_4145_45de_a87b_b5ef1ec78485"/>
      <w:bookmarkEnd w:id="1052"/>
      <w:bookmarkEnd w:id="1053"/>
      <w:r>
        <w:rPr>
          <w:rFonts w:ascii="Times New Roman;Times;serif" w:hAnsi="Times New Roman;Times;serif"/>
          <w:b/>
          <w:sz w:val="20"/>
        </w:rPr>
        <w:t>Item 14.   Principal Accountant Fees and Services</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Audit Fees</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 aggregate fees billed for professional services rendered by our prior Independent Registered Public Accounting Firm, CohnReznick LLP, for the review of our consolidated financial statements included in our quarterly reports for the first two fiscal quarters of 2021, and other fees that are normally provided by the accounting firm in connection with statutory and regulatory filings or engagements for the year ended December 31, 2021 (up through the date of their dismissal on October 1, 2021) were approximately $105,000.</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 aggregate fees billed or to be billed for professional services rendered by our current Independent Registered Public Accounting Firm, Marcum LLP, for the audit of our annual consolidated financial statements, review of our consolidated financial statements included in our quarterly report for the third fiscal quarter of 2021, and other fees that are normally provided by the accounting firm in connection with statutory and regulatory filings or engagements for the year ended December 31, 2021 were approximately $277,000.</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 aggregate fees billed or to be billed for professional services rendered by our current Independent Registered Public Accounting Firm, Marcum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 ended December 31, 2022 were approximately $353,000.</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Audit-Related Fees</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There were no fees billed by our Independent Registered Public Accounting Firm for audit-related services for the fiscal years ended December 31, 2022 and 2021.</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Tax Fees</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There were no fees billed for professional services rendered by our Independent Registered Public Accounting Firm for tax compliance, tax advice, and tax planning for the fiscal years ended December 31, 2022 and 2021.</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All Other Fees</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There were no fees billed for non-audit services by our Independent Registered Public Accounting Firm for the fiscal years ended December 31, 2022 and 2021.</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Audit Committee Determination</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sz w:val="20"/>
        </w:rPr>
        <w:t>The Audit Committee considered and determined that the services performed are compatible with maintaining the independence of the independent registered public accounting firm.</w:t>
      </w:r>
    </w:p>
    <w:p>
      <w:pPr>
        <w:pStyle w:val="TextBody"/>
        <w:spacing w:before="0" w:after="180"/>
        <w:ind w:left="0" w:right="0" w:hanging="0"/>
        <w:rPr>
          <w:rFonts w:ascii="Times New Roman;Times;serif" w:hAnsi="Times New Roman;Times;serif"/>
          <w:b/>
          <w:i/>
          <w:sz w:val="20"/>
        </w:rPr>
      </w:pPr>
      <w:r>
        <w:rPr>
          <w:rFonts w:ascii="Times New Roman;Times;serif" w:hAnsi="Times New Roman;Times;serif"/>
          <w:b/>
          <w:i/>
          <w:sz w:val="20"/>
        </w:rPr>
        <w:t>Policy on Audit Committee Pre-Approval of Audit and Permissible Non-Audit Services of Independent Auditor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were approved by the Company’s Audit Committee.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bookmarkStart w:id="1054" w:name="PARTIV"/>
      <w:bookmarkStart w:id="1055" w:name="_9046f6f4_023b_4f08_b978_cb32eb8b33bb"/>
      <w:bookmarkEnd w:id="1054"/>
      <w:bookmarkEnd w:id="1055"/>
      <w:r>
        <w:rPr>
          <w:rFonts w:ascii="Times New Roman;Times;serif" w:hAnsi="Times New Roman;Times;serif"/>
          <w:b/>
          <w:sz w:val="20"/>
        </w:rPr>
        <w:t>PART IV</w:t>
      </w:r>
    </w:p>
    <w:p>
      <w:pPr>
        <w:pStyle w:val="TextBody"/>
        <w:spacing w:before="0" w:after="240"/>
        <w:ind w:left="0" w:right="0" w:hanging="0"/>
        <w:rPr>
          <w:rFonts w:ascii="Times New Roman;Times;serif" w:hAnsi="Times New Roman;Times;serif"/>
          <w:b/>
          <w:sz w:val="20"/>
        </w:rPr>
      </w:pPr>
      <w:bookmarkStart w:id="1056" w:name="Item15Exhibits_738273"/>
      <w:bookmarkEnd w:id="1056"/>
      <w:r>
        <w:rPr>
          <w:rFonts w:ascii="Times New Roman;Times;serif" w:hAnsi="Times New Roman;Times;serif"/>
          <w:b/>
          <w:i w:val="false"/>
          <w:caps w:val="false"/>
          <w:smallCaps w:val="false"/>
          <w:sz w:val="20"/>
        </w:rPr>
        <w:t>Item 15.</w:t>
      </w:r>
      <w:r>
        <w:rPr>
          <w:rFonts w:ascii="Times New Roman;Times;serif" w:hAnsi="Times New Roman;Times;serif"/>
          <w:b/>
          <w:sz w:val="20"/>
        </w:rPr>
        <w:t>Exhibit and Financial Statement Schedules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EXHIBITS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811"/>
        <w:gridCol w:w="326"/>
        <w:gridCol w:w="9068"/>
      </w:tblGrid>
      <w:tr>
        <w:trPr/>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14985" cy="175260"/>
                      <wp:effectExtent l="0" t="0" r="0" b="0"/>
                      <wp:wrapNone/>
                      <wp:docPr id="197" name="Frame19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758180" cy="175260"/>
                      <wp:effectExtent l="0" t="0" r="0" b="0"/>
                      <wp:wrapNone/>
                      <wp:docPr id="198" name="Frame198"/>
                      <a:graphic xmlns:a="http://schemas.openxmlformats.org/drawingml/2006/main">
                        <a:graphicData uri="http://schemas.microsoft.com/office/word/2010/wordprocessingShape">
                          <wps:wsp>
                            <wps:cNvSpPr txBox="1"/>
                            <wps:spPr>
                              <a:xfrm>
                                <a:off x="0" y="0"/>
                                <a:ext cx="5758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shd w:fill="auto" w:val="clear"/>
            <w:vAlign w:val="center"/>
          </w:tcPr>
          <w:p>
            <w:pPr>
              <w:pStyle w:val="TableContents"/>
              <w:spacing w:before="0" w:after="0"/>
              <w:ind w:left="0" w:right="0" w:hanging="0"/>
              <w:rPr/>
            </w:pPr>
            <w:r>
              <w:rPr/>
              <w:t>    </w:t>
            </w:r>
          </w:p>
        </w:tc>
        <w:tc>
          <w:tcPr>
            <w:tcW w:w="9068"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8"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top w:val="single" w:sz="8" w:space="0" w:color="000000"/>
            </w:tcBorders>
            <w:shd w:fill="auto" w:val="clear"/>
            <w:tcMar>
              <w:top w:w="28" w:type="dxa"/>
            </w:tcM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2">
              <w:r>
                <w:rPr>
                  <w:rStyle w:val="InternetLink"/>
                  <w:rFonts w:ascii="Times New Roman;Times;serif" w:hAnsi="Times New Roman;Times;serif"/>
                  <w:b w:val="false"/>
                  <w:i w:val="false"/>
                  <w:caps w:val="false"/>
                  <w:smallCaps w:val="false"/>
                  <w:sz w:val="20"/>
                </w:rPr>
                <w:t>Amended and Restated Certificate of Incorporation of Xcel Brands, Inc.</w:t>
              </w:r>
            </w:hyperlink>
            <w:r>
              <w:rPr>
                <w:rFonts w:ascii="Times New Roman;Times;serif" w:hAnsi="Times New Roman;Times;serif"/>
                <w:sz w:val="20"/>
              </w:rPr>
              <w:t xml:space="preserve"> </w:t>
            </w:r>
            <w:r>
              <w:rPr>
                <w:rFonts w:ascii="Times New Roman;Times;serif" w:hAnsi="Times New Roman;Times;serif"/>
                <w:sz w:val="15"/>
              </w:rPr>
              <w:t>(7)</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3">
              <w:r>
                <w:rPr>
                  <w:rStyle w:val="InternetLink"/>
                  <w:rFonts w:ascii="Times New Roman;Times;serif" w:hAnsi="Times New Roman;Times;serif"/>
                  <w:b w:val="false"/>
                  <w:i w:val="false"/>
                  <w:caps w:val="false"/>
                  <w:smallCaps w:val="false"/>
                  <w:sz w:val="20"/>
                </w:rPr>
                <w:t>Third Restated and Amended Bylaws of Xcel Brands, Inc.</w:t>
              </w:r>
            </w:hyperlink>
            <w:r>
              <w:rPr>
                <w:rFonts w:ascii="Times New Roman;Times;serif" w:hAnsi="Times New Roman;Times;serif"/>
                <w:sz w:val="20"/>
              </w:rPr>
              <w:t xml:space="preserve"> </w:t>
            </w:r>
            <w:r>
              <w:rPr>
                <w:rFonts w:ascii="Times New Roman;Times;serif" w:hAnsi="Times New Roman;Times;serif"/>
                <w:sz w:val="15"/>
              </w:rPr>
              <w:t>(8)</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4">
              <w:r>
                <w:rPr>
                  <w:rStyle w:val="InternetLink"/>
                  <w:rFonts w:ascii="Times New Roman;Times;serif" w:hAnsi="Times New Roman;Times;serif"/>
                  <w:b w:val="false"/>
                  <w:i w:val="false"/>
                  <w:caps w:val="false"/>
                  <w:smallCaps w:val="false"/>
                  <w:sz w:val="20"/>
                </w:rPr>
                <w:t>Third Amended and Restated Equity Incentive Plan and Forms of Award Agreements</w:t>
              </w:r>
            </w:hyperlink>
            <w:r>
              <w:rPr>
                <w:rFonts w:ascii="Times New Roman;Times;serif" w:hAnsi="Times New Roman;Times;serif"/>
                <w:sz w:val="20"/>
              </w:rPr>
              <w:t xml:space="preserve"> </w:t>
            </w:r>
            <w:r>
              <w:rPr>
                <w:rFonts w:ascii="Times New Roman;Times;serif" w:hAnsi="Times New Roman;Times;serif"/>
                <w:sz w:val="15"/>
              </w:rPr>
              <w:t>(9)</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5">
              <w:r>
                <w:rPr>
                  <w:rStyle w:val="InternetLink"/>
                  <w:rFonts w:ascii="Times New Roman;Times;serif" w:hAnsi="Times New Roman;Times;serif"/>
                  <w:b w:val="false"/>
                  <w:i w:val="false"/>
                  <w:caps w:val="false"/>
                  <w:smallCaps w:val="false"/>
                  <w:sz w:val="20"/>
                </w:rPr>
                <w:t>2021 Equity Incentive Plan</w:t>
              </w:r>
            </w:hyperlink>
            <w:r>
              <w:rPr>
                <w:rFonts w:ascii="Times New Roman;Times;serif" w:hAnsi="Times New Roman;Times;serif"/>
                <w:sz w:val="20"/>
              </w:rPr>
              <w:t xml:space="preserve"> </w:t>
            </w:r>
            <w:r>
              <w:rPr>
                <w:rFonts w:ascii="Times New Roman;Times;serif" w:hAnsi="Times New Roman;Times;serif"/>
                <w:sz w:val="15"/>
              </w:rPr>
              <w:t>(11)</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6">
              <w:r>
                <w:rPr>
                  <w:rStyle w:val="InternetLink"/>
                  <w:rFonts w:ascii="Times New Roman;Times;serif" w:hAnsi="Times New Roman;Times;serif"/>
                  <w:b w:val="false"/>
                  <w:i w:val="false"/>
                  <w:caps w:val="false"/>
                  <w:smallCaps w:val="false"/>
                  <w:sz w:val="20"/>
                </w:rPr>
                <w:t>Description of Registrant’s Securities</w:t>
              </w:r>
            </w:hyperlink>
            <w:r>
              <w:rPr>
                <w:rFonts w:ascii="Times New Roman;Times;serif" w:hAnsi="Times New Roman;Times;serif"/>
                <w:sz w:val="20"/>
              </w:rPr>
              <w:t xml:space="preserve"> </w:t>
            </w:r>
            <w:r>
              <w:rPr>
                <w:rFonts w:ascii="Times New Roman;Times;serif" w:hAnsi="Times New Roman;Times;serif"/>
                <w:sz w:val="15"/>
              </w:rPr>
              <w:t>(10)</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7">
              <w:r>
                <w:rPr>
                  <w:rStyle w:val="InternetLink"/>
                  <w:rFonts w:ascii="Times New Roman;Times;serif" w:hAnsi="Times New Roman;Times;serif"/>
                  <w:b w:val="false"/>
                  <w:i w:val="false"/>
                  <w:caps w:val="false"/>
                  <w:smallCaps w:val="false"/>
                  <w:sz w:val="20"/>
                </w:rPr>
                <w:t>Amended and Restated Voting Agreement between Xcel Brands, Inc. and IM Ready-Made, LLC, dated as of December 24, 2013</w:t>
              </w:r>
            </w:hyperlink>
            <w:r>
              <w:rPr>
                <w:rFonts w:ascii="Times New Roman;Times;serif" w:hAnsi="Times New Roman;Times;serif"/>
                <w:sz w:val="20"/>
              </w:rPr>
              <w:t xml:space="preserve"> </w:t>
            </w:r>
            <w:r>
              <w:rPr>
                <w:rFonts w:ascii="Times New Roman;Times;serif" w:hAnsi="Times New Roman;Times;serif"/>
                <w:sz w:val="15"/>
              </w:rPr>
              <w:t>(2)</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8">
              <w:r>
                <w:rPr>
                  <w:rStyle w:val="InternetLink"/>
                  <w:rFonts w:ascii="Times New Roman;Times;serif" w:hAnsi="Times New Roman;Times;serif"/>
                  <w:b w:val="false"/>
                  <w:i w:val="false"/>
                  <w:caps w:val="false"/>
                  <w:smallCaps w:val="false"/>
                  <w:sz w:val="20"/>
                </w:rPr>
                <w:t>Voting Agreement between Xcel Brands, Inc. and Judith Ripka Berk, dated as of April 3, 2014</w:t>
              </w:r>
            </w:hyperlink>
            <w:r>
              <w:rPr>
                <w:rFonts w:ascii="Times New Roman;Times;serif" w:hAnsi="Times New Roman;Times;serif"/>
                <w:sz w:val="20"/>
              </w:rPr>
              <w:t xml:space="preserve"> </w:t>
            </w:r>
            <w:r>
              <w:rPr>
                <w:rFonts w:ascii="Times New Roman;Times;serif" w:hAnsi="Times New Roman;Times;serif"/>
                <w:sz w:val="15"/>
              </w:rPr>
              <w:t>(4)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9">
              <w:r>
                <w:rPr>
                  <w:rStyle w:val="InternetLink"/>
                  <w:rFonts w:ascii="Times New Roman;Times;serif" w:hAnsi="Times New Roman;Times;serif"/>
                  <w:b w:val="false"/>
                  <w:i w:val="false"/>
                  <w:caps w:val="false"/>
                  <w:smallCaps w:val="false"/>
                  <w:sz w:val="20"/>
                </w:rPr>
                <w:t>Voting Agreement dated as of December 22, 2014 by and between Xcel Brands, Inc. and H Company IP, LLC</w:t>
              </w:r>
            </w:hyperlink>
            <w:r>
              <w:rPr>
                <w:rFonts w:ascii="Times New Roman;Times;serif" w:hAnsi="Times New Roman;Times;serif"/>
                <w:sz w:val="20"/>
              </w:rPr>
              <w:t xml:space="preserve"> </w:t>
            </w:r>
            <w:r>
              <w:rPr>
                <w:rFonts w:ascii="Times New Roman;Times;serif" w:hAnsi="Times New Roman;Times;serif"/>
                <w:sz w:val="15"/>
              </w:rPr>
              <w:t>(5)</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9.4</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0">
              <w:r>
                <w:rPr>
                  <w:rStyle w:val="InternetLink"/>
                  <w:rFonts w:ascii="Times New Roman;Times;serif" w:hAnsi="Times New Roman;Times;serif"/>
                  <w:b w:val="false"/>
                  <w:i w:val="false"/>
                  <w:caps w:val="false"/>
                  <w:smallCaps w:val="false"/>
                  <w:sz w:val="20"/>
                </w:rPr>
                <w:t>Form of Voting Agreement dated as of February 11, 2019</w:t>
              </w:r>
            </w:hyperlink>
            <w:r>
              <w:rPr>
                <w:rFonts w:ascii="Times New Roman;Times;serif" w:hAnsi="Times New Roman;Times;serif"/>
                <w:sz w:val="20"/>
              </w:rPr>
              <w:t xml:space="preserve"> </w:t>
            </w:r>
            <w:r>
              <w:rPr>
                <w:rFonts w:ascii="Times New Roman;Times;serif" w:hAnsi="Times New Roman;Times;serif"/>
                <w:sz w:val="15"/>
              </w:rPr>
              <w:t>(1)</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1">
              <w:r>
                <w:rPr>
                  <w:rStyle w:val="InternetLink"/>
                  <w:rFonts w:ascii="Times New Roman;Times;serif" w:hAnsi="Times New Roman;Times;serif"/>
                  <w:b w:val="false"/>
                  <w:i w:val="false"/>
                  <w:caps w:val="false"/>
                  <w:smallCaps w:val="false"/>
                  <w:sz w:val="20"/>
                </w:rPr>
                <w:t>Employment Agreement between the Company and Robert D’Loren dated February 27, 2019</w:t>
              </w:r>
            </w:hyperlink>
            <w:r>
              <w:rPr>
                <w:rFonts w:ascii="Times New Roman;Times;serif" w:hAnsi="Times New Roman;Times;serif"/>
                <w:sz w:val="20"/>
              </w:rPr>
              <w:t xml:space="preserve"> </w:t>
            </w:r>
            <w:r>
              <w:rPr>
                <w:rFonts w:ascii="Times New Roman;Times;serif" w:hAnsi="Times New Roman;Times;serif"/>
                <w:sz w:val="15"/>
              </w:rPr>
              <w:t>(10)</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2">
              <w:r>
                <w:rPr>
                  <w:rStyle w:val="InternetLink"/>
                  <w:rFonts w:ascii="Times New Roman;Times;serif" w:hAnsi="Times New Roman;Times;serif"/>
                  <w:b w:val="false"/>
                  <w:i w:val="false"/>
                  <w:caps w:val="false"/>
                  <w:smallCaps w:val="false"/>
                  <w:sz w:val="20"/>
                </w:rPr>
                <w:t>Employment Agreement between the Company and James Haran dated February 27, 2019</w:t>
              </w:r>
            </w:hyperlink>
            <w:r>
              <w:rPr>
                <w:rFonts w:ascii="Times New Roman;Times;serif" w:hAnsi="Times New Roman;Times;serif"/>
                <w:sz w:val="20"/>
              </w:rPr>
              <w:t xml:space="preserve"> </w:t>
            </w:r>
            <w:r>
              <w:rPr>
                <w:rFonts w:ascii="Times New Roman;Times;serif" w:hAnsi="Times New Roman;Times;serif"/>
                <w:sz w:val="15"/>
              </w:rPr>
              <w:t>(10)</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3">
              <w:r>
                <w:rPr>
                  <w:rStyle w:val="InternetLink"/>
                  <w:rFonts w:ascii="Times New Roman;Times;serif" w:hAnsi="Times New Roman;Times;serif"/>
                  <w:b w:val="false"/>
                  <w:i w:val="false"/>
                  <w:caps w:val="false"/>
                  <w:smallCaps w:val="false"/>
                  <w:sz w:val="20"/>
                </w:rPr>
                <w:t>Employment Agreement between the Company and Seth Burroughs dated February 27, 2019</w:t>
              </w:r>
            </w:hyperlink>
            <w:r>
              <w:rPr>
                <w:rFonts w:ascii="Times New Roman;Times;serif" w:hAnsi="Times New Roman;Times;serif"/>
                <w:sz w:val="20"/>
              </w:rPr>
              <w:t xml:space="preserve"> </w:t>
            </w:r>
            <w:r>
              <w:rPr>
                <w:rFonts w:ascii="Times New Roman;Times;serif" w:hAnsi="Times New Roman;Times;serif"/>
                <w:sz w:val="15"/>
              </w:rPr>
              <w:t>(12)</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4">
              <w:r>
                <w:rPr>
                  <w:rStyle w:val="InternetLink"/>
                  <w:rFonts w:ascii="Times New Roman;Times;serif" w:hAnsi="Times New Roman;Times;serif"/>
                  <w:b w:val="false"/>
                  <w:i w:val="false"/>
                  <w:caps w:val="false"/>
                  <w:smallCaps w:val="false"/>
                  <w:sz w:val="20"/>
                </w:rPr>
                <w:t>Amended and Restated Fifth Amendment, entered into as of March 14, 2014 and effective as of December 24, 2013, to the Asset Purchase Agreement filed as Exhibit 10.1</w:t>
              </w:r>
            </w:hyperlink>
            <w:r>
              <w:rPr>
                <w:rFonts w:ascii="Times New Roman;Times;serif" w:hAnsi="Times New Roman;Times;serif"/>
                <w:sz w:val="20"/>
              </w:rPr>
              <w:t xml:space="preserve"> </w:t>
            </w:r>
            <w:r>
              <w:rPr>
                <w:rFonts w:ascii="Times New Roman;Times;serif" w:hAnsi="Times New Roman;Times;serif"/>
                <w:sz w:val="15"/>
              </w:rPr>
              <w:t>(3)</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5">
              <w:r>
                <w:rPr>
                  <w:rStyle w:val="InternetLink"/>
                  <w:rFonts w:ascii="Times New Roman;Times;serif" w:hAnsi="Times New Roman;Times;serif"/>
                  <w:b w:val="false"/>
                  <w:i w:val="false"/>
                  <w:caps w:val="false"/>
                  <w:smallCaps w:val="false"/>
                  <w:sz w:val="20"/>
                </w:rPr>
                <w:t>Sublease Agreement, dated as of July 8, 2015, by and between Xcel Brands, Inc. and GBG USA Inc.</w:t>
              </w:r>
            </w:hyperlink>
            <w:r>
              <w:rPr>
                <w:rFonts w:ascii="Times New Roman;Times;serif" w:hAnsi="Times New Roman;Times;serif"/>
                <w:sz w:val="20"/>
              </w:rPr>
              <w:t xml:space="preserve"> </w:t>
            </w:r>
            <w:r>
              <w:rPr>
                <w:rFonts w:ascii="Times New Roman;Times;serif" w:hAnsi="Times New Roman;Times;serif"/>
                <w:sz w:val="15"/>
              </w:rPr>
              <w:t>(6)</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r:id="rId16">
              <w:r>
                <w:rPr>
                  <w:rStyle w:val="InternetLink"/>
                  <w:rFonts w:ascii="Times New Roman;Times;serif" w:hAnsi="Times New Roman;Times;serif"/>
                  <w:b w:val="false"/>
                  <w:i w:val="false"/>
                  <w:caps w:val="false"/>
                  <w:smallCaps w:val="false"/>
                  <w:sz w:val="20"/>
                </w:rPr>
                <w:t>Membership Interest Purchase Agreement</w:t>
              </w:r>
            </w:hyperlink>
            <w:r>
              <w:rPr>
                <w:rFonts w:ascii="Times New Roman;Times;serif" w:hAnsi="Times New Roman;Times;serif"/>
                <w:sz w:val="20"/>
              </w:rPr>
              <w:t xml:space="preserve"> </w:t>
            </w:r>
            <w:r>
              <w:rPr>
                <w:rFonts w:ascii="Times New Roman;Times;serif" w:hAnsi="Times New Roman;Times;serif"/>
                <w:sz w:val="15"/>
              </w:rPr>
              <w:t>(13)</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21d1.htm">
              <w:r>
                <w:rPr>
                  <w:rStyle w:val="InternetLink"/>
                  <w:rFonts w:ascii="Times New Roman;Times;serif" w:hAnsi="Times New Roman;Times;serif"/>
                  <w:b w:val="false"/>
                  <w:i w:val="false"/>
                  <w:caps w:val="false"/>
                  <w:smallCaps w:val="false"/>
                  <w:sz w:val="20"/>
                </w:rPr>
                <w:t>Subsidiaries of the Registrant</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23d1.htm">
              <w:r>
                <w:rPr>
                  <w:rStyle w:val="InternetLink"/>
                  <w:rFonts w:ascii="Times New Roman;Times;serif" w:hAnsi="Times New Roman;Times;serif"/>
                  <w:b w:val="false"/>
                  <w:i w:val="false"/>
                  <w:caps w:val="false"/>
                  <w:smallCaps w:val="false"/>
                  <w:sz w:val="20"/>
                </w:rPr>
                <w:t>Independent Registered Public Accounting Firm’s Consent</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31(i).1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31d1.htm">
              <w:r>
                <w:rPr>
                  <w:rStyle w:val="InternetLink"/>
                  <w:rFonts w:ascii="Times New Roman;Times;serif" w:hAnsi="Times New Roman;Times;serif"/>
                  <w:b w:val="false"/>
                  <w:i w:val="false"/>
                  <w:caps w:val="false"/>
                  <w:smallCaps w:val="false"/>
                  <w:sz w:val="20"/>
                </w:rPr>
                <w:t>Rule 13a-14(a)/15d-14(a) Certification (CEO)</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31(i).2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31d2.htm">
              <w:r>
                <w:rPr>
                  <w:rStyle w:val="InternetLink"/>
                  <w:rFonts w:ascii="Times New Roman;Times;serif" w:hAnsi="Times New Roman;Times;serif"/>
                  <w:b w:val="false"/>
                  <w:i w:val="false"/>
                  <w:caps w:val="false"/>
                  <w:smallCaps w:val="false"/>
                  <w:sz w:val="20"/>
                </w:rPr>
                <w:t>Rule 13a-14(a)/15d-14(a) Certification (CFO)</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32(i).1</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32d1.htm">
              <w:r>
                <w:rPr>
                  <w:rStyle w:val="InternetLink"/>
                  <w:rFonts w:ascii="Times New Roman;Times;serif" w:hAnsi="Times New Roman;Times;serif"/>
                  <w:b w:val="false"/>
                  <w:i w:val="false"/>
                  <w:caps w:val="false"/>
                  <w:smallCaps w:val="false"/>
                  <w:sz w:val="20"/>
                </w:rPr>
                <w:t>Section 1350 Certification (CEO)</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before="0" w:after="0"/>
              <w:ind w:left="0" w:right="0" w:hanging="0"/>
              <w:rPr/>
            </w:pPr>
            <w:r>
              <w:rPr/>
              <w:t>​</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32(i).2</w:t>
            </w:r>
          </w:p>
        </w:tc>
        <w:tc>
          <w:tcPr>
            <w:tcW w:w="326" w:type="dxa"/>
            <w:tcBorders/>
            <w:shd w:fill="auto" w:val="clear"/>
            <w:vAlign w:val="center"/>
          </w:tcPr>
          <w:p>
            <w:pPr>
              <w:pStyle w:val="TableContents"/>
              <w:spacing w:before="0" w:after="0"/>
              <w:ind w:left="0" w:right="0" w:hanging="0"/>
              <w:rPr/>
            </w:pPr>
            <w:r>
              <w:rPr/>
              <w:t>​</w:t>
            </w:r>
          </w:p>
        </w:tc>
        <w:tc>
          <w:tcPr>
            <w:tcW w:w="9068" w:type="dxa"/>
            <w:tcBorders/>
            <w:shd w:fill="auto" w:val="clear"/>
            <w:vAlign w:val="center"/>
          </w:tcPr>
          <w:p>
            <w:pPr>
              <w:pStyle w:val="TableContents"/>
              <w:spacing w:lineRule="auto" w:line="240" w:before="0" w:after="0"/>
              <w:ind w:left="0" w:right="0" w:hanging="0"/>
              <w:rPr/>
            </w:pPr>
            <w:hyperlink w:anchor="xelb-20221231xex32d2.htm">
              <w:r>
                <w:rPr>
                  <w:rStyle w:val="InternetLink"/>
                  <w:rFonts w:ascii="Times New Roman;Times;serif" w:hAnsi="Times New Roman;Times;serif"/>
                  <w:b w:val="false"/>
                  <w:i w:val="false"/>
                  <w:caps w:val="false"/>
                  <w:smallCaps w:val="false"/>
                  <w:sz w:val="20"/>
                </w:rPr>
                <w:t>Section 1350 Certification (CFO)</w:t>
              </w:r>
            </w:hyperlink>
            <w:r>
              <w:rPr>
                <w:rFonts w:ascii="Times New Roman;Times;serif" w:hAnsi="Times New Roman;Times;serif"/>
                <w:sz w:val="20"/>
              </w:rPr>
              <w:t xml:space="preserve"> </w:t>
            </w:r>
            <w:r>
              <w:rPr>
                <w:rFonts w:ascii="Times New Roman;Times;serif" w:hAnsi="Times New Roman;Times;serif"/>
                <w:sz w:val="15"/>
              </w:rPr>
              <w:t>(14)</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29"/>
        <w:gridCol w:w="109"/>
        <w:gridCol w:w="9367"/>
      </w:tblGrid>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99.1</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pPr>
            <w:hyperlink w:anchor="xelb-20221231xex99d1.htm">
              <w:r>
                <w:rPr>
                  <w:rStyle w:val="InternetLink"/>
                  <w:rFonts w:ascii="Times New Roman;Times;serif" w:hAnsi="Times New Roman;Times;serif"/>
                  <w:b w:val="false"/>
                  <w:i w:val="false"/>
                  <w:caps w:val="false"/>
                  <w:smallCaps w:val="false"/>
                  <w:sz w:val="20"/>
                </w:rPr>
                <w:t>IM Topco, LLC Financial Statements as of December 31, 2022 and for the Period from May 11, 2022 (inception) through December 31, 2022 and Independent Auditor’s Report</w:t>
              </w:r>
            </w:hyperlink>
            <w:r>
              <w:rPr>
                <w:rFonts w:ascii="Times New Roman;Times;serif" w:hAnsi="Times New Roman;Times;serif"/>
                <w:sz w:val="20"/>
              </w:rPr>
              <w:t xml:space="preserve">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Instance Document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Schema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Calculation Linkbase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Definition Linkbase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Label Linkbase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Inline XBRL Taxonomy Presentation Linkbase </w:t>
            </w:r>
            <w:r>
              <w:rPr>
                <w:rFonts w:ascii="Times New Roman;Times;serif" w:hAnsi="Times New Roman;Times;serif"/>
                <w:sz w:val="15"/>
              </w:rPr>
              <w:t>(14)</w:t>
            </w:r>
          </w:p>
        </w:tc>
      </w:tr>
      <w:tr>
        <w:trPr/>
        <w:tc>
          <w:tcPr>
            <w:tcW w:w="72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before="0" w:after="0"/>
              <w:ind w:left="0" w:right="0" w:hanging="0"/>
              <w:rPr/>
            </w:pPr>
            <w:r>
              <w:rPr/>
              <w:t>​</w:t>
            </w:r>
          </w:p>
        </w:tc>
      </w:tr>
      <w:tr>
        <w:trPr/>
        <w:tc>
          <w:tcPr>
            <w:tcW w:w="7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vAlign w:val="center"/>
          </w:tcPr>
          <w:p>
            <w:pPr>
              <w:pStyle w:val="TableContents"/>
              <w:spacing w:before="0" w:after="0"/>
              <w:ind w:left="0" w:right="0" w:hanging="0"/>
              <w:rPr/>
            </w:pPr>
            <w:r>
              <w:rPr/>
              <w:t>​</w:t>
            </w:r>
          </w:p>
        </w:tc>
        <w:tc>
          <w:tcPr>
            <w:tcW w:w="9367"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Cover Page Interactive Data File (formatted as inline XBRL and contained in Exhibit 101) </w:t>
            </w:r>
            <w:r>
              <w:rPr>
                <w:rFonts w:ascii="Times New Roman;Times;serif" w:hAnsi="Times New Roman;Times;serif"/>
                <w:sz w:val="15"/>
              </w:rPr>
              <w:t>(14)</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February 15, 2019.</w:t>
            </w:r>
          </w:p>
        </w:tc>
      </w:tr>
    </w:tbl>
    <w:tbl>
      <w:tblPr>
        <w:tblW w:w="10205" w:type="dxa"/>
        <w:jc w:val="left"/>
        <w:tblInd w:w="0" w:type="dxa"/>
        <w:tblCellMar>
          <w:top w:w="0" w:type="dxa"/>
          <w:left w:w="0" w:type="dxa"/>
          <w:bottom w:w="0" w:type="dxa"/>
          <w:right w:w="0" w:type="dxa"/>
        </w:tblCellMar>
      </w:tblPr>
      <w:tblGrid>
        <w:gridCol w:w="330"/>
        <w:gridCol w:w="9875"/>
      </w:tblGrid>
      <w:tr>
        <w:trPr/>
        <w:tc>
          <w:tcPr>
            <w:tcW w:w="3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December 24, 2013.</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March 20, 2014.</w:t>
            </w:r>
          </w:p>
        </w:tc>
      </w:tr>
    </w:tbl>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April 9, 2014.</w:t>
            </w:r>
          </w:p>
        </w:tc>
      </w:tr>
    </w:tbl>
    <w:tbl>
      <w:tblPr>
        <w:tblW w:w="10205" w:type="dxa"/>
        <w:jc w:val="left"/>
        <w:tblInd w:w="0" w:type="dxa"/>
        <w:tblCellMar>
          <w:top w:w="0" w:type="dxa"/>
          <w:left w:w="0" w:type="dxa"/>
          <w:bottom w:w="0" w:type="dxa"/>
          <w:right w:w="0" w:type="dxa"/>
        </w:tblCellMar>
      </w:tblPr>
      <w:tblGrid>
        <w:gridCol w:w="330"/>
        <w:gridCol w:w="9875"/>
      </w:tblGrid>
      <w:tr>
        <w:trPr/>
        <w:tc>
          <w:tcPr>
            <w:tcW w:w="3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December 24, 2014.</w:t>
            </w:r>
          </w:p>
        </w:tc>
      </w:tr>
    </w:tbl>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July 14, 2015.</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8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October 24, 2017.</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December 8, 2017.</w:t>
            </w:r>
          </w:p>
        </w:tc>
      </w:tr>
    </w:tbl>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March 1, 2019.</w:t>
            </w:r>
          </w:p>
        </w:tc>
      </w:tr>
    </w:tbl>
    <w:tbl>
      <w:tblPr>
        <w:tblW w:w="10205" w:type="dxa"/>
        <w:jc w:val="left"/>
        <w:tblInd w:w="0" w:type="dxa"/>
        <w:tblCellMar>
          <w:top w:w="0" w:type="dxa"/>
          <w:left w:w="0" w:type="dxa"/>
          <w:bottom w:w="0" w:type="dxa"/>
          <w:right w:w="0" w:type="dxa"/>
        </w:tblCellMar>
      </w:tblPr>
      <w:tblGrid>
        <w:gridCol w:w="426"/>
        <w:gridCol w:w="9779"/>
      </w:tblGrid>
      <w:tr>
        <w:trPr/>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77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Annual Report on Form 10-K for the year ended December 31, 2020, which was filed with the SEC on April 23, 2021.</w:t>
            </w:r>
          </w:p>
        </w:tc>
      </w:tr>
    </w:tbl>
    <w:tbl>
      <w:tblPr>
        <w:tblW w:w="10205" w:type="dxa"/>
        <w:jc w:val="left"/>
        <w:tblInd w:w="0" w:type="dxa"/>
        <w:tblCellMar>
          <w:top w:w="0" w:type="dxa"/>
          <w:left w:w="0" w:type="dxa"/>
          <w:bottom w:w="0" w:type="dxa"/>
          <w:right w:w="0" w:type="dxa"/>
        </w:tblCellMar>
      </w:tblPr>
      <w:tblGrid>
        <w:gridCol w:w="428"/>
        <w:gridCol w:w="9777"/>
      </w:tblGrid>
      <w:tr>
        <w:trPr/>
        <w:tc>
          <w:tcPr>
            <w:tcW w:w="4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77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revised Definitive Proxy Statement on Form DEF 14-A, which was filed with the SEC on October 20, 2021.</w:t>
            </w:r>
          </w:p>
        </w:tc>
      </w:tr>
    </w:tbl>
    <w:tbl>
      <w:tblPr>
        <w:tblW w:w="10205" w:type="dxa"/>
        <w:jc w:val="left"/>
        <w:tblInd w:w="0" w:type="dxa"/>
        <w:tblCellMar>
          <w:top w:w="0" w:type="dxa"/>
          <w:left w:w="0" w:type="dxa"/>
          <w:bottom w:w="0" w:type="dxa"/>
          <w:right w:w="0" w:type="dxa"/>
        </w:tblCellMar>
      </w:tblPr>
      <w:tblGrid>
        <w:gridCol w:w="426"/>
        <w:gridCol w:w="9779"/>
      </w:tblGrid>
      <w:tr>
        <w:trPr/>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977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Annual Report on Form 10-K for the year ended December 31, 2021, which was filed with the SEC on April 15,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437"/>
        <w:gridCol w:w="9768"/>
      </w:tblGrid>
      <w:tr>
        <w:trPr/>
        <w:tc>
          <w:tcPr>
            <w:tcW w:w="4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w:t>
            </w:r>
          </w:p>
        </w:tc>
        <w:tc>
          <w:tcPr>
            <w:tcW w:w="97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is incorporated by reference to the appropriate Exhibit to the Current Report on Form 8-K, which was filed with the SEC on June 3, 2022.</w:t>
            </w:r>
          </w:p>
        </w:tc>
      </w:tr>
    </w:tbl>
    <w:tbl>
      <w:tblPr>
        <w:tblW w:w="1817" w:type="dxa"/>
        <w:jc w:val="left"/>
        <w:tblInd w:w="0" w:type="dxa"/>
        <w:tblCellMar>
          <w:top w:w="0" w:type="dxa"/>
          <w:left w:w="0" w:type="dxa"/>
          <w:bottom w:w="0" w:type="dxa"/>
          <w:right w:w="0" w:type="dxa"/>
        </w:tblCellMar>
      </w:tblPr>
      <w:tblGrid>
        <w:gridCol w:w="451"/>
        <w:gridCol w:w="1366"/>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13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bookmarkStart w:id="1057" w:name="SIGNATURES_35665"/>
      <w:bookmarkStart w:id="1058" w:name="_4c42f79b_8294_4919_b437_53bca9262122"/>
      <w:bookmarkEnd w:id="1057"/>
      <w:bookmarkEnd w:id="1058"/>
      <w:r>
        <w:rPr>
          <w:rFonts w:ascii="Times New Roman;Times;serif" w:hAnsi="Times New Roman;Times;serif"/>
          <w:b/>
          <w:sz w:val="20"/>
        </w:rPr>
        <w:t>SIGNATURES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Exchange Act, the registrant has duly caused this report to be signed on its behalf by the undersigned, thereunto duly authorized.</w:t>
      </w:r>
    </w:p>
    <w:p>
      <w:pPr>
        <w:pStyle w:val="TextBody"/>
        <w:spacing w:before="0" w:after="240"/>
        <w:ind w:left="0" w:right="0" w:hanging="0"/>
        <w:jc w:val="both"/>
        <w:rPr/>
      </w:pPr>
      <w:r>
        <w:rPr/>
        <w:t>​</w:t>
      </w:r>
    </w:p>
    <w:tbl>
      <w:tblPr>
        <w:tblW w:w="5578" w:type="dxa"/>
        <w:jc w:val="left"/>
        <w:tblInd w:w="0" w:type="dxa"/>
        <w:tblCellMar>
          <w:top w:w="0" w:type="dxa"/>
          <w:left w:w="0" w:type="dxa"/>
          <w:bottom w:w="0" w:type="dxa"/>
          <w:right w:w="0" w:type="dxa"/>
        </w:tblCellMar>
      </w:tblPr>
      <w:tblGrid>
        <w:gridCol w:w="1786"/>
        <w:gridCol w:w="326"/>
        <w:gridCol w:w="3466"/>
      </w:tblGrid>
      <w:tr>
        <w:trPr/>
        <w:tc>
          <w:tcPr>
            <w:tcW w:w="17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Date: April 17, 2023</w:t>
            </w:r>
          </w:p>
        </w:tc>
        <w:tc>
          <w:tcPr>
            <w:tcW w:w="326" w:type="dxa"/>
            <w:tcBorders/>
            <w:shd w:fill="auto" w:val="clear"/>
            <w:vAlign w:val="center"/>
          </w:tcPr>
          <w:p>
            <w:pPr>
              <w:pStyle w:val="TableContents"/>
              <w:spacing w:before="0" w:after="22"/>
              <w:ind w:left="0" w:right="0" w:hanging="0"/>
              <w:rPr/>
            </w:pPr>
            <w:r>
              <w:rPr/>
              <w:t>    </w:t>
            </w:r>
          </w:p>
        </w:tc>
        <w:tc>
          <w:tcPr>
            <w:tcW w:w="34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/s/ Robert W. D’Loren</w:t>
            </w:r>
          </w:p>
        </w:tc>
      </w:tr>
      <w:tr>
        <w:trPr/>
        <w:tc>
          <w:tcPr>
            <w:tcW w:w="178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w:t>
            </w:r>
          </w:p>
        </w:tc>
        <w:tc>
          <w:tcPr>
            <w:tcW w:w="34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Robert W. D’Loren, Chairman, President,</w:t>
            </w:r>
          </w:p>
        </w:tc>
      </w:tr>
      <w:tr>
        <w:trPr/>
        <w:tc>
          <w:tcPr>
            <w:tcW w:w="178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w:t>
            </w:r>
          </w:p>
        </w:tc>
        <w:tc>
          <w:tcPr>
            <w:tcW w:w="34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Chief Executive Officer and Director</w:t>
            </w:r>
          </w:p>
        </w:tc>
      </w:tr>
      <w:tr>
        <w:trPr/>
        <w:tc>
          <w:tcPr>
            <w:tcW w:w="178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w:t>
            </w:r>
          </w:p>
        </w:tc>
        <w:tc>
          <w:tcPr>
            <w:tcW w:w="3466" w:type="dxa"/>
            <w:tcBorders/>
            <w:shd w:fill="auto" w:val="clear"/>
            <w:vAlign w:val="center"/>
          </w:tcPr>
          <w:p>
            <w:pPr>
              <w:pStyle w:val="TableContents"/>
              <w:spacing w:before="0" w:after="22"/>
              <w:ind w:left="22"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Exchange Act, this report has been signed below by the following persons on behalf of the registrant and in the capacities and on the dates indicated.</w:t>
      </w:r>
    </w:p>
    <w:p>
      <w:pPr>
        <w:pStyle w:val="TextBody"/>
        <w:spacing w:before="0" w:after="240"/>
        <w:ind w:left="0" w:right="0" w:hanging="0"/>
        <w:jc w:val="both"/>
        <w:rPr/>
      </w:pPr>
      <w:r>
        <w:rPr/>
        <w:t>​</w:t>
      </w:r>
    </w:p>
    <w:tbl>
      <w:tblPr>
        <w:tblW w:w="7165" w:type="dxa"/>
        <w:jc w:val="left"/>
        <w:tblInd w:w="0" w:type="dxa"/>
        <w:tblCellMar>
          <w:top w:w="0" w:type="dxa"/>
          <w:left w:w="0" w:type="dxa"/>
          <w:bottom w:w="0" w:type="dxa"/>
          <w:right w:w="0" w:type="dxa"/>
        </w:tblCellMar>
      </w:tblPr>
      <w:tblGrid>
        <w:gridCol w:w="1966"/>
        <w:gridCol w:w="326"/>
        <w:gridCol w:w="3211"/>
        <w:gridCol w:w="326"/>
        <w:gridCol w:w="1336"/>
      </w:tblGrid>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rPr/>
            </w:pPr>
            <w:r>
              <w:rPr/>
              <w:t>​</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22"/>
              <w:ind w:left="0" w:right="0" w:hanging="0"/>
              <w:rPr/>
            </w:pPr>
            <w:r>
              <w:rPr/>
              <w:t>    </w:t>
            </w:r>
          </w:p>
        </w:tc>
        <w:tc>
          <w:tcPr>
            <w:tcW w:w="3211" w:type="dxa"/>
            <w:tcBorders>
              <w:bottom w:val="single" w:sz="2" w:space="0" w:color="000000"/>
            </w:tcBorders>
            <w:shd w:fill="auto" w:val="clear"/>
            <w:tcMar>
              <w:bottom w:w="28" w:type="dxa"/>
            </w:tcMar>
            <w:vAlign w:val="center"/>
          </w:tcPr>
          <w:p>
            <w:pPr>
              <w:pStyle w:val="TableContents"/>
              <w:spacing w:before="0" w:after="22"/>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i/>
                <w:sz w:val="20"/>
              </w:rPr>
            </w:pPr>
            <w:r>
              <w:rPr>
                <w:rFonts w:ascii="Times New Roman;Times;serif" w:hAnsi="Times New Roman;Times;serif"/>
                <w:i/>
                <w:sz w:val="20"/>
              </w:rPr>
              <w:t>/s/ Robert W. D’Loren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Chief Executive Officer and Chairman</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Robert W. D’Loren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i/>
                <w:sz w:val="20"/>
              </w:rPr>
            </w:pPr>
            <w:r>
              <w:rPr>
                <w:rFonts w:ascii="Times New Roman;Times;serif" w:hAnsi="Times New Roman;Times;serif"/>
                <w:i/>
                <w:sz w:val="20"/>
              </w:rPr>
              <w:t>/s/ James F. Haran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James F. Haran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22" w:right="0" w:hanging="0"/>
              <w:rPr>
                <w:rFonts w:ascii="Times New Roman;Times;serif" w:hAnsi="Times New Roman;Times;serif"/>
                <w:sz w:val="20"/>
              </w:rPr>
            </w:pPr>
            <w:r>
              <w:rPr>
                <w:rFonts w:ascii="Times New Roman;Times;serif" w:hAnsi="Times New Roman;Times;serif"/>
                <w:sz w:val="20"/>
              </w:rPr>
              <w:t>(Principal Financial Officer and</w:t>
            </w:r>
          </w:p>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Principal Accounting Officer)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pPr>
            <w:r>
              <w:rPr/>
              <w:t>​</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Michael R. Francis</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i/>
                <w:sz w:val="20"/>
              </w:rPr>
            </w:pPr>
            <w:r>
              <w:rPr>
                <w:rFonts w:ascii="Times New Roman;Times;serif" w:hAnsi="Times New Roman;Times;serif"/>
                <w:i/>
                <w:sz w:val="20"/>
              </w:rPr>
              <w:t>/s/ Mark DiSanto</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Mark DiSanto</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i/>
                <w:sz w:val="20"/>
              </w:rPr>
            </w:pPr>
            <w:r>
              <w:rPr>
                <w:rFonts w:ascii="Times New Roman;Times;serif" w:hAnsi="Times New Roman;Times;serif"/>
                <w:i/>
                <w:sz w:val="20"/>
              </w:rPr>
              <w:t>/s/ James Fielding</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James Fielding</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i/>
                <w:sz w:val="20"/>
              </w:rPr>
            </w:pPr>
            <w:r>
              <w:rPr>
                <w:rFonts w:ascii="Times New Roman;Times;serif" w:hAnsi="Times New Roman;Times;serif"/>
                <w:i/>
                <w:sz w:val="20"/>
              </w:rPr>
              <w:t>/s/ Howard Liebman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Howard Liebman</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pPr>
            <w:r>
              <w:rPr/>
              <w:t> </w:t>
            </w:r>
          </w:p>
        </w:tc>
      </w:tr>
      <w:tr>
        <w:trPr/>
        <w:tc>
          <w:tcPr>
            <w:tcW w:w="1966" w:type="dxa"/>
            <w:tcBorders>
              <w:bottom w:val="single" w:sz="2" w:space="0" w:color="000000"/>
            </w:tcBorders>
            <w:shd w:fill="auto" w:val="clear"/>
            <w:tcMar>
              <w:bottom w:w="28" w:type="dxa"/>
            </w:tcM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i/>
                <w:sz w:val="20"/>
              </w:rPr>
              <w:t>/s/ Deborah Weinswig</w:t>
            </w:r>
            <w:r>
              <w:rPr>
                <w:rFonts w:ascii="Times New Roman;Times;serif" w:hAnsi="Times New Roman;Times;serif"/>
                <w:sz w:val="20"/>
              </w:rPr>
              <w:t> </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1966" w:type="dxa"/>
            <w:tcBorders/>
            <w:shd w:fill="auto" w:val="clear"/>
            <w:vAlign w:val="center"/>
          </w:tcPr>
          <w:p>
            <w:pPr>
              <w:pStyle w:val="TableContents"/>
              <w:spacing w:before="0" w:after="22"/>
              <w:ind w:left="0" w:right="0" w:hanging="0"/>
              <w:rPr>
                <w:rFonts w:ascii="Times New Roman;Times;serif" w:hAnsi="Times New Roman;Times;serif"/>
                <w:sz w:val="20"/>
              </w:rPr>
            </w:pPr>
            <w:r>
              <w:rPr>
                <w:rFonts w:ascii="Times New Roman;Times;serif" w:hAnsi="Times New Roman;Times;serif"/>
                <w:sz w:val="20"/>
              </w:rPr>
              <w:t>Deborah Weinswig</w:t>
            </w:r>
          </w:p>
        </w:tc>
        <w:tc>
          <w:tcPr>
            <w:tcW w:w="326" w:type="dxa"/>
            <w:tcBorders/>
            <w:shd w:fill="auto" w:val="clear"/>
            <w:vAlign w:val="center"/>
          </w:tcPr>
          <w:p>
            <w:pPr>
              <w:pStyle w:val="TableContents"/>
              <w:spacing w:before="0" w:after="22"/>
              <w:ind w:left="0" w:right="0" w:hanging="0"/>
              <w:rPr/>
            </w:pPr>
            <w:r>
              <w:rPr/>
              <w:t> </w:t>
            </w:r>
          </w:p>
        </w:tc>
        <w:tc>
          <w:tcPr>
            <w:tcW w:w="3211" w:type="dxa"/>
            <w:tcBorders/>
            <w:shd w:fill="auto" w:val="clear"/>
            <w:vAlign w:val="center"/>
          </w:tcPr>
          <w:p>
            <w:pPr>
              <w:pStyle w:val="TableContents"/>
              <w:spacing w:before="0" w:after="22"/>
              <w:ind w:left="0" w:right="0" w:hanging="0"/>
              <w:rPr/>
            </w:pPr>
            <w:r>
              <w:rPr/>
              <w:t> </w:t>
            </w:r>
          </w:p>
        </w:tc>
        <w:tc>
          <w:tcPr>
            <w:tcW w:w="326" w:type="dxa"/>
            <w:tcBorders/>
            <w:shd w:fill="auto" w:val="clear"/>
            <w:vAlign w:val="center"/>
          </w:tcPr>
          <w:p>
            <w:pPr>
              <w:pStyle w:val="TableContents"/>
              <w:spacing w:before="0" w:after="22"/>
              <w:ind w:left="0" w:right="0" w:hanging="0"/>
              <w:rPr/>
            </w:pPr>
            <w:r>
              <w:rPr/>
              <w:t> </w:t>
            </w:r>
          </w:p>
        </w:tc>
        <w:tc>
          <w:tcPr>
            <w:tcW w:w="1336" w:type="dxa"/>
            <w:tcBorders/>
            <w:shd w:fill="auto" w:val="clear"/>
            <w:vAlign w:val="center"/>
          </w:tcPr>
          <w:p>
            <w:pPr>
              <w:pStyle w:val="TableContents"/>
              <w:spacing w:before="0" w:after="22"/>
              <w:ind w:left="22" w:right="0" w:hanging="0"/>
              <w:rPr/>
            </w:pPr>
            <w:r>
              <w:rPr/>
              <w:t> </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r>
        <w:br w:type="page"/>
      </w:r>
    </w:p>
    <w:p>
      <w:pPr>
        <w:pStyle w:val="TextBody"/>
        <w:spacing w:before="0" w:after="240"/>
        <w:ind w:left="0" w:right="0" w:hanging="0"/>
        <w:jc w:val="right"/>
        <w:rPr>
          <w:rFonts w:ascii="Times New Roman;Times;serif" w:hAnsi="Times New Roman;Times;serif"/>
          <w:b/>
          <w:sz w:val="20"/>
        </w:rPr>
      </w:pPr>
      <w:bookmarkStart w:id="1059" w:name="xelb-20221231xex21d1.htm"/>
      <w:bookmarkStart w:id="1060" w:name="ksxelb20221231xex21d1"/>
      <w:bookmarkEnd w:id="1059"/>
      <w:bookmarkEnd w:id="1060"/>
      <w:r>
        <w:rPr>
          <w:rFonts w:ascii="Times New Roman;Times;serif" w:hAnsi="Times New Roman;Times;serif"/>
          <w:b/>
          <w:sz w:val="20"/>
        </w:rPr>
        <w:t>Exhibit 21.1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Xcel Brands, Inc.</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Name and Jurisdiction of Incorporation</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IM Brands,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JR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Judith Ripka Fine Jewelry,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Judith Ripka Fine Jewelry Digital,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H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H Heritage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C Wonder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Longaberger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Gold Licensing,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Xcel Design Group,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XCEL-CT MFG,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AHX Beauty,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The Beauty Solution,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Tribe Cosmetics,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Xcel Acquisition Co., LLC, a Delaware limited liability company</w:t>
      </w:r>
    </w:p>
    <w:p>
      <w:pPr>
        <w:pStyle w:val="TextBody"/>
        <w:spacing w:before="0" w:after="240"/>
        <w:ind w:left="198" w:right="0" w:firstLine="360"/>
        <w:rPr>
          <w:rFonts w:ascii="Times New Roman;Times;serif" w:hAnsi="Times New Roman;Times;serif"/>
          <w:sz w:val="20"/>
        </w:rPr>
      </w:pPr>
      <w:r>
        <w:rPr>
          <w:rFonts w:ascii="Symbol" w:hAnsi="Symbol"/>
          <w:sz w:val="20"/>
        </w:rPr>
        <w:t>·</w:t>
      </w:r>
      <w:r>
        <w:rPr>
          <w:rFonts w:ascii="Times New Roman;Times;serif" w:hAnsi="Times New Roman;Times;serif"/>
          <w:sz w:val="20"/>
        </w:rPr>
        <w:t>    Q Optix, LLC, a Delaware limited liability company</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061" w:name="xelb-20221231xex23d1.htm"/>
      <w:bookmarkStart w:id="1062" w:name="ksxelb20221231xex23d1"/>
      <w:bookmarkEnd w:id="1061"/>
      <w:bookmarkEnd w:id="1062"/>
      <w:r>
        <w:rPr>
          <w:rFonts w:ascii="Times New Roman;Times;serif" w:hAnsi="Times New Roman;Times;serif"/>
          <w:b/>
          <w:sz w:val="20"/>
        </w:rPr>
        <w:t>Exhibit 23.1</w:t>
      </w:r>
    </w:p>
    <w:p>
      <w:pPr>
        <w:pStyle w:val="TextBody"/>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INDEPENDENT REGISTERED PUBLIC ACCOUNTING FIRM’S CONSENT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of Xcel Brands, Inc. and Subsidiaries on Form S-8 File No. 333-188985; File No. 333-201252; File No. 333-214150; and File No. 333-264382 of our report dated April 17, 2023, with respect to our audits of the consolidated financial statements of Xcel Brands, Inc. and Subsidiaries as of December 31, 2022 and 2021 and for the years then ended, which report is included in this Annual Report on Form 10-K of Xcel Brands, Inc. for the year ended December 31,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 Marcum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Marcum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New York, New York</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April 17, 2023</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4"/>
        </w:rPr>
      </w:pPr>
      <w:bookmarkStart w:id="1063" w:name="xelb-20221231xex23d2.htm"/>
      <w:bookmarkStart w:id="1064" w:name="ksxelb20221231xex23d2"/>
      <w:bookmarkEnd w:id="1063"/>
      <w:bookmarkEnd w:id="1064"/>
      <w:r>
        <w:rPr>
          <w:rFonts w:ascii="Times New Roman;Times;serif" w:hAnsi="Times New Roman;Times;serif"/>
          <w:b/>
          <w:sz w:val="24"/>
        </w:rPr>
        <w:t xml:space="preserve">Exhibit 23.2 </w:t>
      </w:r>
    </w:p>
    <w:p>
      <w:pPr>
        <w:pStyle w:val="TextBody"/>
        <w:spacing w:lineRule="auto" w:line="307" w:before="0" w:after="160"/>
        <w:ind w:left="0" w:right="0" w:hanging="0"/>
        <w:rPr/>
      </w:pPr>
      <w:r>
        <w:rPr/>
        <w:t>​</w:t>
      </w:r>
    </w:p>
    <w:p>
      <w:pPr>
        <w:pStyle w:val="TextBody"/>
        <w:spacing w:lineRule="auto" w:line="285" w:before="0" w:after="240"/>
        <w:ind w:left="0" w:right="0" w:hanging="0"/>
        <w:rPr>
          <w:rFonts w:ascii="Times New Roman;Times;serif" w:hAnsi="Times New Roman;Times;serif"/>
          <w:b/>
          <w:sz w:val="24"/>
        </w:rPr>
      </w:pPr>
      <w:r>
        <w:rPr>
          <w:rFonts w:ascii="Times New Roman;Times;serif" w:hAnsi="Times New Roman;Times;serif"/>
          <w:b/>
          <w:sz w:val="24"/>
        </w:rPr>
        <w:t xml:space="preserve">Consent of Independent Registered Public Accounting Firm </w:t>
      </w:r>
    </w:p>
    <w:p>
      <w:pPr>
        <w:pStyle w:val="TextBody"/>
        <w:spacing w:lineRule="auto" w:line="285" w:before="0" w:after="240"/>
        <w:ind w:left="0" w:right="0" w:hanging="0"/>
        <w:rPr>
          <w:rFonts w:ascii="Times New Roman;Times;serif" w:hAnsi="Times New Roman;Times;serif"/>
          <w:sz w:val="24"/>
        </w:rPr>
      </w:pPr>
      <w:r>
        <w:rPr>
          <w:rFonts w:ascii="Times New Roman;Times;serif" w:hAnsi="Times New Roman;Times;serif"/>
          <w:sz w:val="24"/>
        </w:rPr>
        <w:t>We consent to the incorporation by reference in Form S-3 (333-216009) and in Form S-8 (File Nos. 333-188985, 333-201252, and 333-214150) of Xcel Brands, Inc. and Subsidiaries of our report dated April 22, 2021 on our audit of the consolidated financial statements of Xcel Brands, Inc. and Subsidiaries as of and for the year ended December 31, 2020, included in this Annual Report on Form 10-K of Xcel Brands, Inc. and Subsidiaries for the year ended December 31, 2021. We also consent to the reference to our firm under the caption “Experts” in Form S-3 (333-216009).</w:t>
      </w:r>
    </w:p>
    <w:p>
      <w:pPr>
        <w:pStyle w:val="TextBody"/>
        <w:spacing w:lineRule="auto" w:line="307" w:before="0" w:after="160"/>
        <w:ind w:left="0" w:right="0" w:hanging="0"/>
        <w:rPr/>
      </w:pPr>
      <w:r>
        <w:rPr/>
        <w:t>​</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sz w:val="24"/>
        </w:rPr>
        <w:t xml:space="preserve">/s/ CohnReznick LLP </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sz w:val="24"/>
        </w:rPr>
        <w:t xml:space="preserve">New York, New York </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sz w:val="24"/>
        </w:rPr>
        <w:t>April 14, 2022</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65" w:name="xelb-20221231xex31d1.htm"/>
      <w:bookmarkStart w:id="1066" w:name="ksxelb20221231xex31d1"/>
      <w:bookmarkEnd w:id="1065"/>
      <w:bookmarkEnd w:id="1066"/>
      <w:r>
        <w:rPr>
          <w:rFonts w:ascii="Times New Roman;Times;serif" w:hAnsi="Times New Roman;Times;serif"/>
          <w:b/>
          <w:sz w:val="20"/>
        </w:rPr>
        <w:t>EXHIBIT 31(i).1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OF THE SARBANES 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Robert W. D’Loren certify that: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1.    I have reviewed this annual report on Form 10-K of Xcel Brands, Inc. (the "registrant") for the year ended December 31, 2022.</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92"/>
        <w:jc w:val="both"/>
        <w:rPr/>
      </w:pPr>
      <w:r>
        <w:rPr/>
        <w:t>​</w:t>
      </w:r>
    </w:p>
    <w:tbl>
      <w:tblPr>
        <w:tblW w:w="9017" w:type="dxa"/>
        <w:jc w:val="center"/>
        <w:tblInd w:w="0" w:type="dxa"/>
        <w:tblCellMar>
          <w:top w:w="0" w:type="dxa"/>
          <w:left w:w="0" w:type="dxa"/>
          <w:bottom w:w="0" w:type="dxa"/>
          <w:right w:w="0" w:type="dxa"/>
        </w:tblCellMar>
      </w:tblPr>
      <w:tblGrid>
        <w:gridCol w:w="1306"/>
        <w:gridCol w:w="7711"/>
      </w:tblGrid>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Robert W. D’Loren</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Robert W. D’Loren</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22" w:right="0" w:hanging="0"/>
              <w:rPr>
                <w:rFonts w:ascii="Times New Roman;Times;serif" w:hAnsi="Times New Roman;Times;serif"/>
                <w:sz w:val="20"/>
              </w:rPr>
            </w:pPr>
            <w:r>
              <w:rPr>
                <w:rFonts w:ascii="Times New Roman;Times;serif" w:hAnsi="Times New Roman;Times;serif"/>
                <w:sz w:val="20"/>
              </w:rPr>
              <w:t>Title: Chairman, President, Chief Executive Officer and Director (Principal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67" w:name="xelb-20221231xex31d2.htm"/>
      <w:bookmarkStart w:id="1068" w:name="ksxelb20221231xex31d2"/>
      <w:bookmarkEnd w:id="1067"/>
      <w:bookmarkEnd w:id="1068"/>
      <w:r>
        <w:rPr>
          <w:rFonts w:ascii="Times New Roman;Times;serif" w:hAnsi="Times New Roman;Times;serif"/>
          <w:b/>
          <w:sz w:val="20"/>
        </w:rPr>
        <w:t>EXHIBIT 31(i).2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SECTION 302 OF THE SARBANES 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James F. Haran certify that: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1.    I have reviewed this annual report on Form 10-K of Xcel Brands, Inc. (the "registrant") for the year ended December 31, 2022.</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pBdr/>
        <w:spacing w:before="0" w:after="0"/>
        <w:ind w:left="0" w:right="0" w:hanging="357"/>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92"/>
        <w:jc w:val="both"/>
        <w:rPr/>
      </w:pPr>
      <w:r>
        <w:rPr/>
        <w:t>​</w:t>
      </w:r>
    </w:p>
    <w:tbl>
      <w:tblPr>
        <w:tblW w:w="7562" w:type="dxa"/>
        <w:jc w:val="center"/>
        <w:tblInd w:w="0" w:type="dxa"/>
        <w:tblCellMar>
          <w:top w:w="0" w:type="dxa"/>
          <w:left w:w="0" w:type="dxa"/>
          <w:bottom w:w="0" w:type="dxa"/>
          <w:right w:w="0" w:type="dxa"/>
        </w:tblCellMar>
      </w:tblPr>
      <w:tblGrid>
        <w:gridCol w:w="1306"/>
        <w:gridCol w:w="6256"/>
      </w:tblGrid>
      <w:tr>
        <w:trPr/>
        <w:tc>
          <w:tcPr>
            <w:tcW w:w="1306" w:type="dxa"/>
            <w:tcBorders/>
            <w:shd w:fill="auto" w:val="clear"/>
            <w:vAlign w:val="center"/>
          </w:tcPr>
          <w:p>
            <w:pPr>
              <w:pStyle w:val="TableContents"/>
              <w:spacing w:before="0" w:after="0"/>
              <w:ind w:left="0" w:right="0" w:hanging="0"/>
              <w:rPr/>
            </w:pPr>
            <w:r>
              <w:rPr/>
              <w:t>​</w:t>
            </w:r>
          </w:p>
        </w:tc>
        <w:tc>
          <w:tcPr>
            <w:tcW w:w="625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c>
          <w:tcPr>
            <w:tcW w:w="625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625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6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F. Haran</w:t>
            </w:r>
          </w:p>
        </w:tc>
      </w:tr>
      <w:tr>
        <w:trPr/>
        <w:tc>
          <w:tcPr>
            <w:tcW w:w="1306" w:type="dxa"/>
            <w:tcBorders/>
            <w:shd w:fill="auto" w:val="clear"/>
            <w:vAlign w:val="center"/>
          </w:tcPr>
          <w:p>
            <w:pPr>
              <w:pStyle w:val="TableContents"/>
              <w:spacing w:before="0" w:after="0"/>
              <w:ind w:left="0" w:right="0" w:hanging="0"/>
              <w:rPr/>
            </w:pPr>
            <w:r>
              <w:rPr/>
              <w:t>​</w:t>
            </w:r>
          </w:p>
        </w:tc>
        <w:tc>
          <w:tcPr>
            <w:tcW w:w="6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James F. Haran</w:t>
            </w:r>
          </w:p>
        </w:tc>
      </w:tr>
      <w:tr>
        <w:trPr/>
        <w:tc>
          <w:tcPr>
            <w:tcW w:w="1306" w:type="dxa"/>
            <w:tcBorders/>
            <w:shd w:fill="auto" w:val="clear"/>
            <w:vAlign w:val="center"/>
          </w:tcPr>
          <w:p>
            <w:pPr>
              <w:pStyle w:val="TableContents"/>
              <w:spacing w:before="0" w:after="0"/>
              <w:ind w:left="0" w:right="0" w:hanging="0"/>
              <w:rPr/>
            </w:pPr>
            <w:r>
              <w:rPr/>
              <w:t>​</w:t>
            </w:r>
          </w:p>
        </w:tc>
        <w:tc>
          <w:tcPr>
            <w:tcW w:w="6256" w:type="dxa"/>
            <w:tcBorders/>
            <w:shd w:fill="auto" w:val="clear"/>
            <w:vAlign w:val="center"/>
          </w:tcPr>
          <w:p>
            <w:pPr>
              <w:pStyle w:val="TableContents"/>
              <w:spacing w:before="0" w:after="0"/>
              <w:ind w:left="22" w:right="0" w:hanging="0"/>
              <w:rPr>
                <w:rFonts w:ascii="Times New Roman;Times;serif" w:hAnsi="Times New Roman;Times;serif"/>
                <w:sz w:val="20"/>
              </w:rPr>
            </w:pPr>
            <w:r>
              <w:rPr>
                <w:rFonts w:ascii="Times New Roman;Times;serif" w:hAnsi="Times New Roman;Times;serif"/>
                <w:sz w:val="20"/>
              </w:rPr>
              <w:t>Title:   Chief Financial Officer (Principal Financial and Accounting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69" w:name="xelb-20221231xex32d1.htm"/>
      <w:bookmarkStart w:id="1070" w:name="ksxelb20221231xex32d1"/>
      <w:bookmarkEnd w:id="1069"/>
      <w:bookmarkEnd w:id="1070"/>
      <w:r>
        <w:rPr>
          <w:rFonts w:ascii="Times New Roman;Times;serif" w:hAnsi="Times New Roman;Times;serif"/>
          <w:b/>
          <w:sz w:val="20"/>
        </w:rPr>
        <w:t>EXHIBIT 32(i).1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2022 fully complies with the requirements of Section 13(a) or 15(d) of the Securities Exchange Act of 1934 and information contained in that Form 10-K fairly presents, in all material respects, the financial condition and results of operations of the Registrant.</w:t>
      </w:r>
    </w:p>
    <w:p>
      <w:pPr>
        <w:pStyle w:val="TextBody"/>
        <w:spacing w:before="0" w:after="0"/>
        <w:ind w:left="0" w:right="0" w:hanging="0"/>
        <w:rPr/>
      </w:pPr>
      <w:r>
        <w:rPr/>
        <w:t>​</w:t>
      </w:r>
    </w:p>
    <w:tbl>
      <w:tblPr>
        <w:tblW w:w="9017" w:type="dxa"/>
        <w:jc w:val="center"/>
        <w:tblInd w:w="0" w:type="dxa"/>
        <w:tblCellMar>
          <w:top w:w="0" w:type="dxa"/>
          <w:left w:w="0" w:type="dxa"/>
          <w:bottom w:w="0" w:type="dxa"/>
          <w:right w:w="0" w:type="dxa"/>
        </w:tblCellMar>
      </w:tblPr>
      <w:tblGrid>
        <w:gridCol w:w="1306"/>
        <w:gridCol w:w="7711"/>
      </w:tblGrid>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Robert W. D’Loren</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Robert W. D’Loren</w:t>
            </w:r>
          </w:p>
        </w:tc>
      </w:tr>
      <w:tr>
        <w:trPr/>
        <w:tc>
          <w:tcPr>
            <w:tcW w:w="1306" w:type="dxa"/>
            <w:tcBorders/>
            <w:shd w:fill="auto" w:val="clear"/>
            <w:vAlign w:val="center"/>
          </w:tcPr>
          <w:p>
            <w:pPr>
              <w:pStyle w:val="TableContents"/>
              <w:spacing w:before="0" w:after="0"/>
              <w:ind w:left="0" w:right="0" w:hanging="0"/>
              <w:rPr/>
            </w:pPr>
            <w:r>
              <w:rPr/>
              <w:t>​</w:t>
            </w:r>
          </w:p>
        </w:tc>
        <w:tc>
          <w:tcPr>
            <w:tcW w:w="7711" w:type="dxa"/>
            <w:tcBorders/>
            <w:shd w:fill="auto" w:val="clear"/>
            <w:vAlign w:val="center"/>
          </w:tcPr>
          <w:p>
            <w:pPr>
              <w:pStyle w:val="TableContents"/>
              <w:spacing w:before="0" w:after="0"/>
              <w:ind w:left="22" w:right="0" w:hanging="0"/>
              <w:rPr>
                <w:rFonts w:ascii="Times New Roman;Times;serif" w:hAnsi="Times New Roman;Times;serif"/>
                <w:sz w:val="20"/>
              </w:rPr>
            </w:pPr>
            <w:r>
              <w:rPr>
                <w:rFonts w:ascii="Times New Roman;Times;serif" w:hAnsi="Times New Roman;Times;serif"/>
                <w:sz w:val="20"/>
              </w:rPr>
              <w:t>Title: Chairman, President, Chief Executive Officer and Director (Principal Executive Officer)</w:t>
            </w:r>
          </w:p>
        </w:tc>
      </w:tr>
    </w:tbl>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Xcel Brands, Inc. and will be retained by Xcel Brands, Inc. and furnished to the Securities and Exchange Commission or its staff upon request.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71" w:name="xelb-20221231xex32d2.htm"/>
      <w:bookmarkStart w:id="1072" w:name="ksxelb20221231xex32d2"/>
      <w:bookmarkEnd w:id="1071"/>
      <w:bookmarkEnd w:id="1072"/>
      <w:r>
        <w:rPr>
          <w:rFonts w:ascii="Times New Roman;Times;serif" w:hAnsi="Times New Roman;Times;serif"/>
          <w:b/>
          <w:sz w:val="20"/>
        </w:rPr>
        <w:t>EXHIBIT 32(i).2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2022 fully complies with the requirements of Section 13(a) or 15(d) of the Securities Exchange Act of 1934 and information contained in that Form 10-K fairly presents, in all material respects, the financial condition and results of operations of the Registrant.</w:t>
      </w:r>
    </w:p>
    <w:p>
      <w:pPr>
        <w:pStyle w:val="TextBody"/>
        <w:spacing w:before="0" w:after="0"/>
        <w:ind w:left="0" w:right="0" w:hanging="0"/>
        <w:rPr/>
      </w:pPr>
      <w:r>
        <w:rPr/>
        <w:t>​</w:t>
      </w:r>
    </w:p>
    <w:tbl>
      <w:tblPr>
        <w:tblW w:w="7472" w:type="dxa"/>
        <w:jc w:val="center"/>
        <w:tblInd w:w="0" w:type="dxa"/>
        <w:tblCellMar>
          <w:top w:w="0" w:type="dxa"/>
          <w:left w:w="0" w:type="dxa"/>
          <w:bottom w:w="0" w:type="dxa"/>
          <w:right w:w="0" w:type="dxa"/>
        </w:tblCellMar>
      </w:tblPr>
      <w:tblGrid>
        <w:gridCol w:w="1306"/>
        <w:gridCol w:w="6166"/>
      </w:tblGrid>
      <w:tr>
        <w:trPr/>
        <w:tc>
          <w:tcPr>
            <w:tcW w:w="1306" w:type="dxa"/>
            <w:tcBorders/>
            <w:shd w:fill="auto" w:val="clear"/>
            <w:vAlign w:val="center"/>
          </w:tcPr>
          <w:p>
            <w:pPr>
              <w:pStyle w:val="TableContents"/>
              <w:spacing w:before="0" w:after="0"/>
              <w:ind w:left="0" w:right="0" w:hanging="0"/>
              <w:rPr/>
            </w:pPr>
            <w:r>
              <w:rPr/>
              <w:t>​</w:t>
            </w:r>
          </w:p>
        </w:tc>
        <w:tc>
          <w:tcPr>
            <w:tcW w:w="616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c>
          <w:tcPr>
            <w:tcW w:w="616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6166" w:type="dxa"/>
            <w:tcBorders/>
            <w:shd w:fill="auto"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61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F. Haran</w:t>
            </w:r>
          </w:p>
        </w:tc>
      </w:tr>
      <w:tr>
        <w:trPr/>
        <w:tc>
          <w:tcPr>
            <w:tcW w:w="1306" w:type="dxa"/>
            <w:tcBorders/>
            <w:shd w:fill="auto" w:val="clear"/>
            <w:vAlign w:val="center"/>
          </w:tcPr>
          <w:p>
            <w:pPr>
              <w:pStyle w:val="TableContents"/>
              <w:spacing w:before="0" w:after="0"/>
              <w:ind w:left="0" w:right="0" w:hanging="0"/>
              <w:rPr/>
            </w:pPr>
            <w:r>
              <w:rPr/>
              <w:t>​</w:t>
            </w:r>
          </w:p>
        </w:tc>
        <w:tc>
          <w:tcPr>
            <w:tcW w:w="6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James F. Haran</w:t>
            </w:r>
          </w:p>
        </w:tc>
      </w:tr>
      <w:tr>
        <w:trPr/>
        <w:tc>
          <w:tcPr>
            <w:tcW w:w="1306" w:type="dxa"/>
            <w:tcBorders/>
            <w:shd w:fill="auto" w:val="clear"/>
            <w:vAlign w:val="center"/>
          </w:tcPr>
          <w:p>
            <w:pPr>
              <w:pStyle w:val="TableContents"/>
              <w:spacing w:before="0" w:after="0"/>
              <w:ind w:left="0" w:right="0" w:hanging="0"/>
              <w:rPr/>
            </w:pPr>
            <w:r>
              <w:rPr/>
              <w:t>​</w:t>
            </w:r>
          </w:p>
        </w:tc>
        <w:tc>
          <w:tcPr>
            <w:tcW w:w="6166" w:type="dxa"/>
            <w:tcBorders/>
            <w:shd w:fill="auto" w:val="clear"/>
            <w:vAlign w:val="center"/>
          </w:tcPr>
          <w:p>
            <w:pPr>
              <w:pStyle w:val="TableContents"/>
              <w:spacing w:before="0" w:after="0"/>
              <w:ind w:left="22" w:right="0" w:hanging="0"/>
              <w:rPr>
                <w:rFonts w:ascii="Times New Roman;Times;serif" w:hAnsi="Times New Roman;Times;serif"/>
                <w:sz w:val="20"/>
              </w:rPr>
            </w:pPr>
            <w:r>
              <w:rPr>
                <w:rFonts w:ascii="Times New Roman;Times;serif" w:hAnsi="Times New Roman;Times;serif"/>
                <w:sz w:val="20"/>
              </w:rPr>
              <w:t>Title: Chief Financial Officer (Principal Financial and Accounting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Xcel Brands, Inc. and will be retained by Xcel Brands, Inc. and furnished to the Securities and Exchange Commission or its staff upon request.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73" w:name="xelb-20221231xex99d1.htm"/>
      <w:bookmarkStart w:id="1074" w:name="ksxelb20221231xex99d1"/>
      <w:bookmarkEnd w:id="1073"/>
      <w:bookmarkEnd w:id="1074"/>
      <w:r>
        <w:rPr>
          <w:rFonts w:ascii="Times New Roman;Times;serif" w:hAnsi="Times New Roman;Times;serif"/>
          <w:b/>
          <w:sz w:val="20"/>
        </w:rPr>
        <w:t>Exhibit 99.1</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3600" w:right="2430" w:hanging="0"/>
        <w:rPr/>
      </w:pPr>
      <w:r>
        <w:rPr/>
        <w:t> </w:t>
      </w:r>
    </w:p>
    <w:p>
      <w:pPr>
        <w:pStyle w:val="TextBody"/>
        <w:spacing w:before="0" w:after="0"/>
        <w:ind w:left="3600" w:right="2430" w:hanging="0"/>
        <w:rPr/>
      </w:pPr>
      <w:r>
        <w:rPr/>
        <w:t>​</w:t>
      </w:r>
    </w:p>
    <w:p>
      <w:pPr>
        <w:pStyle w:val="TextBody"/>
        <w:spacing w:before="0" w:after="0"/>
        <w:ind w:left="3600" w:right="243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IM TOPCO, LLC</w:t>
      </w:r>
    </w:p>
    <w:p>
      <w:pPr>
        <w:pStyle w:val="TextBody"/>
        <w:spacing w:before="0" w:after="0"/>
        <w:ind w:left="0" w:right="0" w:hanging="0"/>
        <w:jc w:val="center"/>
        <w:rPr>
          <w:rFonts w:ascii="Times New Roman;Times;serif" w:hAnsi="Times New Roman;Times;serif"/>
          <w:sz w:val="28"/>
        </w:rPr>
      </w:pPr>
      <w:r>
        <w:rPr>
          <w:rFonts w:ascii="Times New Roman;Times;serif" w:hAnsi="Times New Roman;Times;serif"/>
          <w:sz w:val="28"/>
        </w:rPr>
        <w:t>(A Limited Liability Company)</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jc w:val="center"/>
        <w:rPr/>
      </w:pPr>
      <w:bookmarkStart w:id="1075" w:name="_Hlk129785598"/>
      <w:bookmarkEnd w:id="1075"/>
      <w:r>
        <w:rPr/>
        <w:t> </w:t>
      </w:r>
      <w:r>
        <w:rPr>
          <w:rFonts w:ascii="Times New Roman;Times;serif" w:hAnsi="Times New Roman;Times;serif"/>
          <w:sz w:val="28"/>
        </w:rPr>
        <w:t>Financial Statements as of December 31, 2022 and for the Period from May 11, 2022 (inception) through December 31, 2022 and Independent Auditor’s Report</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Index</w:t>
      </w:r>
    </w:p>
    <w:p>
      <w:pPr>
        <w:pStyle w:val="TextBody"/>
        <w:spacing w:before="0" w:after="0"/>
        <w:ind w:left="0" w:right="0" w:hanging="0"/>
        <w:jc w:val="both"/>
        <w:rPr/>
      </w:pPr>
      <w:r>
        <w:rPr/>
        <w:t> </w:t>
      </w:r>
    </w:p>
    <w:tbl>
      <w:tblPr>
        <w:tblW w:w="9204" w:type="dxa"/>
        <w:jc w:val="left"/>
        <w:tblInd w:w="0" w:type="dxa"/>
        <w:tblCellMar>
          <w:top w:w="0" w:type="dxa"/>
          <w:left w:w="0" w:type="dxa"/>
          <w:bottom w:w="0" w:type="dxa"/>
          <w:right w:w="0" w:type="dxa"/>
        </w:tblCellMar>
      </w:tblPr>
      <w:tblGrid>
        <w:gridCol w:w="8176"/>
        <w:gridCol w:w="146"/>
        <w:gridCol w:w="146"/>
        <w:gridCol w:w="736"/>
      </w:tblGrid>
      <w:tr>
        <w:trPr/>
        <w:tc>
          <w:tcPr>
            <w:tcW w:w="8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191760" cy="175260"/>
                      <wp:effectExtent l="0" t="0" r="0" b="0"/>
                      <wp:wrapNone/>
                      <wp:docPr id="199" name="Frame199"/>
                      <a:graphic xmlns:a="http://schemas.openxmlformats.org/drawingml/2006/main">
                        <a:graphicData uri="http://schemas.microsoft.com/office/word/2010/wordprocessingShape">
                          <wps:wsp>
                            <wps:cNvSpPr txBox="1"/>
                            <wps:spPr>
                              <a:xfrm>
                                <a:off x="0" y="0"/>
                                <a:ext cx="519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2710" cy="175260"/>
                      <wp:effectExtent l="0" t="0" r="0" b="0"/>
                      <wp:wrapNone/>
                      <wp:docPr id="200" name="Frame20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710" cy="175260"/>
                      <wp:effectExtent l="0" t="0" r="0" b="0"/>
                      <wp:wrapNone/>
                      <wp:docPr id="201" name="Frame2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7360" cy="175260"/>
                      <wp:effectExtent l="0" t="0" r="0" b="0"/>
                      <wp:wrapNone/>
                      <wp:docPr id="202" name="Frame202"/>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Page(s)</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Auditor’s Report</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Sheet as of December 31, 2022</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Statement of Income for the Period May 11, 2022 (inception) through December 31, 2022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Statement of Members’ Equity for the Period May 11, 2022 (inception) through December 31, 2022</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Statement of Cash Flows for the Period May 11, 2022 (inception) through December 31, 2022</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7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pPr>
            <w:r>
              <w:rPr/>
              <w:t>​</w:t>
            </w:r>
          </w:p>
        </w:tc>
      </w:tr>
      <w:tr>
        <w:trPr/>
        <w:tc>
          <w:tcPr>
            <w:tcW w:w="81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Notes to Financial Statements</w:t>
            </w:r>
          </w:p>
        </w:tc>
        <w:tc>
          <w:tcPr>
            <w:tcW w:w="146"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7-12</w:t>
            </w:r>
          </w:p>
        </w:tc>
      </w:tr>
    </w:tbl>
    <w:p>
      <w:pPr>
        <w:pStyle w:val="TextBody"/>
        <w:spacing w:before="0" w:after="0"/>
        <w:ind w:left="0" w:right="0" w:hanging="0"/>
        <w:rPr/>
      </w:pPr>
      <w:r>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rPr/>
      </w:pPr>
      <w:r>
        <w:rPr/>
        <w:t>​</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1215390" cy="1447800"/>
                <wp:effectExtent l="0" t="0" r="0" b="0"/>
                <wp:wrapSquare wrapText="largest"/>
                <wp:docPr id="203" name="Frame203"/>
                <a:graphic xmlns:a="http://schemas.openxmlformats.org/drawingml/2006/main">
                  <a:graphicData uri="http://schemas.microsoft.com/office/word/2010/wordprocessingShape">
                    <wps:wsp>
                      <wps:cNvSpPr txBox="1"/>
                      <wps:spPr>
                        <a:xfrm>
                          <a:off x="0" y="0"/>
                          <a:ext cx="1215390" cy="1447800"/>
                        </a:xfrm>
                        <a:prstGeom prst="rect"/>
                      </wps:spPr>
                      <wps:txbx>
                        <w:txbxContent>
                          <w:p>
                            <w:pPr>
                              <w:pStyle w:val="TextBody"/>
                              <w:spacing w:before="0" w:after="0"/>
                              <w:rPr/>
                            </w:pPr>
                            <w:r>
                              <w:rPr/>
                              <w:drawing>
                                <wp:inline distT="0" distB="0" distL="0" distR="0">
                                  <wp:extent cx="1215390" cy="1447800"/>
                                  <wp:effectExtent l="0" t="0" r="0" b="0"/>
                                  <wp:docPr id="2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 descr=""/>
                                          <pic:cNvPicPr>
                                            <a:picLocks noChangeAspect="1" noChangeArrowheads="1"/>
                                          </pic:cNvPicPr>
                                        </pic:nvPicPr>
                                        <pic:blipFill>
                                          <a:blip r:embed="rId17"/>
                                          <a:stretch>
                                            <a:fillRect/>
                                          </a:stretch>
                                        </pic:blipFill>
                                        <pic:spPr bwMode="auto">
                                          <a:xfrm>
                                            <a:off x="0" y="0"/>
                                            <a:ext cx="1215390" cy="14478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5.7pt;height:11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0" distL="0" distR="0">
                            <wp:extent cx="1215390" cy="1447800"/>
                            <wp:effectExtent l="0" t="0" r="0" b="0"/>
                            <wp:docPr id="20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 descr=""/>
                                    <pic:cNvPicPr>
                                      <a:picLocks noChangeAspect="1" noChangeArrowheads="1"/>
                                    </pic:cNvPicPr>
                                  </pic:nvPicPr>
                                  <pic:blipFill>
                                    <a:blip r:embed="rId17"/>
                                    <a:stretch>
                                      <a:fillRect/>
                                    </a:stretch>
                                  </pic:blipFill>
                                  <pic:spPr bwMode="auto">
                                    <a:xfrm>
                                      <a:off x="0" y="0"/>
                                      <a:ext cx="1215390" cy="1447800"/>
                                    </a:xfrm>
                                    <a:prstGeom prst="rect">
                                      <a:avLst/>
                                    </a:prstGeom>
                                  </pic:spPr>
                                </pic:pic>
                              </a:graphicData>
                            </a:graphic>
                          </wp:inline>
                        </w:drawing>
                      </w:r>
                    </w:p>
                  </w:txbxContent>
                </v:textbox>
                <w10:wrap type="square" side="right"/>
              </v:rect>
            </w:pict>
          </mc:Fallback>
        </mc:AlternateConten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INDEPENDENT AUDITOR’S REPORT</w:t>
      </w:r>
    </w:p>
    <w:p>
      <w:pPr>
        <w:pStyle w:val="TextBody"/>
        <w:spacing w:before="0" w:after="0"/>
        <w:ind w:left="0" w:right="0" w:hanging="0"/>
        <w:jc w:val="both"/>
        <w:rPr/>
      </w:pPr>
      <w:r>
        <w:rPr/>
        <w:t> </w:t>
      </w:r>
    </w:p>
    <w:p>
      <w:pPr>
        <w:pStyle w:val="TextBody"/>
        <w:spacing w:before="120" w:after="120"/>
        <w:ind w:left="1440" w:right="0" w:hanging="0"/>
        <w:rPr>
          <w:rFonts w:ascii="Arial;Helvetica;sans-serif" w:hAnsi="Arial;Helvetica;sans-serif"/>
          <w:sz w:val="20"/>
        </w:rPr>
      </w:pPr>
      <w:r>
        <w:rPr>
          <w:rFonts w:ascii="Arial;Helvetica;sans-serif" w:hAnsi="Arial;Helvetica;sans-serif"/>
          <w:sz w:val="20"/>
        </w:rPr>
        <w:t>To the Members and Managers</w:t>
        <w:br/>
        <w:t>of IM Topco, LLC</w:t>
      </w:r>
    </w:p>
    <w:p>
      <w:pPr>
        <w:pStyle w:val="TextBody"/>
        <w:spacing w:before="120" w:after="120"/>
        <w:ind w:left="1440" w:right="0" w:hanging="0"/>
        <w:jc w:val="both"/>
        <w:rPr>
          <w:rFonts w:ascii="Arial;Helvetica;sans-serif" w:hAnsi="Arial;Helvetica;sans-serif"/>
          <w:b/>
          <w:sz w:val="20"/>
        </w:rPr>
      </w:pPr>
      <w:r>
        <w:rPr>
          <w:rFonts w:ascii="Arial;Helvetica;sans-serif" w:hAnsi="Arial;Helvetica;sans-serif"/>
          <w:b/>
          <w:sz w:val="20"/>
        </w:rPr>
        <w:t>Opinion</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We have audited the accompanying financial statements of IM Topco, LLC (a Delaware corporation), which comprise the balance sheet as of December 31, 2022, and the related statements of income, member’s equity, and cash flows for the period from May 11, 2022 (inception) to December 31, 2022, and the related notes to the financial statements.</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In our opinion, the financial statements referred to above present fairly, in all material respects, the financial position of IM Topco, LLC as of December 31, 2022, and the results of its operations and its cash flows for the initial period then ended in accordance with accounting principles generally accepted in the United States of America.</w:t>
      </w:r>
    </w:p>
    <w:p>
      <w:pPr>
        <w:pStyle w:val="TextBody"/>
        <w:spacing w:before="120" w:after="120"/>
        <w:ind w:left="1440" w:right="0" w:hanging="0"/>
        <w:jc w:val="both"/>
        <w:rPr>
          <w:rFonts w:ascii="Arial;Helvetica;sans-serif" w:hAnsi="Arial;Helvetica;sans-serif"/>
          <w:b/>
          <w:sz w:val="20"/>
        </w:rPr>
      </w:pPr>
      <w:r>
        <w:rPr>
          <w:rFonts w:ascii="Arial;Helvetica;sans-serif" w:hAnsi="Arial;Helvetica;sans-serif"/>
          <w:b/>
          <w:sz w:val="20"/>
        </w:rPr>
        <w:t>Basis for Opinion</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We conducted our audit in accordance with auditing standards generally accepted in the United States of America. Our responsibilities under those standards are further described in the Auditor’s Responsibilities for the Audit of the Financial Statements section of our report. We are required to be independent of IM Topco, LLC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spacing w:before="120" w:after="120"/>
        <w:ind w:left="1440" w:right="0" w:hanging="0"/>
        <w:jc w:val="both"/>
        <w:rPr>
          <w:rFonts w:ascii="Arial;Helvetica;sans-serif" w:hAnsi="Arial;Helvetica;sans-serif"/>
          <w:b/>
          <w:sz w:val="20"/>
        </w:rPr>
      </w:pPr>
      <w:r>
        <w:rPr>
          <w:rFonts w:ascii="Arial;Helvetica;sans-serif" w:hAnsi="Arial;Helvetica;sans-serif"/>
          <w:b/>
          <w:sz w:val="20"/>
        </w:rPr>
        <w:t>Responsibilities of Management for the Financial Statements</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In preparing the financial statements, management is required to evaluate whether there are conditions or events, considered in the aggregate, that raise substantial doubt about IM Topco, LLC’s ability to continue as a going concern within one year after the date that the financial statements are available to be issued.</w:t>
      </w:r>
    </w:p>
    <w:p>
      <w:pPr>
        <w:pStyle w:val="TextBody"/>
        <w:spacing w:before="120" w:after="120"/>
        <w:ind w:left="1440" w:right="0" w:hanging="0"/>
        <w:jc w:val="both"/>
        <w:rPr>
          <w:rFonts w:ascii="Arial;Helvetica;sans-serif" w:hAnsi="Arial;Helvetica;sans-serif"/>
          <w:b/>
          <w:sz w:val="20"/>
        </w:rPr>
      </w:pPr>
      <w:r>
        <w:rPr>
          <w:rFonts w:ascii="Arial;Helvetica;sans-serif" w:hAnsi="Arial;Helvetica;sans-serif"/>
          <w:b/>
          <w:sz w:val="20"/>
        </w:rPr>
        <w:t>Auditor’s Responsibilities for the Audit of the Financial Statements</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spacing w:before="120" w:after="120"/>
        <w:ind w:left="1440" w:right="0" w:hanging="0"/>
        <w:jc w:val="both"/>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r>
        <mc:AlternateContent>
          <mc:Choice Requires="wps">
            <w:drawing>
              <wp:anchor behindDoc="0" distT="0" distB="0" distL="0" distR="114300" simplePos="0" locked="0" layoutInCell="1" allowOverlap="1" relativeHeight="3">
                <wp:simplePos x="0" y="0"/>
                <wp:positionH relativeFrom="column">
                  <wp:align>left</wp:align>
                </wp:positionH>
                <wp:positionV relativeFrom="line">
                  <wp:posOffset>635</wp:posOffset>
                </wp:positionV>
                <wp:extent cx="1215390" cy="1447800"/>
                <wp:effectExtent l="0" t="0" r="0" b="0"/>
                <wp:wrapSquare wrapText="largest"/>
                <wp:docPr id="206" name="Frame204"/>
                <a:graphic xmlns:a="http://schemas.openxmlformats.org/drawingml/2006/main">
                  <a:graphicData uri="http://schemas.microsoft.com/office/word/2010/wordprocessingShape">
                    <wps:wsp>
                      <wps:cNvSpPr txBox="1"/>
                      <wps:spPr>
                        <a:xfrm>
                          <a:off x="0" y="0"/>
                          <a:ext cx="1215390" cy="1447800"/>
                        </a:xfrm>
                        <a:prstGeom prst="rect"/>
                      </wps:spPr>
                      <wps:txbx>
                        <w:txbxContent>
                          <w:p>
                            <w:pPr>
                              <w:pStyle w:val="TextBody"/>
                              <w:spacing w:before="0" w:after="0"/>
                              <w:rPr/>
                            </w:pPr>
                            <w:r>
                              <w:rPr/>
                              <w:drawing>
                                <wp:inline distT="0" distB="0" distL="0" distR="0">
                                  <wp:extent cx="1215390" cy="1447800"/>
                                  <wp:effectExtent l="0" t="0" r="0" b="0"/>
                                  <wp:docPr id="20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 descr=""/>
                                          <pic:cNvPicPr>
                                            <a:picLocks noChangeAspect="1" noChangeArrowheads="1"/>
                                          </pic:cNvPicPr>
                                        </pic:nvPicPr>
                                        <pic:blipFill>
                                          <a:blip r:embed="rId18"/>
                                          <a:stretch>
                                            <a:fillRect/>
                                          </a:stretch>
                                        </pic:blipFill>
                                        <pic:spPr bwMode="auto">
                                          <a:xfrm>
                                            <a:off x="0" y="0"/>
                                            <a:ext cx="1215390" cy="14478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5.7pt;height:11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0" distL="0" distR="0">
                            <wp:extent cx="1215390" cy="1447800"/>
                            <wp:effectExtent l="0" t="0" r="0" b="0"/>
                            <wp:docPr id="2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 descr=""/>
                                    <pic:cNvPicPr>
                                      <a:picLocks noChangeAspect="1" noChangeArrowheads="1"/>
                                    </pic:cNvPicPr>
                                  </pic:nvPicPr>
                                  <pic:blipFill>
                                    <a:blip r:embed="rId18"/>
                                    <a:stretch>
                                      <a:fillRect/>
                                    </a:stretch>
                                  </pic:blipFill>
                                  <pic:spPr bwMode="auto">
                                    <a:xfrm>
                                      <a:off x="0" y="0"/>
                                      <a:ext cx="1215390" cy="1447800"/>
                                    </a:xfrm>
                                    <a:prstGeom prst="rect">
                                      <a:avLst/>
                                    </a:prstGeom>
                                  </pic:spPr>
                                </pic:pic>
                              </a:graphicData>
                            </a:graphic>
                          </wp:inline>
                        </w:drawing>
                      </w:r>
                    </w:p>
                  </w:txbxContent>
                </v:textbox>
                <w10:wrap type="square" side="right"/>
              </v:rect>
            </w:pict>
          </mc:Fallback>
        </mc:AlternateContent>
      </w:r>
    </w:p>
    <w:p>
      <w:pPr>
        <w:pStyle w:val="TextBody"/>
        <w:spacing w:before="0" w:after="120"/>
        <w:ind w:left="1440" w:right="0" w:hanging="0"/>
        <w:jc w:val="both"/>
        <w:rPr/>
      </w:pPr>
      <w:r>
        <w:rPr/>
        <w:t>​</w:t>
      </w:r>
    </w:p>
    <w:p>
      <w:pPr>
        <w:pStyle w:val="TextBody"/>
        <w:spacing w:before="120" w:after="120"/>
        <w:ind w:left="1440" w:right="0" w:hanging="0"/>
        <w:jc w:val="both"/>
        <w:rPr>
          <w:rFonts w:ascii="Arial;Helvetica;sans-serif" w:hAnsi="Arial;Helvetica;sans-serif"/>
          <w:sz w:val="20"/>
        </w:rPr>
      </w:pPr>
      <w:r>
        <w:rPr>
          <w:rFonts w:ascii="Arial;Helvetica;sans-serif" w:hAnsi="Arial;Helvetica;sans-serif"/>
          <w:sz w:val="20"/>
        </w:rPr>
        <w:t>In performing an audit in accordance with generally accepted auditing standards, we:</w:t>
      </w:r>
    </w:p>
    <w:tbl>
      <w:tblPr>
        <w:tblW w:w="8073" w:type="dxa"/>
        <w:jc w:val="left"/>
        <w:tblInd w:w="0" w:type="dxa"/>
        <w:tblCellMar>
          <w:top w:w="0" w:type="dxa"/>
          <w:left w:w="0" w:type="dxa"/>
          <w:bottom w:w="0" w:type="dxa"/>
          <w:right w:w="0" w:type="dxa"/>
        </w:tblCellMar>
      </w:tblPr>
      <w:tblGrid>
        <w:gridCol w:w="23"/>
        <w:gridCol w:w="170"/>
        <w:gridCol w:w="78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8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Exercise professional judgment and maintain professional skepticism throughout the audit.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IM Topco, LLC</w:t>
            </w:r>
            <w:r>
              <w:rPr>
                <w:caps w:val="false"/>
                <w:smallCaps w:val="false"/>
              </w:rPr>
              <w:t>’</w:t>
            </w:r>
            <w:r>
              <w:rPr>
                <w:rFonts w:ascii="Arial;Helvetica;sans-serif" w:hAnsi="Arial;Helvetica;sans-serif"/>
                <w:b w:val="false"/>
                <w:i w:val="false"/>
                <w:caps w:val="false"/>
                <w:smallCaps w:val="false"/>
                <w:sz w:val="20"/>
              </w:rPr>
              <w:t>s internal control. Accordingly, no such opinion is expressed.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Conclude whether, in our judgment, there are conditions or events, considered in the aggregate, that raise substantial doubt about IM Topco, LLC</w:t>
            </w:r>
            <w:r>
              <w:rPr>
                <w:caps w:val="false"/>
                <w:smallCaps w:val="false"/>
              </w:rPr>
              <w:t>’</w:t>
            </w:r>
            <w:r>
              <w:rPr>
                <w:rFonts w:ascii="Arial;Helvetica;sans-serif" w:hAnsi="Arial;Helvetica;sans-serif"/>
                <w:b w:val="false"/>
                <w:i w:val="false"/>
                <w:caps w:val="false"/>
                <w:smallCaps w:val="false"/>
                <w:sz w:val="20"/>
              </w:rPr>
              <w:t>s ability to continue as a going concern for a reasonable period of time.</w:t>
            </w:r>
          </w:p>
        </w:tc>
      </w:tr>
    </w:tbl>
    <w:p>
      <w:pPr>
        <w:pStyle w:val="TextBody"/>
        <w:spacing w:before="120" w:after="120"/>
        <w:ind w:left="1800" w:right="0" w:hanging="0"/>
        <w:jc w:val="both"/>
        <w:rPr>
          <w:rFonts w:ascii="Arial;Helvetica;sans-serif" w:hAnsi="Arial;Helvetica;sans-serif"/>
          <w:sz w:val="20"/>
        </w:rPr>
      </w:pPr>
      <w:r>
        <w:rPr>
          <w:rFonts w:ascii="Arial;Helvetica;sans-serif" w:hAnsi="Arial;Helvetica;sans-serif"/>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spacing w:before="120" w:after="120"/>
        <w:ind w:left="1800" w:right="0" w:hanging="0"/>
        <w:jc w:val="both"/>
        <w:rPr>
          <w:rFonts w:ascii="Arial;Helvetica;sans-serif" w:hAnsi="Arial;Helvetica;sans-serif"/>
          <w:b/>
          <w:sz w:val="20"/>
        </w:rPr>
      </w:pPr>
      <w:r>
        <w:rPr>
          <w:rFonts w:ascii="Arial;Helvetica;sans-serif" w:hAnsi="Arial;Helvetica;sans-serif"/>
          <w:b/>
          <w:sz w:val="20"/>
        </w:rPr>
        <w:t>/s/ Adeptus Partners, LLC</w:t>
      </w:r>
    </w:p>
    <w:p>
      <w:pPr>
        <w:pStyle w:val="TextBody"/>
        <w:spacing w:before="120" w:after="120"/>
        <w:ind w:left="1800" w:right="0" w:hanging="0"/>
        <w:jc w:val="both"/>
        <w:rPr>
          <w:rFonts w:ascii="Arial;Helvetica;sans-serif" w:hAnsi="Arial;Helvetica;sans-serif"/>
          <w:sz w:val="20"/>
        </w:rPr>
      </w:pPr>
      <w:r>
        <w:rPr>
          <w:rFonts w:ascii="Arial;Helvetica;sans-serif" w:hAnsi="Arial;Helvetica;sans-serif"/>
          <w:sz w:val="20"/>
        </w:rPr>
        <w:t>Ocean, NJ</w:t>
      </w:r>
    </w:p>
    <w:p>
      <w:pPr>
        <w:pStyle w:val="TextBody"/>
        <w:spacing w:before="120" w:after="120"/>
        <w:ind w:left="1800" w:right="0" w:hanging="0"/>
        <w:jc w:val="both"/>
        <w:rPr>
          <w:rFonts w:ascii="Arial;Helvetica;sans-serif" w:hAnsi="Arial;Helvetica;sans-serif"/>
          <w:sz w:val="20"/>
        </w:rPr>
      </w:pPr>
      <w:r>
        <w:rPr>
          <w:rFonts w:ascii="Arial;Helvetica;sans-serif" w:hAnsi="Arial;Helvetica;sans-serif"/>
          <w:sz w:val="20"/>
        </w:rPr>
        <w:t>March 29, 2023</w:t>
      </w:r>
    </w:p>
    <w:p>
      <w:pPr>
        <w:pStyle w:val="TextBody"/>
        <w:spacing w:before="0" w:after="120"/>
        <w:ind w:left="1800" w:right="0" w:hanging="0"/>
        <w:jc w:val="both"/>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120"/>
        <w:ind w:left="1800" w:right="0" w:hanging="0"/>
        <w:jc w:val="both"/>
        <w:rPr/>
      </w:pPr>
      <w:r>
        <w:rPr/>
        <w:t>​</w:t>
      </w:r>
    </w:p>
    <w:tbl>
      <w:tblPr>
        <w:tblW w:w="3361" w:type="dxa"/>
        <w:jc w:val="left"/>
        <w:tblInd w:w="0" w:type="dxa"/>
        <w:tblCellMar>
          <w:top w:w="0" w:type="dxa"/>
          <w:left w:w="0" w:type="dxa"/>
          <w:bottom w:w="0" w:type="dxa"/>
          <w:right w:w="0" w:type="dxa"/>
        </w:tblCellMar>
      </w:tblPr>
      <w:tblGrid>
        <w:gridCol w:w="3361"/>
      </w:tblGrid>
      <w:tr>
        <w:trPr/>
        <w:tc>
          <w:tcPr>
            <w:tcW w:w="336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20"/>
              </w:rPr>
              <w:t>IM TOPCO, LLC</w:t>
            </w:r>
          </w:p>
        </w:tc>
      </w:tr>
      <w:tr>
        <w:trPr/>
        <w:tc>
          <w:tcPr>
            <w:tcW w:w="3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tc>
      </w:tr>
      <w:tr>
        <w:trPr/>
        <w:tc>
          <w:tcPr>
            <w:tcW w:w="3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as of December 31, 2022</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thousands)</w:t>
            </w:r>
          </w:p>
        </w:tc>
      </w:tr>
      <w:tr>
        <w:trPr/>
        <w:tc>
          <w:tcPr>
            <w:tcW w:w="3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5676900" cy="3990975"/>
            <wp:effectExtent l="0" t="0" r="0" b="0"/>
            <wp:docPr id="2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 descr=""/>
                    <pic:cNvPicPr>
                      <a:picLocks noChangeAspect="1" noChangeArrowheads="1"/>
                    </pic:cNvPicPr>
                  </pic:nvPicPr>
                  <pic:blipFill>
                    <a:blip r:embed="rId19"/>
                    <a:stretch>
                      <a:fillRect/>
                    </a:stretch>
                  </pic:blipFill>
                  <pic:spPr bwMode="auto">
                    <a:xfrm>
                      <a:off x="0" y="0"/>
                      <a:ext cx="5676900" cy="39909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spacing w:before="0" w:after="0"/>
        <w:ind w:left="0" w:right="0" w:hanging="0"/>
        <w:rPr/>
      </w:pPr>
      <w:r>
        <w:rPr/>
        <w:t>​</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p>
    <w:tbl>
      <w:tblPr>
        <w:tblW w:w="5746" w:type="dxa"/>
        <w:jc w:val="left"/>
        <w:tblInd w:w="0" w:type="dxa"/>
        <w:tblCellMar>
          <w:top w:w="0" w:type="dxa"/>
          <w:left w:w="0" w:type="dxa"/>
          <w:bottom w:w="0" w:type="dxa"/>
          <w:right w:w="0" w:type="dxa"/>
        </w:tblCellMar>
      </w:tblPr>
      <w:tblGrid>
        <w:gridCol w:w="5746"/>
      </w:tblGrid>
      <w:tr>
        <w:trPr/>
        <w:tc>
          <w:tcPr>
            <w:tcW w:w="574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tc>
      </w:tr>
      <w:tr>
        <w:trPr/>
        <w:tc>
          <w:tcPr>
            <w:tcW w:w="57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tc>
      </w:tr>
      <w:tr>
        <w:trPr/>
        <w:tc>
          <w:tcPr>
            <w:tcW w:w="57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Statement of Income</w:t>
            </w:r>
          </w:p>
        </w:tc>
      </w:tr>
      <w:tr>
        <w:trPr/>
        <w:tc>
          <w:tcPr>
            <w:tcW w:w="57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Period May 11, 2022 (inception) through December 31, 2022</w:t>
            </w:r>
          </w:p>
        </w:tc>
      </w:tr>
      <w:tr>
        <w:trPr/>
        <w:tc>
          <w:tcPr>
            <w:tcW w:w="57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thousands)</w:t>
            </w:r>
          </w:p>
          <w:p>
            <w:pPr>
              <w:pStyle w:val="TableContents"/>
              <w:spacing w:before="0" w:after="0"/>
              <w:ind w:left="0" w:right="0" w:hanging="0"/>
              <w:jc w:val="center"/>
              <w:rPr/>
            </w:pPr>
            <w:r>
              <w:rPr/>
              <w:t>​</w:t>
            </w:r>
          </w:p>
          <w:p>
            <w:pPr>
              <w:pStyle w:val="TableContents"/>
              <w:spacing w:before="0" w:after="0"/>
              <w:ind w:left="0" w:right="0" w:hanging="0"/>
              <w:jc w:val="center"/>
              <w:rPr/>
            </w:pPr>
            <w:r>
              <w:rPr/>
              <w:t>​</w:t>
            </w:r>
          </w:p>
          <w:p>
            <w:pPr>
              <w:pStyle w:val="TableContents"/>
              <w:spacing w:before="0" w:after="0"/>
              <w:ind w:left="0" w:right="0" w:hanging="0"/>
              <w:jc w:val="center"/>
              <w:rPr/>
            </w:pPr>
            <w:r>
              <w:rPr/>
              <w:t>​</w:t>
            </w:r>
          </w:p>
        </w:tc>
      </w:tr>
    </w:tbl>
    <w:p>
      <w:pPr>
        <w:pStyle w:val="TextBody"/>
        <w:spacing w:before="0" w:after="0"/>
        <w:ind w:left="0" w:right="0" w:hanging="0"/>
        <w:jc w:val="center"/>
        <w:rPr/>
      </w:pPr>
      <w:r>
        <w:rPr/>
        <w:drawing>
          <wp:inline distT="0" distB="0" distL="0" distR="0">
            <wp:extent cx="4848225" cy="2286000"/>
            <wp:effectExtent l="0" t="0" r="0" b="0"/>
            <wp:docPr id="2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 descr=""/>
                    <pic:cNvPicPr>
                      <a:picLocks noChangeAspect="1" noChangeArrowheads="1"/>
                    </pic:cNvPicPr>
                  </pic:nvPicPr>
                  <pic:blipFill>
                    <a:blip r:embed="rId20"/>
                    <a:stretch>
                      <a:fillRect/>
                    </a:stretch>
                  </pic:blipFill>
                  <pic:spPr bwMode="auto">
                    <a:xfrm>
                      <a:off x="0" y="0"/>
                      <a:ext cx="4848225" cy="228600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 </w:t>
      </w:r>
    </w:p>
    <w:tbl>
      <w:tblPr>
        <w:tblW w:w="5791" w:type="dxa"/>
        <w:jc w:val="left"/>
        <w:tblInd w:w="0" w:type="dxa"/>
        <w:tblCellMar>
          <w:top w:w="0" w:type="dxa"/>
          <w:left w:w="0" w:type="dxa"/>
          <w:bottom w:w="0" w:type="dxa"/>
          <w:right w:w="0" w:type="dxa"/>
        </w:tblCellMar>
      </w:tblPr>
      <w:tblGrid>
        <w:gridCol w:w="5791"/>
      </w:tblGrid>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Statement of Members’ Equity</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Period May 11, 2022 (inception) through December 31, 2022 </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thousands)</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5648325" cy="3400425"/>
            <wp:effectExtent l="0" t="0" r="0" b="0"/>
            <wp:docPr id="2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 descr=""/>
                    <pic:cNvPicPr>
                      <a:picLocks noChangeAspect="1" noChangeArrowheads="1"/>
                    </pic:cNvPicPr>
                  </pic:nvPicPr>
                  <pic:blipFill>
                    <a:blip r:embed="rId21"/>
                    <a:stretch>
                      <a:fillRect/>
                    </a:stretch>
                  </pic:blipFill>
                  <pic:spPr bwMode="auto">
                    <a:xfrm>
                      <a:off x="0" y="0"/>
                      <a:ext cx="5648325" cy="3400425"/>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 </w:t>
      </w:r>
    </w:p>
    <w:tbl>
      <w:tblPr>
        <w:tblW w:w="5791" w:type="dxa"/>
        <w:jc w:val="center"/>
        <w:tblInd w:w="0" w:type="dxa"/>
        <w:tblCellMar>
          <w:top w:w="0" w:type="dxa"/>
          <w:left w:w="0" w:type="dxa"/>
          <w:bottom w:w="0" w:type="dxa"/>
          <w:right w:w="0" w:type="dxa"/>
        </w:tblCellMar>
      </w:tblPr>
      <w:tblGrid>
        <w:gridCol w:w="5791"/>
      </w:tblGrid>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Statement of Cash Flows</w:t>
            </w:r>
          </w:p>
        </w:tc>
      </w:tr>
      <w:tr>
        <w:trPr/>
        <w:tc>
          <w:tcPr>
            <w:tcW w:w="57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Period May 11, 2022 (inception) through December 31, 2022 </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thousands)</w:t>
            </w:r>
          </w:p>
        </w:tc>
      </w:tr>
    </w:tbl>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6638925" cy="5867400"/>
            <wp:effectExtent l="0" t="0" r="0" b="0"/>
            <wp:docPr id="2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 descr=""/>
                    <pic:cNvPicPr>
                      <a:picLocks noChangeAspect="1" noChangeArrowheads="1"/>
                    </pic:cNvPicPr>
                  </pic:nvPicPr>
                  <pic:blipFill>
                    <a:blip r:embed="rId22"/>
                    <a:stretch>
                      <a:fillRect/>
                    </a:stretch>
                  </pic:blipFill>
                  <pic:spPr bwMode="auto">
                    <a:xfrm>
                      <a:off x="0" y="0"/>
                      <a:ext cx="6638925" cy="5867400"/>
                    </a:xfrm>
                    <a:prstGeom prst="rect">
                      <a:avLst/>
                    </a:prstGeom>
                  </pic:spPr>
                </pic:pic>
              </a:graphicData>
            </a:graphic>
          </wp:inline>
        </w:drawing>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financial statements.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76" w:name="_Hlk129785773"/>
      <w:bookmarkEnd w:id="1076"/>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 – Organization and Nature of Operations</w:t>
      </w:r>
    </w:p>
    <w:p>
      <w:pPr>
        <w:pStyle w:val="TextBody"/>
        <w:spacing w:before="0" w:after="240"/>
        <w:ind w:left="0" w:right="0" w:hanging="0"/>
        <w:jc w:val="both"/>
        <w:rPr/>
      </w:pPr>
      <w:bookmarkStart w:id="1077" w:name="_Hlk129785287"/>
      <w:bookmarkEnd w:id="1077"/>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IM Topco, LLC (the “Company”) engages in the design, licensing, and marketing of the Isaac Mizrahi family of brands (the “Isaac Mizrahi Brands”) with a focus on a variety of product categories featuring the Isaac Mizrahi Brands. The Company operates in a “working capital light” business model, licensing the Isaac Mizrahi Brand to generate royalties and other revenues through licensing and other agreements with sourcing and design companies, wholesale manufacturers, and retailers, including direct response television retailers. IM Topco, LLC, a Delaware limited liability company, was formed on May 11, 2022 and acquired the Isaac Mizrahi trademarks and other intellectual property rights relating thereto through the Membership Interest Purchase Agreement (“MIPA”) dated May 27, 2022 on May 31, 2022.</w:t>
      </w:r>
    </w:p>
    <w:p>
      <w:pPr>
        <w:pStyle w:val="TextBody"/>
        <w:spacing w:before="0" w:after="240"/>
        <w:ind w:left="0" w:right="0" w:hanging="0"/>
        <w:jc w:val="both"/>
        <w:rPr/>
      </w:pPr>
      <w:r>
        <w:rPr/>
        <w:t>​</w:t>
      </w:r>
    </w:p>
    <w:p>
      <w:pPr>
        <w:pStyle w:val="TextBody"/>
        <w:spacing w:before="240" w:after="283"/>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spacing w:before="160" w:after="283"/>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Basis of Accounting</w:t>
      </w:r>
    </w:p>
    <w:p>
      <w:pPr>
        <w:pStyle w:val="TextBody"/>
        <w:spacing w:before="0" w:after="0"/>
        <w:ind w:left="0" w:right="0" w:hanging="0"/>
        <w:rPr/>
      </w:pPr>
      <w:bookmarkStart w:id="1078" w:name="_Hlk129353256"/>
      <w:bookmarkEnd w:id="1078"/>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financial statements are prepared on an accrual basis in accordance with accounting principles generally accepted in the United States (“GAAP”) and are presented in U.S. dollars. </w:t>
      </w:r>
    </w:p>
    <w:p>
      <w:pPr>
        <w:pStyle w:val="TextBody"/>
        <w:spacing w:before="160" w:after="283"/>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significantly from estimates.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Cash and Cash Equivalents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Cash and cash equivalents consist of cash deposits and investments with an original maturity of three months or less at the time of initial deposit. The objectives of the Company's cash management policy are to safeguard and preserve funds, to maintain liquidity sufficient to meet the Company's cash flow requirements, and to attain a market rate of return. The Company places its cash and cash equivalents in institutions and funds of high credit quality.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Accounts Receivable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recorded net of allowances for doubtful accounts, based on the Company’s ongoing discussions with its licensees and other customers and its evaluation of their creditworthiness, payment history, and account aging. Accounts receivable balances deemed to be uncollectible are charged to the allowance for doubtful accounts after all means of collection have been exhausted and the potential for recovery is considered remote. The allowance for doubtful accounts was zero for December 31, 2022.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Intangible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Intangible assets represent trademarks and license agreements relating to the Isaac Mizrahi brand. The trademarks, which have been determined to be indefinite-lived intangible assets are not amortized, but instead are subject to impairment evaluation. The license agreements, which have been determined to have a finite life, are evaluated for the possibility of impairment when certain indicators are present and are otherwise amortized on a straight-line basis over their estimated useful life. Testing for impairment occurs annually on October 1. The Company accounts for intangible assets and goodwill as required by FASB ASC Topic 350, Intangibles – Goodwill and Other (“ASC 350”). No impairment charges were recorded during the period from May 11 (inception) through December 31, 2022. The Company capitalizes costs for its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79" w:name="_Hlk1297857731"/>
      <w:bookmarkEnd w:id="1079"/>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successful defense of proprietary trademarks.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Revenue Recognition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ASC 606 requires a five-step approach to determine the appropriate method of revenue recognition for each contractual arrangement:</w:t>
      </w:r>
    </w:p>
    <w:p>
      <w:pPr>
        <w:pStyle w:val="TextBody"/>
        <w:spacing w:before="0" w:after="0"/>
        <w:ind w:left="0" w:right="0" w:hanging="0"/>
        <w:jc w:val="both"/>
        <w:rPr/>
      </w:pPr>
      <w:r>
        <w:rPr/>
        <w:t> </w:t>
      </w:r>
    </w:p>
    <w:p>
      <w:pPr>
        <w:pStyle w:val="TextBody"/>
        <w:spacing w:before="0" w:after="0"/>
        <w:ind w:left="0" w:right="0" w:firstLine="792"/>
        <w:jc w:val="both"/>
        <w:rPr>
          <w:rFonts w:ascii="Times New Roman;Times;serif" w:hAnsi="Times New Roman;Times;serif"/>
          <w:sz w:val="20"/>
        </w:rPr>
      </w:pPr>
      <w:r>
        <w:rPr>
          <w:rFonts w:ascii="Times New Roman;Times;serif" w:hAnsi="Times New Roman;Times;serif"/>
          <w:sz w:val="20"/>
        </w:rPr>
        <w:t>Step 1: Identify the Contract(s) with a Customer </w:t>
      </w:r>
    </w:p>
    <w:p>
      <w:pPr>
        <w:pStyle w:val="TextBody"/>
        <w:spacing w:before="0" w:after="0"/>
        <w:ind w:left="0" w:right="0" w:firstLine="792"/>
        <w:jc w:val="both"/>
        <w:rPr>
          <w:rFonts w:ascii="Times New Roman;Times;serif" w:hAnsi="Times New Roman;Times;serif"/>
          <w:sz w:val="20"/>
        </w:rPr>
      </w:pPr>
      <w:r>
        <w:rPr>
          <w:rFonts w:ascii="Times New Roman;Times;serif" w:hAnsi="Times New Roman;Times;serif"/>
          <w:sz w:val="20"/>
        </w:rPr>
        <w:t>Step 2: Identify the Performance Obligation(s) in the Contract </w:t>
      </w:r>
    </w:p>
    <w:p>
      <w:pPr>
        <w:pStyle w:val="TextBody"/>
        <w:spacing w:before="0" w:after="0"/>
        <w:ind w:left="0" w:right="0" w:firstLine="792"/>
        <w:jc w:val="both"/>
        <w:rPr>
          <w:rFonts w:ascii="Times New Roman;Times;serif" w:hAnsi="Times New Roman;Times;serif"/>
          <w:sz w:val="20"/>
        </w:rPr>
      </w:pPr>
      <w:r>
        <w:rPr>
          <w:rFonts w:ascii="Times New Roman;Times;serif" w:hAnsi="Times New Roman;Times;serif"/>
          <w:sz w:val="20"/>
        </w:rPr>
        <w:t>Step 3: Determine the Transaction Price </w:t>
      </w:r>
    </w:p>
    <w:p>
      <w:pPr>
        <w:pStyle w:val="TextBody"/>
        <w:pBdr/>
        <w:spacing w:before="0" w:after="0"/>
        <w:ind w:left="792" w:right="0" w:hanging="792"/>
        <w:jc w:val="both"/>
        <w:rPr>
          <w:rFonts w:ascii="Times New Roman;Times;serif" w:hAnsi="Times New Roman;Times;serif"/>
          <w:sz w:val="20"/>
        </w:rPr>
      </w:pPr>
      <w:r>
        <w:rPr>
          <w:rFonts w:ascii="Times New Roman;Times;serif" w:hAnsi="Times New Roman;Times;serif"/>
          <w:sz w:val="20"/>
        </w:rPr>
        <w:t>Step 4: Allocate the Transaction Price to the Performance Obligation(s) in the Contract </w:t>
      </w:r>
    </w:p>
    <w:p>
      <w:pPr>
        <w:pStyle w:val="TextBody"/>
        <w:pBdr/>
        <w:spacing w:before="0" w:after="0"/>
        <w:ind w:left="792" w:right="0" w:hanging="792"/>
        <w:jc w:val="both"/>
        <w:rPr>
          <w:rFonts w:ascii="Times New Roman;Times;serif" w:hAnsi="Times New Roman;Times;serif"/>
          <w:sz w:val="20"/>
        </w:rPr>
      </w:pPr>
      <w:r>
        <w:rPr>
          <w:rFonts w:ascii="Times New Roman;Times;serif" w:hAnsi="Times New Roman;Times;serif"/>
          <w:sz w:val="20"/>
        </w:rPr>
        <w:t>Step 5: Recognize Revenue when (or as) the Entity Satisfies a Performance Obligation </w:t>
      </w:r>
    </w:p>
    <w:p>
      <w:pPr>
        <w:pStyle w:val="TextBody"/>
        <w:pBdr/>
        <w:spacing w:before="0" w:after="0"/>
        <w:ind w:left="792" w:right="0" w:hanging="792"/>
        <w:jc w:val="both"/>
        <w:rPr/>
      </w:pPr>
      <w:r>
        <w:rPr/>
        <w:t> </w:t>
      </w:r>
    </w:p>
    <w:p>
      <w:pPr>
        <w:pStyle w:val="TextBody"/>
        <w:spacing w:before="0" w:after="0"/>
        <w:ind w:left="0" w:right="110" w:hanging="0"/>
        <w:jc w:val="both"/>
        <w:rPr>
          <w:rFonts w:ascii="Times New Roman;Times;serif" w:hAnsi="Times New Roman;Times;serif"/>
          <w:sz w:val="20"/>
        </w:rPr>
      </w:pPr>
      <w:r>
        <w:rPr>
          <w:rFonts w:ascii="Times New Roman;Times;serif" w:hAnsi="Times New Roman;Times;serif"/>
          <w:sz w:val="20"/>
        </w:rPr>
        <w:t>The Company has entered into various license agreements for its owned trademarks.  Under ASC 606, the Company’s agreements are generally considered symbolic licenses, which contain the characteristics of a right-to-access license since the customer is simultaneously receiving the intellectual property (“IP”) and benefiting from it throughout the license period.  The Company assesses each license agreement at inception and determines the performance obligation(s) and appropriate revenue recognition method. As part of this process, the Company applies judgments based on historical trends when estimating future revenues and the period over which to recognize revenue.</w:t>
      </w:r>
    </w:p>
    <w:p>
      <w:pPr>
        <w:pStyle w:val="TextBody"/>
        <w:spacing w:before="0" w:after="0"/>
        <w:ind w:left="0" w:right="110" w:hanging="0"/>
        <w:jc w:val="both"/>
        <w:rPr>
          <w:rFonts w:ascii="Times New Roman;Times;serif" w:hAnsi="Times New Roman;Times;serif"/>
          <w:sz w:val="20"/>
        </w:rPr>
      </w:pPr>
      <w:r>
        <w:rPr>
          <w:rFonts w:ascii="Times New Roman;Times;serif" w:hAnsi="Times New Roman;Times;serif"/>
          <w:sz w:val="20"/>
        </w:rPr>
        <w:t>The Company generally recognizes revenue for license agreements under the following methods:</w:t>
      </w:r>
    </w:p>
    <w:p>
      <w:pPr>
        <w:pStyle w:val="TextBody"/>
        <w:spacing w:before="0" w:after="0"/>
        <w:ind w:left="0" w:right="110" w:firstLine="836"/>
        <w:jc w:val="both"/>
        <w:rPr/>
      </w:pPr>
      <w:r>
        <w:rPr/>
        <w:t>​</w:t>
      </w:r>
    </w:p>
    <w:tbl>
      <w:tblPr>
        <w:tblW w:w="10205" w:type="dxa"/>
        <w:jc w:val="left"/>
        <w:tblInd w:w="0" w:type="dxa"/>
        <w:tblCellMar>
          <w:top w:w="0" w:type="dxa"/>
          <w:left w:w="0" w:type="dxa"/>
          <w:bottom w:w="0" w:type="dxa"/>
          <w:right w:w="0" w:type="dxa"/>
        </w:tblCellMar>
      </w:tblPr>
      <w:tblGrid>
        <w:gridCol w:w="161"/>
        <w:gridCol w:w="219"/>
        <w:gridCol w:w="146"/>
        <w:gridCol w:w="9679"/>
      </w:tblGrid>
      <w:tr>
        <w:trPr/>
        <w:tc>
          <w:tcPr>
            <w:tcW w:w="161"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46" w:type="dxa"/>
            <w:tcBorders/>
            <w:shd w:fill="auto" w:val="clear"/>
            <w:vAlign w:val="center"/>
          </w:tcPr>
          <w:p>
            <w:pPr>
              <w:pStyle w:val="TableContents"/>
              <w:spacing w:before="0" w:after="0"/>
              <w:ind w:left="0" w:right="0" w:hanging="0"/>
              <w:rPr/>
            </w:pPr>
            <w:r>
              <w:rPr/>
              <w:t> </w:t>
            </w:r>
          </w:p>
        </w:tc>
        <w:tc>
          <w:tcPr>
            <w:tcW w:w="967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Licenses with guaranteed minimum royalties (“GMRs”)</w:t>
            </w:r>
            <w:r>
              <w:rPr>
                <w:rFonts w:ascii="Times New Roman;Times;serif" w:hAnsi="Times New Roman;Times;serif"/>
                <w:sz w:val="20"/>
              </w:rPr>
              <w:t>:  Generally, GMR payments comprising the transaction price are recognized on a straight-line basis over the term of the contract, as defined in each license agreement. </w:t>
            </w:r>
          </w:p>
        </w:tc>
      </w:tr>
      <w:tr>
        <w:trPr/>
        <w:tc>
          <w:tcPr>
            <w:tcW w:w="161"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46" w:type="dxa"/>
            <w:tcBorders/>
            <w:shd w:fill="auto" w:val="clear"/>
            <w:vAlign w:val="center"/>
          </w:tcPr>
          <w:p>
            <w:pPr>
              <w:pStyle w:val="TableContents"/>
              <w:spacing w:before="0" w:after="0"/>
              <w:ind w:left="0" w:right="0" w:hanging="0"/>
              <w:rPr/>
            </w:pPr>
            <w:r>
              <w:rPr/>
              <w:t> </w:t>
            </w:r>
          </w:p>
        </w:tc>
        <w:tc>
          <w:tcPr>
            <w:tcW w:w="967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Licenses with both GMRs (fixed revenue) and earned royalties (variable revenue)</w:t>
            </w:r>
            <w:r>
              <w:rPr>
                <w:rFonts w:ascii="Times New Roman;Times;serif" w:hAnsi="Times New Roman;Times;serif"/>
                <w:sz w:val="20"/>
              </w:rPr>
              <w:t>:  Earned royalties in excess of GMRs are only recognized when the Company is reasonably certain that the guaranteed minimum payments for the period, as defined in each license agreement, will be exceeded. Additionally, the Company has categorized certain contracts as variable when there is a history and future expectation of exceeding GMRs.  The Company recognizes income for these contracts during the period corresponding to the licensee’s sales.</w:t>
            </w:r>
          </w:p>
        </w:tc>
      </w:tr>
      <w:tr>
        <w:trPr/>
        <w:tc>
          <w:tcPr>
            <w:tcW w:w="161"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46" w:type="dxa"/>
            <w:tcBorders/>
            <w:shd w:fill="auto" w:val="clear"/>
            <w:vAlign w:val="center"/>
          </w:tcPr>
          <w:p>
            <w:pPr>
              <w:pStyle w:val="TableContents"/>
              <w:spacing w:before="0" w:after="0"/>
              <w:ind w:left="0" w:right="0" w:hanging="0"/>
              <w:rPr/>
            </w:pPr>
            <w:r>
              <w:rPr/>
              <w:t> </w:t>
            </w:r>
          </w:p>
        </w:tc>
        <w:tc>
          <w:tcPr>
            <w:tcW w:w="967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i/>
                <w:sz w:val="20"/>
              </w:rPr>
              <w:t>Licenses that are sales-based only or earned royalties</w:t>
            </w:r>
            <w:r>
              <w:rPr>
                <w:rFonts w:ascii="Times New Roman;Times;serif" w:hAnsi="Times New Roman;Times;serif"/>
                <w:sz w:val="20"/>
              </w:rPr>
              <w:t>: Earned royalties (variable revenue) are recognized as income during the period corresponding to the licensee’s sales. </w:t>
            </w:r>
          </w:p>
        </w:tc>
      </w:tr>
    </w:tbl>
    <w:p>
      <w:pPr>
        <w:pStyle w:val="TextBody"/>
        <w:spacing w:before="0" w:after="0"/>
        <w:ind w:left="792"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Payments received as consideration for the grant of a license or advanced royalty payments are recorded as deferred revenue at the time payment is received and recognized into revenue under the methods described above.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Contract assets represent unbilled receivables and are presented within accounts receivable, net in the balance sheet. Contract liabilities represent unearned revenues and are presented within the current portion of deferred revenue in the balance sheet.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Advertising Costs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approximately $62,000 in advertising and marketing costs for the period ended December 31, 2022.  </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80" w:name="_Hlk1297857732"/>
      <w:bookmarkEnd w:id="1080"/>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Income Taxes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not a taxable entity for federal income tax purposes, and as such, does not directly pay federal income tax. The Company’s taxable income or loss, which may vary substantially from the net income or loss reported in the Statement of Operations, is included in the federal income tax returns of each member.</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follows required accounting guidance for uncertainty in income taxes. The Company evaluates its tax positions on an ongoing basis and if considered necessary establishes liabilities for uncertain tax positions that may be challenged by tax authorities. Management evaluated the Company’s tax positions and concluded that the Company had no uncertain tax positions as of December 31, 2022.</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Fair Value</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ASC Topic 820, “Fair Value Measurements and Disclosures,”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pStyle w:val="TextBody"/>
        <w:spacing w:before="160" w:after="283"/>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Fair Value of Financial Instruments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Company’s financial instruments, including cash, accounts receivable, and accounts payable, the carrying amounts approximate fair value due to the short-term maturities of these instruments. </w:t>
      </w:r>
    </w:p>
    <w:p>
      <w:pPr>
        <w:pStyle w:val="TextBody"/>
        <w:spacing w:before="160" w:after="283"/>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Concentrations of Credit Risk</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concentrations of credit risk consist principally of cash and accounts receivable.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limits its credit risk with respect to cash by maintaining cash balances with high quality financial institutions. At times, the Company’s cash balances may exceed federally insured limits of $250,000.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Concentrations of credit risk with respect to accounts receivable are minimal due to the collection history and the outstanding amounts are immaterial compared with total current assets and revenue amounts. Generally, the Company does not require collateral or other security to support accounts receivable.</w:t>
            </w:r>
          </w:p>
        </w:tc>
      </w:tr>
    </w:tbl>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June 2016, the FASB issued Accounting Standards Update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In November 2019, the FASB issued ASU No. 2019-10, which, among other things, deferred the application of the new guidance on credit losses for smaller reporting companies to fiscal years beginning after December 15, 2022, including interim periods within those fiscal years. The Company is currently evaluating the new guidance to determine the impact the adoption of this guidance will have on the Company’s results of operations, cash flows, and financial condition.</w:t>
      </w:r>
    </w:p>
    <w:p>
      <w:pPr>
        <w:pStyle w:val="TextBody"/>
        <w:spacing w:before="240" w:after="283"/>
        <w:ind w:left="0" w:right="0" w:hanging="0"/>
        <w:rPr/>
      </w:pPr>
      <w:r>
        <w:rPr/>
        <w:t>​</w:t>
      </w:r>
    </w:p>
    <w:p>
      <w:pPr>
        <w:pStyle w:val="TextBody"/>
        <w:spacing w:before="240" w:after="283"/>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81" w:name="_Hlk1297857733"/>
      <w:bookmarkEnd w:id="1081"/>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3 - Purchase of the Isaac Mizrahi Intangible Assets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acquired the Isaac Mizrahi trademarks and other intellectual property rights from Xcel Brands, Inc. (“Xcel”) and IM Brands, LLC, a wholly owned subsidiary of Xcel, for a purchase price of $66.0 million through the MIPA dated May 27, 2022. Pursuant to the terms of the transaction, Xcel received $46.2 million in cash from IMWHP, LLC (“WHP”) and retained a 30% membership interest in the Company. WHP received a 70% membership interest in the Company.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determined that the </w:t>
      </w:r>
      <w:r>
        <w:rPr>
          <w:rFonts w:ascii="Times New Roman;Times;serif" w:hAnsi="Times New Roman;Times;serif"/>
          <w:spacing w:val="4"/>
          <w:sz w:val="20"/>
        </w:rPr>
        <w:t>set of assets and activities acquired met the definition of a “business”; therefore, the transaction was accounted as a business combination. As a result, the assets and liabilities of IM Topco, LLC were recorded at fair market value as of the date of the transaction, May 31, 2022 in the balance sheet of the Company.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total valuation of $66.0 million was allocated to trademarks and license agreements. Trademarks were determined to have an indefinite life and initial value of $29.4 million. License Agreements have been determined by management to have a useful life of five years and four months and initial value of $36.6 million. WHP contributed cash contributions of $1.4 million and Xcel contributed $0.6 million. We recorded $4.0 million of amortization expense related to the license agreements for the period from May 11, 2022 (inception) through December 31, 2022.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Mizrahi Acquisition, the Company signed a long-term licensing agreement for the Isaac Mizrahi brand, which became effective upon closing. WHP also entered into a management services agreement to facilitate the day-to-day operation of IM Topco, LLC by WHP’s management. A cash distribution was made of $2.7 million to WHP from IM Topco, LLC in December 2022. Pursuant to the purchase agreement, the Company has an obligation to pay Xcel Brands, Inc. an earnout payment of $2.0 million (the “IM Earnout) in 2024 if, during the 2023 fiscal year, IM Topco generates royalty revenue and EBITDA over a specific threshold (the “Thresholds”).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Total revenue from the Isaac Mizrahi Brands included in the statement of operations for the year ended December 31, 2022, is $7.8 million.</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4 - Intangible Assets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net consist of the following:</w:t>
      </w:r>
    </w:p>
    <w:tbl>
      <w:tblPr>
        <w:tblW w:w="8674" w:type="dxa"/>
        <w:jc w:val="left"/>
        <w:tblInd w:w="0" w:type="dxa"/>
        <w:tblCellMar>
          <w:top w:w="0" w:type="dxa"/>
          <w:left w:w="0" w:type="dxa"/>
          <w:bottom w:w="0" w:type="dxa"/>
          <w:right w:w="0" w:type="dxa"/>
        </w:tblCellMar>
      </w:tblPr>
      <w:tblGrid>
        <w:gridCol w:w="2836"/>
        <w:gridCol w:w="326"/>
        <w:gridCol w:w="1081"/>
        <w:gridCol w:w="326"/>
        <w:gridCol w:w="342"/>
        <w:gridCol w:w="904"/>
        <w:gridCol w:w="326"/>
        <w:gridCol w:w="334"/>
        <w:gridCol w:w="747"/>
        <w:gridCol w:w="326"/>
        <w:gridCol w:w="277"/>
        <w:gridCol w:w="849"/>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00860" cy="175260"/>
                      <wp:effectExtent l="0" t="0" r="0" b="0"/>
                      <wp:wrapNone/>
                      <wp:docPr id="213" name="Frame205"/>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4"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86435" cy="175260"/>
                      <wp:effectExtent l="0" t="0" r="0" b="0"/>
                      <wp:wrapNone/>
                      <wp:docPr id="215" name="Frame207"/>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6"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7170" cy="175260"/>
                      <wp:effectExtent l="0" t="0" r="0" b="0"/>
                      <wp:wrapNone/>
                      <wp:docPr id="217" name="Frame209"/>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74040" cy="175260"/>
                      <wp:effectExtent l="0" t="0" r="0" b="0"/>
                      <wp:wrapNone/>
                      <wp:docPr id="218" name="Frame210"/>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9"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2090" cy="175260"/>
                      <wp:effectExtent l="0" t="0" r="0" b="0"/>
                      <wp:wrapNone/>
                      <wp:docPr id="220" name="Frame212"/>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74345" cy="175260"/>
                      <wp:effectExtent l="0" t="0" r="0" b="0"/>
                      <wp:wrapNone/>
                      <wp:docPr id="221" name="Frame213"/>
                      <a:graphic xmlns:a="http://schemas.openxmlformats.org/drawingml/2006/main">
                        <a:graphicData uri="http://schemas.microsoft.com/office/word/2010/wordprocessingShape">
                          <wps:wsp>
                            <wps:cNvSpPr txBox="1"/>
                            <wps:spPr>
                              <a:xfrm>
                                <a:off x="0" y="0"/>
                                <a:ext cx="474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2"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75895" cy="175260"/>
                      <wp:effectExtent l="0" t="0" r="0" b="0"/>
                      <wp:wrapNone/>
                      <wp:docPr id="223" name="Frame215"/>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39115" cy="175260"/>
                      <wp:effectExtent l="0" t="0" r="0" b="0"/>
                      <wp:wrapNone/>
                      <wp:docPr id="224" name="Frame216"/>
                      <a:graphic xmlns:a="http://schemas.openxmlformats.org/drawingml/2006/main">
                        <a:graphicData uri="http://schemas.microsoft.com/office/word/2010/wordprocessingShape">
                          <wps:wsp>
                            <wps:cNvSpPr txBox="1"/>
                            <wps:spPr>
                              <a:xfrm>
                                <a:off x="0" y="0"/>
                                <a:ext cx="539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342" w:type="dxa"/>
            <w:tcBorders/>
            <w:shd w:fill="auto" w:val="clear"/>
            <w:vAlign w:val="center"/>
          </w:tcPr>
          <w:p>
            <w:pPr>
              <w:pStyle w:val="TableContents"/>
              <w:spacing w:before="0" w:after="0"/>
              <w:ind w:left="0" w:right="0" w:hanging="0"/>
              <w:jc w:val="center"/>
              <w:rPr/>
            </w:pPr>
            <w:r>
              <w:rPr/>
              <w:t>​</w:t>
            </w:r>
          </w:p>
        </w:tc>
        <w:tc>
          <w:tcPr>
            <w:tcW w:w="9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34" w:type="dxa"/>
            <w:tcBorders/>
            <w:shd w:fill="auto" w:val="clear"/>
            <w:vAlign w:val="center"/>
          </w:tcPr>
          <w:p>
            <w:pPr>
              <w:pStyle w:val="TableContents"/>
              <w:spacing w:before="0" w:after="0"/>
              <w:ind w:left="0" w:right="0" w:hanging="0"/>
              <w:jc w:val="center"/>
              <w:rPr/>
            </w:pPr>
            <w:r>
              <w:rPr/>
              <w:t>​</w:t>
            </w:r>
          </w:p>
        </w:tc>
        <w:tc>
          <w:tcPr>
            <w:tcW w:w="74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77" w:type="dxa"/>
            <w:tcBorders/>
            <w:shd w:fill="auto" w:val="clear"/>
            <w:vAlign w:val="center"/>
          </w:tcPr>
          <w:p>
            <w:pPr>
              <w:pStyle w:val="TableContents"/>
              <w:spacing w:before="0" w:after="0"/>
              <w:ind w:left="0" w:right="0" w:hanging="0"/>
              <w:jc w:val="center"/>
              <w:rPr/>
            </w:pPr>
            <w:r>
              <w:rPr/>
              <w:t>​</w:t>
            </w:r>
          </w:p>
        </w:tc>
        <w:tc>
          <w:tcPr>
            <w:tcW w:w="849" w:type="dxa"/>
            <w:tcBorders/>
            <w:shd w:fill="auto" w:val="clear"/>
            <w:vAlign w:val="center"/>
          </w:tcPr>
          <w:p>
            <w:pPr>
              <w:pStyle w:val="TableContents"/>
              <w:spacing w:before="0" w:after="0"/>
              <w:ind w:left="0" w:right="0" w:hanging="0"/>
              <w:jc w:val="center"/>
              <w:rPr/>
            </w:pPr>
            <w:r>
              <w:rPr/>
              <w:t>​</w:t>
            </w:r>
          </w:p>
        </w:tc>
      </w:tr>
      <w:tr>
        <w:trPr/>
        <w:tc>
          <w:tcPr>
            <w:tcW w:w="28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 </w:t>
            </w:r>
          </w:p>
        </w:tc>
        <w:tc>
          <w:tcPr>
            <w:tcW w:w="410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8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8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sz w:val="20"/>
              </w:rPr>
            </w:pPr>
            <w:bookmarkStart w:id="1082" w:name="_Hlk116647569"/>
            <w:bookmarkEnd w:id="1082"/>
            <w:r>
              <w:rPr>
                <w:rFonts w:ascii="Times New Roman;Times;serif" w:hAnsi="Times New Roman;Times;serif"/>
                <w:sz w:val="20"/>
              </w:rPr>
              <w:t>Trademarks (indefinite-lived)</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spacing w:before="0" w:after="0"/>
              <w:ind w:left="0" w:right="0" w:hanging="0"/>
              <w:rPr/>
            </w:pPr>
            <w:r>
              <w:rPr/>
              <w:t>​</w:t>
            </w:r>
          </w:p>
        </w:tc>
        <w:tc>
          <w:tcPr>
            <w:tcW w:w="3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29,381</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29,381</w:t>
            </w:r>
          </w:p>
        </w:tc>
      </w:tr>
      <w:tr>
        <w:trPr/>
        <w:tc>
          <w:tcPr>
            <w:tcW w:w="2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Agreements (finite-lived)</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5.33 years</w:t>
            </w:r>
          </w:p>
        </w:tc>
        <w:tc>
          <w:tcPr>
            <w:tcW w:w="326" w:type="dxa"/>
            <w:tcBorders/>
            <w:shd w:fill="auto" w:val="clear"/>
            <w:vAlign w:val="center"/>
          </w:tcPr>
          <w:p>
            <w:pPr>
              <w:pStyle w:val="TableContents"/>
              <w:spacing w:before="0" w:after="0"/>
              <w:ind w:left="0" w:right="0" w:hanging="0"/>
              <w:rPr/>
            </w:pPr>
            <w:r>
              <w:rPr/>
              <w:t>​</w:t>
            </w:r>
          </w:p>
        </w:tc>
        <w:tc>
          <w:tcPr>
            <w:tcW w:w="34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36,623</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32,617</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3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66,004</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4,006</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4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61,998</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for the finite-lived intangible assets for the period May 11, 2022 (inception) through December 31, 2022 was approximately $4.0 million.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83" w:name="_Hlk1297857734"/>
      <w:bookmarkEnd w:id="1083"/>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Estimated future amortization expense related to finite-lived intangible assets over the remaining useful lives is as follows:</w:t>
      </w:r>
    </w:p>
    <w:p>
      <w:pPr>
        <w:pStyle w:val="TextBody"/>
        <w:spacing w:before="0" w:after="240"/>
        <w:ind w:left="0" w:right="0" w:hanging="0"/>
        <w:jc w:val="both"/>
        <w:rPr/>
      </w:pPr>
      <w:r>
        <w:rPr/>
        <w:t>​</w:t>
      </w:r>
    </w:p>
    <w:tbl>
      <w:tblPr>
        <w:tblW w:w="3568" w:type="dxa"/>
        <w:jc w:val="center"/>
        <w:tblInd w:w="0" w:type="dxa"/>
        <w:tblCellMar>
          <w:top w:w="0" w:type="dxa"/>
          <w:left w:w="0" w:type="dxa"/>
          <w:bottom w:w="0" w:type="dxa"/>
          <w:right w:w="0" w:type="dxa"/>
        </w:tblCellMar>
      </w:tblPr>
      <w:tblGrid>
        <w:gridCol w:w="2116"/>
        <w:gridCol w:w="326"/>
        <w:gridCol w:w="239"/>
        <w:gridCol w:w="887"/>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43660" cy="175260"/>
                      <wp:effectExtent l="0" t="0" r="0" b="0"/>
                      <wp:wrapNone/>
                      <wp:docPr id="225" name="Frame217"/>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6"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1765" cy="175260"/>
                      <wp:effectExtent l="0" t="0" r="0" b="0"/>
                      <wp:wrapNone/>
                      <wp:docPr id="227" name="Frame219"/>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3880" cy="175260"/>
                      <wp:effectExtent l="0" t="0" r="0" b="0"/>
                      <wp:wrapNone/>
                      <wp:docPr id="228" name="Frame220"/>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in thousands)</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6,867</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jc w:val="right"/>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6,867</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jc w:val="right"/>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6,867</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239" w:type="dxa"/>
            <w:tcBorders/>
            <w:shd w:fill="auto" w:val="clear"/>
            <w:vAlign w:val="center"/>
          </w:tcPr>
          <w:p>
            <w:pPr>
              <w:pStyle w:val="TableContents"/>
              <w:spacing w:before="0" w:after="1"/>
              <w:ind w:left="0" w:right="0" w:hanging="0"/>
              <w:jc w:val="right"/>
              <w:rPr/>
            </w:pPr>
            <w:r>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6,866</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 </w:t>
            </w:r>
          </w:p>
        </w:tc>
        <w:tc>
          <w:tcPr>
            <w:tcW w:w="239" w:type="dxa"/>
            <w:tcBorders/>
            <w:shd w:fill="CCEEFF" w:val="clear"/>
            <w:vAlign w:val="center"/>
          </w:tcPr>
          <w:p>
            <w:pPr>
              <w:pStyle w:val="TableContents"/>
              <w:spacing w:before="0" w:after="1"/>
              <w:ind w:left="0" w:right="0" w:hanging="0"/>
              <w:jc w:val="right"/>
              <w:rPr/>
            </w:pPr>
            <w:r>
              <w:rPr/>
              <w:t>​</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5,150</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 </w:t>
            </w:r>
          </w:p>
        </w:tc>
        <w:tc>
          <w:tcPr>
            <w:tcW w:w="23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32,617</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240" w:after="0"/>
        <w:ind w:left="0" w:right="0" w:hanging="0"/>
        <w:rPr>
          <w:rFonts w:ascii="Times New Roman;Times;serif" w:hAnsi="Times New Roman;Times;serif"/>
          <w:b/>
          <w:sz w:val="20"/>
        </w:rPr>
      </w:pPr>
      <w:r>
        <w:rPr>
          <w:rFonts w:ascii="Times New Roman;Times;serif" w:hAnsi="Times New Roman;Times;serif"/>
          <w:b/>
          <w:sz w:val="20"/>
        </w:rPr>
        <w:t>Note 5 - Concentration</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 direct-to-retail license agreement with QVC, Inc (“QVC”), pursuant to which the Company designs, and QVC sources and sells, various products under the Isaac Mizrahi brand (the “QVC Agreement”). QVC owns the rights to all designs produced under the aforementioned agreement and the QVC Agreement includes the sale of products across various categories through QVC’s television media (including QVC and HSN) and related internet sites. Pursuant to the agreement, the Company granted to QVC and its affiliates the exclusive, worldwide right to promote the Company’s branded products, and the right to use and publish the related trademarks, service marks, copyrights, designs, logos, and other intellectual property rights owned, used, licensed, and/or developed by the Company.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licensing revenue from QVC represented a substantial portion of the Company's revenue recorded from the period May 11, 2022 (inception) through December 31, 2022. As of December 31, 2022, the Company had receivables from QVC that represented approximately 90% of the Company’s accounts receivable.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Note 6 -</w:t>
      </w:r>
      <w:r>
        <w:rPr>
          <w:rFonts w:ascii="Times New Roman;Times;serif" w:hAnsi="Times New Roman;Times;serif"/>
          <w:sz w:val="20"/>
        </w:rPr>
        <w:t xml:space="preserve"> </w:t>
      </w:r>
      <w:r>
        <w:rPr>
          <w:rFonts w:ascii="Times New Roman;Times;serif" w:hAnsi="Times New Roman;Times;serif"/>
          <w:b/>
          <w:sz w:val="20"/>
        </w:rPr>
        <w:t>Capital</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owned by two members: WHP and Xcel. The Company has 1,000 Units authorized, issued, and outstanding; 700 Units are held by WHP and 300 Units are held by Xcel. In accordance with the terms of the governing Limited Liability Company Agreement, each Member shall vote in proportion to its percentage interest of Units held.</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Capital Contributions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WHP and Xcel made capital contributions to the Company of $47.6 million and $20.4 million, respectively. WHP’s capital contribution consisted of $1.4 million in cash and $46.2 million in intellectual property.  Xcel’s capital contribution consisted of $0.6 million in cash and $19.8 million in intellectual property.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Distributions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period </w:t>
      </w:r>
      <w:bookmarkStart w:id="1084" w:name="_Hlk128989570"/>
      <w:bookmarkEnd w:id="1084"/>
      <w:r>
        <w:rPr>
          <w:rFonts w:ascii="Times New Roman;Times;serif" w:hAnsi="Times New Roman;Times;serif"/>
          <w:sz w:val="20"/>
        </w:rPr>
        <w:t>May 11, 2022 (inception) through December 31, 2022, the Company made cash distributions to WHP in the amount of $2.7 million. There were no distributions made to Xcel.</w:t>
      </w:r>
    </w:p>
    <w:p>
      <w:pPr>
        <w:pStyle w:val="TextBody"/>
        <w:spacing w:before="0" w:after="240"/>
        <w:ind w:left="0" w:right="0" w:hanging="0"/>
        <w:jc w:val="both"/>
        <w:rPr/>
      </w:pPr>
      <w:r>
        <w:rPr/>
        <w:t>​</w:t>
      </w:r>
    </w:p>
    <w:p>
      <w:pPr>
        <w:pStyle w:val="TextBody"/>
        <w:spacing w:before="240" w:after="283"/>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spacing w:before="0" w:after="0"/>
        <w:ind w:left="0" w:right="0" w:hanging="0"/>
        <w:jc w:val="center"/>
        <w:rPr/>
      </w:pPr>
      <w:r>
        <w:rPr/>
        <w:t>​</w:t>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IM Topco, LLC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 Limited Liability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Financial Statements</w:t>
      </w:r>
    </w:p>
    <w:p>
      <w:pPr>
        <w:pStyle w:val="TextBody"/>
        <w:spacing w:before="0" w:after="0"/>
        <w:ind w:left="0" w:right="0" w:hanging="0"/>
        <w:jc w:val="center"/>
        <w:rPr>
          <w:rFonts w:ascii="Times New Roman;Times;serif" w:hAnsi="Times New Roman;Times;serif"/>
          <w:sz w:val="20"/>
        </w:rPr>
      </w:pPr>
      <w:bookmarkStart w:id="1085" w:name="_Hlk1297857735"/>
      <w:bookmarkEnd w:id="1085"/>
      <w:r>
        <w:rPr>
          <w:rFonts w:ascii="Times New Roman;Times;serif" w:hAnsi="Times New Roman;Times;serif"/>
          <w:sz w:val="20"/>
        </w:rPr>
        <w:t>December 31, 2022</w:t>
      </w:r>
    </w:p>
    <w:p>
      <w:pPr>
        <w:pStyle w:val="TextBody"/>
        <w:spacing w:before="0" w:after="120"/>
        <w:ind w:left="0" w:right="0" w:hanging="0"/>
        <w:rPr>
          <w:color w:val="0563C1"/>
        </w:rPr>
      </w:pPr>
      <w:r>
        <w:rPr>
          <w:color w:val="0563C1"/>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7 - Commitments and Contingencies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is involved in legal matters arising in the ordinary course of business. While the Company believes that such matters are currently not material, there can be no assurance that matters arising in the ordinary course of business for which the Company is, or could be, involved in litigation will not have a material adverse effect on its business, financial condition, results of operations, or cash flows. Contingent liabilities arising from potential litigation are assessed by management based on the individual analysis of these proceedings and on the opinion of the Company’s lawyers and legal consultants. There have been no provisions recorded for the period ended December 31, 2022.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Loss Contingencies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contingent losses that are both probable and estimable. In this context, probable means circumstances under which events are likely to occur. The Company records legal costs pertaining to contingencies as incurred. There were no contingent losses recognized as of December 31, 2022.</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8 - Related Party Transactions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WHP</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entered into a services agreement with WHP pursuant to which WHP provides certain services to the Company. During the period May 11, 2022 (inception) through December 31, 2022, the Company paid WHP a fee of $0.4 million for such services.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Xcel</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the Company entered into a services agreement with Xcel pursuant to which Xcel provides certain services to the Company. During the period May 11, 2022 (inception) through December 31, 2022, the Company paid Xcel a fee of $0.2 million for such services.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the Company entered into a license agreement with XL CT MFG, LLC (“XL CT”),  a wholly-owned subsidiary of Xcel, pursuant to which the Company granted XL CT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for guaranteed royalties of $0.4 million per year from XL CT. The agreement was terminated in December and replaced by an agreement with Jump Design Group, Inc (“Jump”). Xcel is responsible for any differential payments made between Jump and the guaranteed royalties of the Xcel license agreement.  During the period May 11, 2022 (inception) through December 31, 2022, Xcel paid the Company royalties of approximately $0.2 million.</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9 - Subsequent Events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has evaluated subsequent events through March 29, 2023, which is the date the financial statements were available to be issued and has concluded that other than the event disclosed above, no such events or transactions took place with would require disclosure herein.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spacing w:before="0" w:after="0"/>
        <w:ind w:left="0" w:right="0" w:hanging="0"/>
        <w:jc w:val="center"/>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83220/000114420417053726/tv477575_ex3-1.htm" TargetMode="External"/><Relationship Id="rId3" Type="http://schemas.openxmlformats.org/officeDocument/2006/relationships/hyperlink" Target="http://www.sec.gov/Archives/edgar/data/1083220/000114420417063004/tv481032_ex3-2.htm" TargetMode="External"/><Relationship Id="rId4" Type="http://schemas.openxmlformats.org/officeDocument/2006/relationships/hyperlink" Target="http://www.sec.gov/Archives/edgar/data/1083220/000114420416119169/v446751_def14a.htm" TargetMode="External"/><Relationship Id="rId5" Type="http://schemas.openxmlformats.org/officeDocument/2006/relationships/hyperlink" Target="https://www.sec.gov/Archives/edgar/data/0001083220/000155837021013317/tmb-20211020xdefr14a.htm" TargetMode="External"/><Relationship Id="rId6" Type="http://schemas.openxmlformats.org/officeDocument/2006/relationships/hyperlink" Target="https://www.sec.gov/Archives/edgar/data/0001083220/000155837021004669/xelb-20201231ex44b18da27.htm" TargetMode="External"/><Relationship Id="rId7" Type="http://schemas.openxmlformats.org/officeDocument/2006/relationships/hyperlink" Target="http://www.sec.gov/Archives/edgar/data/1083220/000114420413068859/v363835_ex9-1.htm" TargetMode="External"/><Relationship Id="rId8" Type="http://schemas.openxmlformats.org/officeDocument/2006/relationships/hyperlink" Target="http://www.sec.gov/Archives/edgar/data/1083220/000114420414021516/v374277_ex10-8.htm" TargetMode="External"/><Relationship Id="rId9" Type="http://schemas.openxmlformats.org/officeDocument/2006/relationships/hyperlink" Target="http://www.sec.gov/Archives/edgar/data/1083220/000114420414075828/v397490_ex10-9.htm" TargetMode="External"/><Relationship Id="rId10" Type="http://schemas.openxmlformats.org/officeDocument/2006/relationships/hyperlink" Target="http://www.sec.gov/Archives/edgar/data/1083220/000114420419008652/tv513776_ex10-1.htm" TargetMode="External"/><Relationship Id="rId11" Type="http://schemas.openxmlformats.org/officeDocument/2006/relationships/hyperlink" Target="http://www.sec.gov/Archives/edgar/data/1083220/000114420419011627/tv515202_ex10-1.htm" TargetMode="External"/><Relationship Id="rId12" Type="http://schemas.openxmlformats.org/officeDocument/2006/relationships/hyperlink" Target="http://www.sec.gov/Archives/edgar/data/1083220/000114420419011627/tv515202_ex10-2.htm" TargetMode="External"/><Relationship Id="rId13" Type="http://schemas.openxmlformats.org/officeDocument/2006/relationships/hyperlink" Target="https://www.sec.gov/Archives/edgar/data/1083220/000155837022005491/xelb-20211231xex10d7.htm" TargetMode="External"/><Relationship Id="rId14" Type="http://schemas.openxmlformats.org/officeDocument/2006/relationships/hyperlink" Target="http://www.sec.gov/Archives/edgar/data/1083220/000114420414016918/v372291_ex10-1.htm" TargetMode="External"/><Relationship Id="rId15" Type="http://schemas.openxmlformats.org/officeDocument/2006/relationships/hyperlink" Target="http://www.sec.gov/Archives/edgar/data/1083220/000114420415042399/v415471_ex10-1.htm" TargetMode="External"/><Relationship Id="rId16" Type="http://schemas.openxmlformats.org/officeDocument/2006/relationships/hyperlink" Target="https://www.sec.gov/Archives/edgar/data/1083220/000110465922067941/tm2217535d1_ex2-1.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66638</Words>
  <CharactersWithSpaces>431603</CharactersWithSpaces>
  <Paragraphs>7839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