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left="4640" w:right="2420" w:hanging="2202"/>
        <w:spacing w:after="0" w:line="282" w:lineRule="auto"/>
        <w:tabs>
          <w:tab w:leader="none" w:pos="26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COMMISSION FILE NUMBER: 0-31553</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2380" w:type="dxa"/>
            <w:vAlign w:val="bottom"/>
          </w:tcPr>
          <w:p>
            <w:pPr>
              <w:jc w:val="center"/>
              <w:ind w:right="70"/>
              <w:spacing w:after="0"/>
              <w:rPr>
                <w:sz w:val="20"/>
                <w:szCs w:val="20"/>
                <w:color w:val="auto"/>
              </w:rPr>
            </w:pPr>
            <w:r>
              <w:rPr>
                <w:rFonts w:ascii="Arial" w:cs="Arial" w:eastAsia="Arial" w:hAnsi="Arial"/>
                <w:sz w:val="18"/>
                <w:szCs w:val="18"/>
                <w:color w:val="auto"/>
                <w:w w:val="92"/>
              </w:rPr>
              <w:t>Delaware</w:t>
            </w:r>
          </w:p>
        </w:tc>
        <w:tc>
          <w:tcPr>
            <w:tcW w:w="5860" w:type="dxa"/>
            <w:vAlign w:val="bottom"/>
            <w:gridSpan w:val="3"/>
          </w:tcPr>
          <w:p>
            <w:pPr>
              <w:jc w:val="right"/>
              <w:ind w:right="790"/>
              <w:spacing w:after="0"/>
              <w:rPr>
                <w:sz w:val="20"/>
                <w:szCs w:val="20"/>
                <w:color w:val="auto"/>
              </w:rPr>
            </w:pPr>
            <w:r>
              <w:rPr>
                <w:rFonts w:ascii="Arial" w:cs="Arial" w:eastAsia="Arial" w:hAnsi="Arial"/>
                <w:sz w:val="18"/>
                <w:szCs w:val="18"/>
                <w:color w:val="auto"/>
              </w:rPr>
              <w:t>76-0307819</w:t>
            </w:r>
          </w:p>
        </w:tc>
      </w:tr>
      <w:tr>
        <w:trPr>
          <w:trHeight w:val="216"/>
        </w:trPr>
        <w:tc>
          <w:tcPr>
            <w:tcW w:w="238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 of</w:t>
            </w: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40" w:type="dxa"/>
            <w:vAlign w:val="bottom"/>
          </w:tcPr>
          <w:p>
            <w:pPr>
              <w:jc w:val="center"/>
              <w:ind w:left="7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380" w:type="dxa"/>
            <w:vAlign w:val="bottom"/>
          </w:tcPr>
          <w:p>
            <w:pPr>
              <w:jc w:val="center"/>
              <w:ind w:right="70"/>
              <w:spacing w:after="0"/>
              <w:rPr>
                <w:sz w:val="20"/>
                <w:szCs w:val="20"/>
                <w:color w:val="auto"/>
              </w:rPr>
            </w:pPr>
            <w:r>
              <w:rPr>
                <w:rFonts w:ascii="Arial" w:cs="Arial" w:eastAsia="Arial" w:hAnsi="Arial"/>
                <w:sz w:val="18"/>
                <w:szCs w:val="18"/>
                <w:color w:val="auto"/>
                <w:w w:val="92"/>
              </w:rPr>
              <w:t>Incorporation or Organization)</w:t>
            </w:r>
          </w:p>
        </w:tc>
        <w:tc>
          <w:tcPr>
            <w:tcW w:w="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860" w:type="dxa"/>
            <w:vAlign w:val="bottom"/>
            <w:gridSpan w:val="3"/>
          </w:tcPr>
          <w:p>
            <w:pPr>
              <w:jc w:val="center"/>
              <w:ind w:right="2510"/>
              <w:spacing w:after="0"/>
              <w:rPr>
                <w:sz w:val="20"/>
                <w:szCs w:val="20"/>
                <w:color w:val="auto"/>
              </w:rPr>
            </w:pPr>
            <w:r>
              <w:rPr>
                <w:rFonts w:ascii="Arial" w:cs="Arial" w:eastAsia="Arial" w:hAnsi="Arial"/>
                <w:sz w:val="18"/>
                <w:szCs w:val="18"/>
                <w:color w:val="auto"/>
                <w:w w:val="91"/>
              </w:rPr>
              <w:t>475 Tenth Ave, 4th Floor</w:t>
            </w:r>
          </w:p>
        </w:tc>
      </w:tr>
      <w:tr>
        <w:trPr>
          <w:trHeight w:val="190"/>
        </w:trPr>
        <w:tc>
          <w:tcPr>
            <w:tcW w:w="2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20" w:type="dxa"/>
            <w:vAlign w:val="bottom"/>
            <w:gridSpan w:val="2"/>
          </w:tcPr>
          <w:p>
            <w:pPr>
              <w:jc w:val="center"/>
              <w:ind w:right="3350"/>
              <w:spacing w:after="0" w:line="190" w:lineRule="exact"/>
              <w:rPr>
                <w:sz w:val="20"/>
                <w:szCs w:val="20"/>
                <w:color w:val="auto"/>
              </w:rPr>
            </w:pPr>
            <w:r>
              <w:rPr>
                <w:rFonts w:ascii="Arial" w:cs="Arial" w:eastAsia="Arial" w:hAnsi="Arial"/>
                <w:sz w:val="18"/>
                <w:szCs w:val="18"/>
                <w:color w:val="auto"/>
                <w:w w:val="93"/>
              </w:rPr>
              <w:t>New York, NY 10018</w:t>
            </w:r>
          </w:p>
        </w:tc>
      </w:tr>
      <w:tr>
        <w:trPr>
          <w:trHeight w:val="20"/>
        </w:trPr>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37"/>
        </w:trPr>
        <w:tc>
          <w:tcPr>
            <w:tcW w:w="2380" w:type="dxa"/>
            <w:vAlign w:val="bottom"/>
          </w:tcPr>
          <w:p>
            <w:pPr>
              <w:spacing w:after="0"/>
              <w:rPr>
                <w:sz w:val="20"/>
                <w:szCs w:val="20"/>
                <w:color w:val="auto"/>
              </w:rPr>
            </w:pPr>
          </w:p>
        </w:tc>
        <w:tc>
          <w:tcPr>
            <w:tcW w:w="5860" w:type="dxa"/>
            <w:vAlign w:val="bottom"/>
            <w:gridSpan w:val="3"/>
          </w:tcPr>
          <w:p>
            <w:pPr>
              <w:jc w:val="center"/>
              <w:ind w:right="25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(347)727-2474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Exchange Act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00"/>
          </w:cols>
          <w:pgMar w:left="240" w:top="472" w:right="259" w:bottom="1440" w:gutter="0" w:footer="0" w:header="0"/>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42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680"/>
          </w:cols>
          <w:pgMar w:left="240" w:top="472" w:right="25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000" w:space="720"/>
            <w:col w:w="1980" w:space="120"/>
            <w:col w:w="3580"/>
          </w:cols>
          <w:pgMar w:left="240" w:top="472" w:right="259" w:bottom="1440" w:gutter="0" w:footer="0" w:header="0"/>
          <w:type w:val="continuous"/>
        </w:sectPr>
      </w:pPr>
    </w:p>
    <w:p>
      <w:pPr>
        <w:spacing w:after="0" w:line="16" w:lineRule="exact"/>
        <w:rPr>
          <w:sz w:val="24"/>
          <w:szCs w:val="24"/>
          <w:color w:val="auto"/>
        </w:rPr>
      </w:pPr>
    </w:p>
    <w:p>
      <w:pPr>
        <w:spacing w:after="0" w:line="207" w:lineRule="exact"/>
        <w:tabs>
          <w:tab w:leader="none" w:pos="8780" w:val="left"/>
        </w:tabs>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  x</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10, 2015, there were 18,440,070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w w:val="98"/>
              </w:rPr>
              <w:t>XCEL BRANDS,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0" w:type="dxa"/>
            <w:vAlign w:val="bottom"/>
            <w:gridSpan w:val="8"/>
          </w:tcPr>
          <w:p>
            <w:pPr>
              <w:jc w:val="center"/>
              <w:ind w:right="3720"/>
              <w:spacing w:after="0"/>
              <w:rPr>
                <w:sz w:val="20"/>
                <w:szCs w:val="20"/>
                <w:color w:val="auto"/>
              </w:rPr>
            </w:pPr>
            <w:r>
              <w:rPr>
                <w:rFonts w:ascii="Arial" w:cs="Arial" w:eastAsia="Arial" w:hAnsi="Arial"/>
                <w:sz w:val="18"/>
                <w:szCs w:val="18"/>
                <w:color w:val="auto"/>
              </w:rPr>
              <w:t>INDEX</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 of Stockholders’ Equity</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120" w:type="dxa"/>
            <w:vAlign w:val="bottom"/>
          </w:tcPr>
          <w:p>
            <w:pPr>
              <w:jc w:val="center"/>
              <w:ind w:left="670"/>
              <w:spacing w:after="0"/>
              <w:rPr>
                <w:sz w:val="20"/>
                <w:szCs w:val="20"/>
                <w:color w:val="auto"/>
              </w:rPr>
            </w:pPr>
            <w:r>
              <w:rPr>
                <w:rFonts w:ascii="Arial" w:cs="Arial" w:eastAsia="Arial" w:hAnsi="Arial"/>
                <w:sz w:val="18"/>
                <w:szCs w:val="18"/>
                <w:b w:val="1"/>
                <w:bCs w:val="1"/>
                <w:color w:val="auto"/>
              </w:rPr>
              <w:t>PART 1. FINANCIAL INFORMATION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120" w:type="dxa"/>
            <w:vAlign w:val="bottom"/>
          </w:tcPr>
          <w:p>
            <w:pPr>
              <w:jc w:val="center"/>
              <w:ind w:left="650"/>
              <w:spacing w:after="0"/>
              <w:rPr>
                <w:sz w:val="20"/>
                <w:szCs w:val="20"/>
                <w:color w:val="auto"/>
              </w:rPr>
            </w:pPr>
            <w:r>
              <w:rPr>
                <w:rFonts w:ascii="Arial" w:cs="Arial" w:eastAsia="Arial" w:hAnsi="Arial"/>
                <w:sz w:val="18"/>
                <w:szCs w:val="18"/>
                <w:b w:val="1"/>
                <w:bCs w:val="1"/>
                <w:color w:val="auto"/>
                <w:w w:val="90"/>
              </w:rPr>
              <w:t>Xcel Brands, Inc. and Subsidiaries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120" w:type="dxa"/>
            <w:vAlign w:val="bottom"/>
          </w:tcPr>
          <w:p>
            <w:pPr>
              <w:ind w:left="1360"/>
              <w:spacing w:after="0"/>
              <w:rPr>
                <w:sz w:val="20"/>
                <w:szCs w:val="20"/>
                <w:color w:val="auto"/>
              </w:rPr>
            </w:pPr>
            <w:r>
              <w:rPr>
                <w:rFonts w:ascii="Arial" w:cs="Arial" w:eastAsia="Arial" w:hAnsi="Arial"/>
                <w:sz w:val="18"/>
                <w:szCs w:val="18"/>
                <w:b w:val="1"/>
                <w:bCs w:val="1"/>
                <w:color w:val="auto"/>
              </w:rPr>
              <w:t>Condensed Consolidated Balance Sheets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See 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16,204,000</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7,491,000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622,000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assets held for disposition from discontinued retail operations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24,934,000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Trademarks and other intangibles,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112,604,000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97,679,000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Deferred finance costs,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518,000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assets held for disposition from discontinued retail operations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non-current other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126,927,000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111,068,000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152,439,000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125,741,000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Liabilities and Stockholders' Equity</w:t>
            </w:r>
          </w:p>
        </w:tc>
        <w:tc>
          <w:tcPr>
            <w:tcW w:w="5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2,251,000</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719,000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Installment obligations in connection with the acquisition of the Ripka Brand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819,000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12,464,000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5,766,000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liabilities held for disposition from discontinued retail operations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16,568,000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17,609,000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29,719,000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39,648,000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7,982,000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37,969,000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54,537,000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65,517,000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1"/>
              </w:rPr>
              <w:t>Common stock, $.001 par value, 35,000,000 shares authorized at September 30, 2015 and December 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ind w:left="280"/>
              <w:spacing w:after="0"/>
              <w:rPr>
                <w:sz w:val="20"/>
                <w:szCs w:val="20"/>
                <w:color w:val="auto"/>
              </w:rPr>
            </w:pPr>
            <w:r>
              <w:rPr>
                <w:rFonts w:ascii="Arial" w:cs="Arial" w:eastAsia="Arial" w:hAnsi="Arial"/>
                <w:sz w:val="18"/>
                <w:szCs w:val="18"/>
                <w:color w:val="auto"/>
                <w:w w:val="91"/>
              </w:rPr>
              <w:t>2014 and 18,440,070 and 14,011,896 issued and outstanding at September 30, 2015 and December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gridSpan w:val="3"/>
          </w:tcPr>
          <w:p>
            <w:pPr>
              <w:ind w:left="280"/>
              <w:spacing w:after="0"/>
              <w:rPr>
                <w:sz w:val="20"/>
                <w:szCs w:val="20"/>
                <w:color w:val="auto"/>
              </w:rPr>
            </w:pPr>
            <w:r>
              <w:rPr>
                <w:rFonts w:ascii="Arial" w:cs="Arial" w:eastAsia="Arial" w:hAnsi="Arial"/>
                <w:sz w:val="18"/>
                <w:szCs w:val="18"/>
                <w:color w:val="auto"/>
              </w:rPr>
              <w:t>2014, respectively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92,586,000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5,298,000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97,902,000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152,439,000</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125,741,000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licensing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7,289,000</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5,378,000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20,082,000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14,982,000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e-commerce sales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7,336,000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20,248,000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7,285,000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5,386,000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20,117,000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14,994,000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9,639,000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design and marketing costs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1,761,000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2,482,000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1,292,000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936,000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3,413,000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4,319,000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6,758,000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18,248,000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14,408,000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expenses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reduction of contingent obligation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1,371,000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3,498,000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 - term debt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227,000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925,000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and finance charges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and finance expense</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1,376,000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2,122,000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242,000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44,000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2,087,000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(281,000)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66,000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1,806,000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Discontinued operations,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17,187,272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12,021,614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15,380,609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11,526,277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weighted average common shares outstanding</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18,278,182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13,034,169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16,471,519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11,526,277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440" w:type="dxa"/>
            <w:vAlign w:val="bottom"/>
            <w:gridSpan w:val="6"/>
          </w:tcPr>
          <w:p>
            <w:pPr>
              <w:ind w:left="5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Retained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14,011,896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56,718,000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3,492,000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60,224,000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in connection with restricted stock grants,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of forfeitures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587,147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Compensation expense in connection with stock options and restricted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3,413,000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Common Stock in connection with the extinguishment of</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5,399,000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2,013,128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18,116,000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18,118,000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 costs related to issuance of Common 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(2,011,000)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(2,011,000)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in connection with the C Wonder Brand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8,999,000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Stock as payment for a portion of the QVC Earn-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Out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290,473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2,515,000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stock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repurchased on vesting of restricted stock</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vested stock grants and exercised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nine months ended September 30,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1,806,000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18,440,070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92,586,000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5,298,000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97,902,000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3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3"/>
              </w:rPr>
              <w:t>For the Nine Months Ended September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1,806,000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(loss) to net cash</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provided by operating activities: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 net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953,000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finance costs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3,413,000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4,319,000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Amortization of note discount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333,000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 benefit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Tax benefit from vested stock grants and exercised options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(83,000)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reduction of contingent obligation</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1,371,000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(3,829,000)</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(1,787,000)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(1,040,000)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718,000</w:t>
            </w: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0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1,287,000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cash provided by (used in) operating activities from discontinued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 net</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104,000</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1,391,000</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consideration for asset acquisition of the Ripka Brand</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Cash consideration for asset acquisition of the H Halston Brand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consideration for asset acquisition of the C Wonder Brand</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(3,586,000)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(94,000)</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for security deposit</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(1,112,000)</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10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(4,806,000)</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from discontinued operations, net</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(4,806,000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(13,010,000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direct costs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16,107,000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65,000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vested stock grants and exercised options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Shares repurchased on vesting of restricted stock</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(711,000)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term debt related to the Ripka Brand</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Payment of contingent obligation</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deferred finance costs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Payment of long-term debt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(2,256,000)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installment obligations related to the acquisition of the Ripka Brand</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(2,190,000)</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11,088,000</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8,389,000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7,673,000</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(1,929,000)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8,531,000</w:t>
            </w: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7,461,000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16,204,000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5,532,000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Issuance of common stock in connection with CW Wonder Brand acquisition</w:t>
            </w:r>
          </w:p>
        </w:tc>
        <w:tc>
          <w:tcPr>
            <w:tcW w:w="1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9,000,000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Contingent obligation related to acquisition of the C Wonder Brand</w:t>
            </w:r>
          </w:p>
        </w:tc>
        <w:tc>
          <w:tcPr>
            <w:tcW w:w="10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Borders>
              <w:bottom w:val="single" w:sz="8" w:color="CCEEFF"/>
            </w:tcBorders>
            <w:vMerge w:val="continue"/>
          </w:tcPr>
          <w:p>
            <w:pPr>
              <w:spacing w:after="0"/>
              <w:rPr>
                <w:sz w:val="20"/>
                <w:szCs w:val="20"/>
                <w:color w:val="auto"/>
              </w:rPr>
            </w:pPr>
          </w:p>
        </w:tc>
        <w:tc>
          <w:tcPr>
            <w:tcW w:w="10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2,850,000</w:t>
            </w:r>
          </w:p>
        </w:tc>
        <w:tc>
          <w:tcPr>
            <w:tcW w:w="2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tcBorders>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Issuance of common stock as payment for a portion of the Ripka Seller Notes</w:t>
            </w: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5,400,000</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0"/>
              <w:spacing w:after="0"/>
              <w:rPr>
                <w:sz w:val="20"/>
                <w:szCs w:val="20"/>
                <w:color w:val="auto"/>
              </w:rPr>
            </w:pPr>
            <w:r>
              <w:rPr>
                <w:rFonts w:ascii="Arial" w:cs="Arial" w:eastAsia="Arial" w:hAnsi="Arial"/>
                <w:sz w:val="18"/>
                <w:szCs w:val="18"/>
                <w:color w:val="auto"/>
              </w:rPr>
              <w:t>Issuance of common stock as payment for a portion of the QVC Earn-Out</w:t>
            </w:r>
          </w:p>
        </w:tc>
        <w:tc>
          <w:tcPr>
            <w:tcW w:w="10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Borders>
              <w:bottom w:val="single" w:sz="8" w:color="CCEEFF"/>
            </w:tcBorders>
            <w:vMerge w:val="continue"/>
          </w:tcPr>
          <w:p>
            <w:pPr>
              <w:spacing w:after="0"/>
              <w:rPr>
                <w:sz w:val="20"/>
                <w:szCs w:val="20"/>
                <w:color w:val="auto"/>
              </w:rPr>
            </w:pPr>
          </w:p>
        </w:tc>
        <w:tc>
          <w:tcPr>
            <w:tcW w:w="10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2,515,000</w:t>
            </w:r>
          </w:p>
        </w:tc>
        <w:tc>
          <w:tcPr>
            <w:tcW w:w="2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Issuance of Notes payable as partial consideration in the</w:t>
            </w: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acquisition of the Ripka Brand (net of debt discount - see Note 5)</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4,165,000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tcBorders>
              <w:top w:val="single" w:sz="8" w:color="CCEEFF"/>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Issuance of common stock in connection with Ripka Brand acquisition</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0"/>
              <w:spacing w:after="0"/>
              <w:rPr>
                <w:sz w:val="20"/>
                <w:szCs w:val="20"/>
                <w:color w:val="auto"/>
              </w:rPr>
            </w:pPr>
            <w:r>
              <w:rPr>
                <w:rFonts w:ascii="Arial" w:cs="Arial" w:eastAsia="Arial" w:hAnsi="Arial"/>
                <w:sz w:val="18"/>
                <w:szCs w:val="18"/>
                <w:color w:val="auto"/>
              </w:rPr>
              <w:t>Contingent obligation related to acquisition of the Ripka Brand</w:t>
            </w:r>
          </w:p>
        </w:tc>
        <w:tc>
          <w:tcPr>
            <w:tcW w:w="10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Borders>
              <w:bottom w:val="single" w:sz="8" w:color="CCEEFF"/>
            </w:tcBorders>
            <w:vMerge w:val="continue"/>
          </w:tcPr>
          <w:p>
            <w:pPr>
              <w:spacing w:after="0"/>
              <w:rPr>
                <w:sz w:val="20"/>
                <w:szCs w:val="20"/>
                <w:color w:val="auto"/>
              </w:rPr>
            </w:pPr>
          </w:p>
        </w:tc>
        <w:tc>
          <w:tcPr>
            <w:tcW w:w="10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3,784,000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904"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during the period for income taxes</w:t>
            </w:r>
          </w:p>
        </w:tc>
        <w:tc>
          <w:tcPr>
            <w:tcW w:w="2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447,000</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Cash paid during the period for interest</w:t>
            </w:r>
          </w:p>
        </w:tc>
        <w:tc>
          <w:tcPr>
            <w:tcW w:w="2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855,000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571,000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It is the opinion of Xcel Brands, Inc., (the “Company”), however, that the accompanying unaudited condensed consolidated financial statements include all adjustments, which are of a normal recurring nature, necessary for a fair presentation of the financial position, operating results and cash flows for the periods presented.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Company’s Annual Report on Form 10-K for the year ended December 31, 2014, as filed with the SEC on March 31, 2015, which contains the audited consolidated financial statements and notes thereto, together with Management’s Discussion and Analysis of Financial Condition and Results of Operations, for the years ended December 31, 2014 and 2013. The financial information as of December 31, 2014 is derived from the audited consolidated financial statements presented in the Company’s Annual Report on Form 10-K for the year ended December 31, 2014. The interim results for the three and nine months ended September 30, 2015 are not necessarily indicative of the results to be expected for the year ending December 31, 2015 or for any future interim periods.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brand development and media company engaged in the design, licensing, marketing and direct to consumer sales of branded apparel, footwear, accessories, jewelry and home goods, and the acquisition of additional high profile consumer lifestyle brands, including the Isaac Mizrahi brand (the "Isaac Mizrahi Brand"), the Judith Ripka brand (the “Ripka Brand”), the H by Halston and H Halston brands (collectively, the “H Halston Brands”), the C Wonder brand acquired on July 31, 2015 (the “C Wonder Brand”) and certain rights of the Liz Claiborne New York brand (“LCNY Brand”) through July 31, 2016. Going forward, our focus shall be on our wholly-owned brands.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operates in a “working capital light” business model, wherein the Company licenses its brands to third parties, provides certain design services, and generates royalty and design and service fee revenues through licensing and other agreements with wholesale manufacturers, sourcing and design companies and retailers. This includes licensing its own brands for promotion and distribution through an omni-channel retail sales strategy, including distribution through direct-response television (i.e., QVC, Inc. (“QVC”) and The Shopping Channel), the internet and traditional brick-and-mortar retail channels. The Isaac Mizrahi Brand and LCNY Brand are licensed through the Company’s wholly-owned subsidiary, IM Brands, LLC (“IM Brands”) (the “Isaac Mizrahi Business”), the Ripka Brand is licensed through the Company’s wholly-owned subsidiary, JR Licensing, LLC (“JR Licensing”), the H Halston Brands are licensed through the Company’s wholly-owned subsidiary, H Licensing, LLC (“H Licensing”) and the C Wonder Brand is licensed through the Company’s wholly-owned subsidiary, C Wonder Licensing, LLC (“C Wonder Licensing”).</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June 2013 through December 2014, the Company operated its retail business through its wholly-owned subsidiary, IMNY Retail Management, LLC. In December 2014, the Company discontinued its retail stores. Accordingly, the Company’s retail operations are treated as discontinued operations and prior periods presented have been reclassified to give effect to this change (see Note 10).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Company's discontinued operations, certain reclassifications have been made to the prior period condensed consolidated financial statements to conform to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Financial Accounting Standard Board (the “FASB”) issued Accounting Standards Update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companies will need to use more judgment and make more estimates than under the current guidance. These may include identifying performance obligations in the contract, estimating the amount of variable consideration to include in the transaction price and allocating the transaction price to each separate performance obligation. ASU 2014-09 was initially effective for fiscal years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Early adoption is not permitted. The Company is currently evaluating the method and impact the adoption of ASU 2014-09 will have on the Company’s consolidated financial statements and disclosures. In July 2015, the FASB deferred the effective date of ASU 2014-09 for one year, and proposed some modifications to the original provisions.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96"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the FASB issued ASU No. 2015-03, “Interest - Imputation of Interest” (“ASU 2015-03”). ASU 2015-03 simplifies the presentation of debt issuance costs by requiring that debt issuance costs related to a recognized debt liability be presented in the balance sheet as a direct deduction from the carrying amount of that debt liability, consistent with debt discounts or premiums. The recognition and measurement guidance for debt issuance costs would not be affected by the amendments of ASU 2015-03. For public business entities, ASU 2015-03 is effective for financial statements issued for fiscal years beginning after December 31, 2015, and interim periods within those fiscal years. For all other entities, ASU 2015-03 is effective for financial statements issued for fiscal years beginning after December 15, 2015, and interim periods within fiscal years beginning after December 15, 2016. Early adoption is permitted for financial statements that have not been previously issued. The adoption of ASU 2015-03 did not have an effect on the Company’s financial statements as of September 30, 2015.</w:t>
      </w:r>
    </w:p>
    <w:p>
      <w:pPr>
        <w:spacing w:after="0" w:line="18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C Wonder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31, 2015 (the “C Wonder Closing Date”), the Company and C Wonder Licensing (the “Buyers”), completed the acquisition of certain assets of Burch Acquisition, LLC (the “Seller”), including the “C Wonder” trademark and other intellectual property relating thereto, pursuant to an asset purchase agreement (the “Purchase Agreement”) dated as of July 16, 2015 among the Buyers, the Seller and, solely with respect to certain non-compete and confidentiality provisions of the Purchase Agreement, J. Christopher Burch.</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the Purchase Agreement, the Buyers delivered (i) $2,500,000 in cash and 500,000 shares of common stock of the Company to the Seller (the “Closing Consideration”) and (ii) $500,000 in cash and 500,000 shares of common stock of the Company into escrow for purposes of future indemnification obligations of the Seller (the “Escrow Consideration”). In addition to the foregoing consideration, Burch LLC will be eligible to earn additional cash (or, at our discretion, shares of our common stock), payable, if at all, after June 30, 2019 based on the royalties related directly to the C Wonder Brand. The value of this additional consideration, or earn-out, will be calculated as the positive amount, if any, of (i) two times (A) the maximum net royalties from license agreements as calculated for any single 12 month period commencing on July 1 and ending on June 30 between the C Wonder closing and June 30, 2019, less (B) $4.0 million, plus (ii) two times the maximum royalty determined based on a percentage of the retail and wholesale sales of C Wonder branded products by Xcel as calculated for any single 12 month period commencing on July 1 and ending on June 30 between the C Wonder closing and June 30, 2019.</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15, 2015, the Company and C Wonder Licensing entered into a license agreement with QVC, Inc. dated July 31, 2015, which became effective upon the closing of the C Wonder acquisition (the “QVC License Agreement”). Pursuant to the QVC License Agreement, C Wonder designs and QVC markets, promotes, distributes and sells various products under the C Wonder Brand name in exchange for a royalty based on net retail sales of the products. The initial license period expires on December 31, 2020. After the initial term, the QVC License Agreement automatically renews for additional three-year terms in perpetuity unless either party notifies the other of its intention not to renew at least sixty (60) days prior to the end of the then-current term.</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 Wonder Brand acquisition was accounted for as an asset purchase. The aggregate purchase price has been allocated to the following assets based on the fair market value of the assets on the date of acquisition:</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54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15,436,000</w:t>
            </w:r>
          </w:p>
        </w:tc>
      </w:tr>
      <w:tr>
        <w:trPr>
          <w:trHeight w:val="223"/>
        </w:trPr>
        <w:tc>
          <w:tcPr>
            <w:tcW w:w="85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acquisition price</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Trademarks have been determined by management to have an estimated useful life of 15 years and accordingly, amortization expense of $172,000 has been recorded in the Company’s consolidated statements of operations for the quarter ended September 30, 2015 (the “Current Quarter”) and the nine months ended September 30, 2015 (“Current Nine Months”).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the aggregate purchase price of $15.4 million, including legal and other fees of $0.59 million: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42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Fair value of Common Stock issued (1,000,000 shares)</w:t>
            </w:r>
          </w:p>
        </w:tc>
        <w:tc>
          <w:tcPr>
            <w:tcW w:w="3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 Wonder Earn-Out obligation (at fair value, see Note 5)</w:t>
            </w:r>
          </w:p>
        </w:tc>
        <w:tc>
          <w:tcPr>
            <w:tcW w:w="3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 transaction expenses</w:t>
            </w:r>
          </w:p>
        </w:tc>
        <w:tc>
          <w:tcPr>
            <w:tcW w:w="3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586,000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consideration</w:t>
            </w:r>
          </w:p>
        </w:tc>
        <w:tc>
          <w:tcPr>
            <w:tcW w:w="39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980" w:type="dxa"/>
            <w:vAlign w:val="bottom"/>
            <w:vMerge w:val="restart"/>
          </w:tcPr>
          <w:p>
            <w:pPr>
              <w:jc w:val="right"/>
              <w:ind w:right="3350"/>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3.  Trademarks, Goodwill and Other Intangibles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60" w:type="dxa"/>
            <w:vAlign w:val="bottom"/>
          </w:tcPr>
          <w:p>
            <w:pPr>
              <w:spacing w:after="0"/>
              <w:rPr>
                <w:sz w:val="20"/>
                <w:szCs w:val="20"/>
                <w:color w:val="auto"/>
              </w:rPr>
            </w:pPr>
          </w:p>
        </w:tc>
        <w:tc>
          <w:tcPr>
            <w:tcW w:w="6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Licensing agreements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562,000</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Copyrights and other intellectual property</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190,000</w:t>
            </w: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(2,260,000)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(1,735,000)</w:t>
            </w:r>
          </w:p>
        </w:tc>
      </w:tr>
      <w:tr>
        <w:trPr>
          <w:trHeight w:val="223"/>
        </w:trPr>
        <w:tc>
          <w:tcPr>
            <w:tcW w:w="66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carrying amount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112,604,000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expense for intangible assets for the Current Quarter and the quarter ended September 30, 2014 (the “Prior Year Quarter”) was $211,000 and $134,000, respectively. Amortization expense for intangible assets for the Current Nine Months and the nine months ended September 30, 2014 (the “Prior Year Nine Months”) was $525,000 and $406,000, respectively. The trademarks of the Isaac Mizrahi Brand, the Ripka Brand and the H Halston Brands have been determined to have indefinite useful lives and accordingly, consistent with Accounting Standards Codification (“ASC”) Topic 350, no amortization has been recorded in the Company’s unaudited condensed consolidated statements of operations.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2015 and December 31, 2014, the Company had $12.37 million of goodwill that represents the excess of the purchase price over the fair value of net assets acquired accounted for under the acquisition method of accounting relating to the acquisition of the Isaac Mizrahi Business. There was no change in goodwill during the Current Nine Months.</w:t>
      </w:r>
    </w:p>
    <w:p>
      <w:pPr>
        <w:spacing w:after="0" w:line="1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Royalties from QVC totaled $5.68 million and $4.05 million for the Current Quarter and Prior Year Quarter, respectively, representing 78% and 75% of the Company’s total revenues, respectively. Royalties from QVC totaled $15.78 million and $10.65 million for the Current Nine Months and the Prior Year Nine Months, respectively, representing 79% and 71% of the Company’s total revenues, respectively. As of September 30, 2015 and December 31, 2014, the Company had receivables from QVC of $5.20 million and $2.36 million, representing 69% and 65% of the Company’s receivables, respectively. The September 30, 2015 QVC receivables include $1.47 million of earned revenue that had been accrued but not billed as of September 30, 2015. The QVC receivables at December 31, 2014 had no earned revenue that was not billed.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60" w:type="dxa"/>
            <w:vAlign w:val="bottom"/>
          </w:tcPr>
          <w:p>
            <w:pPr>
              <w:spacing w:after="0"/>
              <w:rPr>
                <w:sz w:val="20"/>
                <w:szCs w:val="20"/>
                <w:color w:val="auto"/>
              </w:rPr>
            </w:pPr>
          </w:p>
        </w:tc>
        <w:tc>
          <w:tcPr>
            <w:tcW w:w="6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IM Term Loan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12,750,000</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JR Term Loan</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r>
      <w:tr>
        <w:trPr>
          <w:trHeight w:val="216"/>
        </w:trPr>
        <w:tc>
          <w:tcPr>
            <w:tcW w:w="6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H Term Loan</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r>
      <w:tr>
        <w:trPr>
          <w:trHeight w:val="216"/>
        </w:trPr>
        <w:tc>
          <w:tcPr>
            <w:tcW w:w="6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 Seller Note (*)</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4,839,000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5,366,000</w:t>
            </w:r>
          </w:p>
        </w:tc>
      </w:tr>
      <w:tr>
        <w:trPr>
          <w:trHeight w:val="216"/>
        </w:trPr>
        <w:tc>
          <w:tcPr>
            <w:tcW w:w="6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4,398,000</w:t>
            </w:r>
          </w:p>
        </w:tc>
      </w:tr>
      <w:tr>
        <w:trPr>
          <w:trHeight w:val="216"/>
        </w:trPr>
        <w:tc>
          <w:tcPr>
            <w:tcW w:w="6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Contingent obligation – IM Seller</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5,766,000</w:t>
            </w:r>
          </w:p>
        </w:tc>
      </w:tr>
      <w:tr>
        <w:trPr>
          <w:trHeight w:val="216"/>
        </w:trPr>
        <w:tc>
          <w:tcPr>
            <w:tcW w:w="6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3,784,000</w:t>
            </w:r>
          </w:p>
        </w:tc>
      </w:tr>
      <w:tr>
        <w:trPr>
          <w:trHeight w:val="230"/>
        </w:trPr>
        <w:tc>
          <w:tcPr>
            <w:tcW w:w="66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Contingent obligation – CW Seller</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42,433,000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portion (*)</w:t>
            </w:r>
          </w:p>
        </w:tc>
        <w:tc>
          <w:tcPr>
            <w:tcW w:w="1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12,714,000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11,416,000</w:t>
            </w:r>
          </w:p>
        </w:tc>
      </w:tr>
      <w:tr>
        <w:trPr>
          <w:trHeight w:val="223"/>
        </w:trPr>
        <w:tc>
          <w:tcPr>
            <w:tcW w:w="660" w:type="dxa"/>
            <w:vAlign w:val="bottom"/>
          </w:tcPr>
          <w:p>
            <w:pPr>
              <w:spacing w:after="0"/>
              <w:rPr>
                <w:sz w:val="19"/>
                <w:szCs w:val="19"/>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82"/>
        <w:spacing w:after="0" w:line="277" w:lineRule="auto"/>
        <w:tabs>
          <w:tab w:leader="none" w:pos="832" w:val="left"/>
        </w:tabs>
        <w:numPr>
          <w:ilvl w:val="0"/>
          <w:numId w:val="5"/>
        </w:numPr>
        <w:rPr>
          <w:rFonts w:ascii="Arial" w:cs="Arial" w:eastAsia="Arial" w:hAnsi="Arial"/>
          <w:sz w:val="18"/>
          <w:szCs w:val="18"/>
          <w:color w:val="auto"/>
        </w:rPr>
      </w:pPr>
      <w:r>
        <w:rPr>
          <w:rFonts w:ascii="Arial" w:cs="Arial" w:eastAsia="Arial" w:hAnsi="Arial"/>
          <w:sz w:val="18"/>
          <w:szCs w:val="18"/>
          <w:color w:val="auto"/>
        </w:rPr>
        <w:t>$4,089,000 of the current portion of long-term debt consists of the IM Seller Note, described below, which is payable in common stock or cash, at the Company’s 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 2013, IM Brands entered into a $13.0 million five year term loan with Bank of Hapoalim (“BHI”) (as amended, the “IM Term Loan”). The IM Term Loan is secured by all of the assets of IM Brands and the Company’s membership interest in IM Brands and bears interest at an annual fixed rate of 4.44%, payable quarterly in arrears each calendar quarter. The obligations under the IM Term Loan are also guaranteed by the Company. Scheduled principal payments are as follows: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Principal</w:t>
            </w:r>
          </w:p>
        </w:tc>
      </w:t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(October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2,625,000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IM Brands is required to prepay the outstanding amount of the IM Term Loan from excess cash flow for each fiscal year commencing with the year ending December 31, 2015 in arrears in an amount equal to (i) fifty percent (50%) of the excess cash flow for such fiscal year, until such time as principal payments to BHI under the IM Term Loan and the JR Term Loan equal $1,000,000 in the aggregate, then twenty percent (20%) of the excess cash flow for such fiscal year. Excess cash flow means, for any fiscal period, cash provided by operating activities for such period less (a) capital expenditures not made through the incurrence of indebtedness less (b) all interest and principal (including indebtedness owed for the IM Term Loan) paid or payable during such period less (c) all income tax payments made during such period. The Company estimates that the principal payment due from excess cash flow for the year ending December 31, 2015 is $2,000,000 and is included in the current portion of long-term debt on the September 30, 2015 condensed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IM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JR Term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 2014, the Company entered into a $9 million five year term loan with BHI (as amended, the “JR Term Loan”). The JR Term Loan is secured by all of the assets of JR Licensing and a guarantee from the Company secured by a pledge of the Company’s membership interest in JR Licensing and by a guarantee from IM Brands, secured by a pledge of all of IM Brands’ assets. The JR Term Loan bears interest at an annual variable rate of either LIBOR plus 3.5% or Prime plus 0.50%, at JR Licensing’s option, payable, if the JR Term Loan is bearing interest based on LIBOR, on the last business day of the applicable interest period and, if the JR Term Loan is bearing interest based on Prime, quarterly in arrears on the first day of each calendar quarter. Scheduled principal payments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 of</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Principal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ind w:left="860"/>
              <w:spacing w:after="0"/>
              <w:rPr>
                <w:sz w:val="20"/>
                <w:szCs w:val="20"/>
                <w:color w:val="auto"/>
              </w:rPr>
            </w:pPr>
            <w:r>
              <w:rPr>
                <w:rFonts w:ascii="Arial" w:cs="Arial" w:eastAsia="Arial" w:hAnsi="Arial"/>
                <w:sz w:val="18"/>
                <w:szCs w:val="18"/>
                <w:b w:val="1"/>
                <w:bCs w:val="1"/>
                <w:color w:val="auto"/>
              </w:rPr>
              <w:t>Year Ending December 31,</w:t>
            </w: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Payment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(October 1 through December 31)</w:t>
            </w:r>
          </w:p>
        </w:tc>
        <w:tc>
          <w:tcPr>
            <w:tcW w:w="3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2016</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2018</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8,250,000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60" w:type="dxa"/>
            <w:vAlign w:val="bottom"/>
            <w:vMerge w:val="restart"/>
          </w:tcPr>
          <w:p>
            <w:pPr>
              <w:jc w:val="right"/>
              <w:ind w:right="24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JR Licensing is required to prepay the outstanding amount of the JR Term Loan from excess cash flow (the “JR Cash Flow Recapture”) for each fiscal year commencing with the year ending December 31, 2015 in arrears in an amount equal to fifty percent (50%) of such JR Cash Flow Recapture. JR Cash Flow Recapture shall mean for any fiscal period, cash provided by operating activities for such period less (a) capital expenditures not made through the incurrence of indebtedness less (b) all interest and principal (including indebtedness owed for the JR Term Loan) paid or payable during such period less (c) the portion of the holdback amount paid or payable pursuant to the asset purchase agreement dated April 1, 2014 by and between JR Licensing and Judith Ripka Berk (“Ms. Berk”) and certain companies owned by Ms. Berk (collectively “Ripka”) during such period less (d) payments made during such period by JR Licensing to the Company equal to the estimated tax liability of the Company resulting from any taxable income (net of losses, including for prior years to the extent permitted to be deducted) of JR Licensing. JR Licensing also executed a guaranty of the IM Term Loan, secured by a pledge of all of JR Licensing’s assets. The Company currently anticipates that there will not be a principal payment due from excess cash flow for the year ending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JR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 Term Loan</w:t>
      </w:r>
    </w:p>
    <w:p>
      <w:pPr>
        <w:spacing w:after="0" w:line="225" w:lineRule="exact"/>
        <w:rPr>
          <w:sz w:val="20"/>
          <w:szCs w:val="20"/>
          <w:color w:val="auto"/>
        </w:rPr>
      </w:pPr>
    </w:p>
    <w:p>
      <w:pPr>
        <w:jc w:val="both"/>
        <w:ind w:firstLine="535"/>
        <w:spacing w:after="0" w:line="259" w:lineRule="auto"/>
        <w:rPr>
          <w:sz w:val="20"/>
          <w:szCs w:val="20"/>
          <w:color w:val="auto"/>
        </w:rPr>
      </w:pPr>
      <w:r>
        <w:rPr>
          <w:rFonts w:ascii="Arial" w:cs="Arial" w:eastAsia="Arial" w:hAnsi="Arial"/>
          <w:sz w:val="18"/>
          <w:szCs w:val="18"/>
          <w:color w:val="auto"/>
        </w:rPr>
        <w:t>On December 22, 2014, H Licensing entered into a $10 million, five year term loan with BHI (“H Term Loan”). The H Term Loan is secured by (i) all of the assets of H Licensing, (ii) a guarantee by the Company, secured by a pledge of the Company’s membership interest in H Licensing, (iii) a guarantee from IM Brands, secured by a pledge of all of the assets of IM Brands, and (iv) a guarantee from JR Licensing, secured by a pledge of all of the assets of JR Licensing.</w:t>
      </w:r>
    </w:p>
    <w:p>
      <w:pPr>
        <w:spacing w:after="0" w:line="187" w:lineRule="exact"/>
        <w:rPr>
          <w:sz w:val="20"/>
          <w:szCs w:val="20"/>
          <w:color w:val="auto"/>
        </w:rPr>
      </w:pPr>
    </w:p>
    <w:p>
      <w:pPr>
        <w:jc w:val="both"/>
        <w:ind w:firstLine="535"/>
        <w:spacing w:after="0" w:line="259" w:lineRule="auto"/>
        <w:rPr>
          <w:sz w:val="20"/>
          <w:szCs w:val="20"/>
          <w:color w:val="auto"/>
        </w:rPr>
      </w:pPr>
      <w:r>
        <w:rPr>
          <w:rFonts w:ascii="Arial" w:cs="Arial" w:eastAsia="Arial" w:hAnsi="Arial"/>
          <w:sz w:val="18"/>
          <w:szCs w:val="18"/>
          <w:color w:val="auto"/>
        </w:rPr>
        <w:t>The H Term Loan bears interest at an annual rate, as elected by H Licensing, of LIBOR plus 3.50% or Prime rate plus 0.50%. Interest on the H Term Loan accruing at a rate based on LIBOR is payable on the last business day of the applicable interest period and interest on the H Term Loan accruing at a rate based on the Prime rate is payable quarterly in arrears on the first day of each calendar quarter. Scheduled principal payments of the H Loan are as follows: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Principal</w:t>
            </w:r>
          </w:p>
        </w:tc>
      </w:t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8"/>
          <w:szCs w:val="18"/>
          <w:color w:val="auto"/>
        </w:rPr>
        <w:t>For any fiscal year commencing with the fiscal year ending December 31, 2015, H Licensing is required to prepay the outstanding amount of the H Term Loan from excess cash flow for the prior fiscal year in an amount equal to twenty percent (20%) of such excess cash flow. Excess cash flow is defined as, for any fiscal period, cash provided by operating activities for such period less (a) capital expenditures not made through the incurrence of indebtedness less (b) all cash interest and principal (including the H Term Loan) paid or payable during such period less (c) all taxes paid or payable during such period less (d) payments made during such period by H Licensing to the Company equal to the estimated tax liability of the Company resulting from any taxable income (net of losses, including for prior years to the extent permitted to be deducted) of H Licensing. H Licensing also executed a guarantee of the Company’s outstanding term loans with BHI. The Company estimates that there will not be a principal payment due from excess cash flow for the year ending December 31,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“Financial Covenants” below for a summary of the financial covenants required under the H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 Term Loans</w:t>
      </w:r>
    </w:p>
    <w:p>
      <w:pPr>
        <w:spacing w:after="0" w:line="225" w:lineRule="exact"/>
        <w:rPr>
          <w:sz w:val="20"/>
          <w:szCs w:val="20"/>
          <w:color w:val="auto"/>
        </w:rPr>
      </w:pPr>
    </w:p>
    <w:p>
      <w:pPr>
        <w:jc w:val="both"/>
        <w:ind w:right="20" w:firstLine="574"/>
        <w:spacing w:after="0" w:line="264" w:lineRule="auto"/>
        <w:rPr>
          <w:sz w:val="20"/>
          <w:szCs w:val="20"/>
          <w:color w:val="auto"/>
        </w:rPr>
      </w:pPr>
      <w:r>
        <w:rPr>
          <w:rFonts w:ascii="Arial" w:cs="Arial" w:eastAsia="Arial" w:hAnsi="Arial"/>
          <w:sz w:val="18"/>
          <w:szCs w:val="18"/>
          <w:color w:val="auto"/>
        </w:rPr>
        <w:t>The Company is required to maintain minimum fixed charge ratio and liquidity covenants and other non-monetary covenants, including reporting requirements and trademark preservation in accordance with the terms and conditions of the IM Term Loan, the JR Term Loan, and the H Term Loan (collectively, the “Term Loans”). In addition:</w:t>
      </w:r>
    </w:p>
    <w:p>
      <w:pPr>
        <w:spacing w:after="0" w:line="181" w:lineRule="exact"/>
        <w:rPr>
          <w:sz w:val="20"/>
          <w:szCs w:val="20"/>
          <w:color w:val="auto"/>
        </w:rPr>
      </w:pPr>
    </w:p>
    <w:p>
      <w:pPr>
        <w:jc w:val="both"/>
        <w:ind w:left="1300" w:hanging="644"/>
        <w:spacing w:after="0" w:line="25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(as defined in the respective term loan agreements) of the Company on a consolidated basis shall not be less than $7,500,000 for the year ending December 31, 2015, not less than $15,500,000 for the year ending December 31, 2016 and not less than $17,000,000 for year ending December 31, 2017 and each year end thereafter;</w:t>
      </w:r>
    </w:p>
    <w:p>
      <w:pPr>
        <w:jc w:val="both"/>
        <w:ind w:left="13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of the Company on a consolidated basis in any fiscal year shall not exceed $1,300,000, of which not more than $500,000 shall be capital expenditures for the retail division for the year ending December 31, 2015, and $500,000 for the year ending December 31, 2016 and each year end thereafter;</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any time;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02"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 assets of the Company on a consolidated basis shall not be less than $4,500,000 at any time after August 31, 2015;</w:t>
      </w:r>
    </w:p>
    <w:p>
      <w:pPr>
        <w:spacing w:after="0" w:line="23" w:lineRule="exact"/>
        <w:rPr>
          <w:rFonts w:ascii="Arial" w:cs="Arial" w:eastAsia="Arial" w:hAnsi="Arial"/>
          <w:sz w:val="18"/>
          <w:szCs w:val="18"/>
          <w:color w:val="auto"/>
        </w:rPr>
      </w:pPr>
    </w:p>
    <w:p>
      <w:pPr>
        <w:jc w:val="both"/>
        <w:ind w:left="1300" w:right="20" w:hanging="644"/>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of IM Brands (as defined in the agreement) shall not be less than $9,000,000 for the year ending December 31, 2015, not less than $11,000,000 for the year ending December 31, 2016 and not less than $12,500,000 for the year ending December 31, 2017 and each year end thereafter;</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of JR Licensing (as defined in the agreement) shall not be less than $4,000,000 for the year ending December 31, 2015 and not less than $5,000,000 for the year ending December 31, 2016 and each year end thereafter;</w:t>
      </w:r>
    </w:p>
    <w:p>
      <w:pPr>
        <w:jc w:val="both"/>
        <w:ind w:left="1300" w:hanging="644"/>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 Licensing’s loss, if any (prior to the Company’s allocable expenses) for the year ending December 31, 2015 cannot exceed $500,000 and EBITDA of H Licensing (as defined in the agreement) shall not be less than $4,500,000 for the year ending December 31, 2016 and not less than $5,000,000 for the year ending December 31, 2017 and each year end thereafter; and</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H Licensing shall have license royalty income of at least $6,000,000 each year commencing for the year ending December 31, 2016.</w:t>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25, 2015, the Company entered into an Amendment to Line Letter Agreements with BHI (the “Line Letter Amendment”), pursuant to which the parties amended the IM Term Loan, the JR Term Loan and the H Term Loan in order to amend the definition of “Liquid Assets” in each of the term loans to include cash on deposit with BHI to secure the reimbursement of obligations to BHI arising from the issuance of letters of credit by BHI for the benefit of the Company. Additionally, the term loans are amended to permit the Company and (a) JR Licensing (with respect to the JR Term Loan), (b) H Licensing (with respect to the H Term Loan) or (c) IM Brands (with respect to the IM Term Loan), as applicable, to incur additional indebtedness with BHI.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the Company was in compliance with all of the covenants under the Term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Quarter and the Prior Year Quarter, the Company incurred interest expense of $304,000 and $227,000, respectively, related to the Term Loans. For the Current Nine Months and the Prior Year Nine Months, the Company incurred interest expense of $918,000 and $598,000, respectively, related to the Term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is 0.25%. Management determined that this rate was below the Company’s expected borrowing rate, which was then estimated at 9.25% per annum. Therefore, the Company discounted the IM Seller Note by $1,740,000 using a 9.0% imputed annual interest rate, resulting in an initial value of $5,637,000. Also, on September 29, 2011, the Company prepaid $123,000 of interest on the IM Seller Note. The imputed interest amount is being amortized over the term of the IM Seller Note and recorded as other interest and finance expense on the Company’s unaudited condensed consolidated statements of operations.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24, 2013, the IM Seller Note was amended to (1) revise the maturity date to September 30, 2016 (the “Amended Maturity Date”), (2) revise the date to which the maturity date may be extended to September 30, 2018. The IM Seller Note also (1) provides the Company with a prepayment right with its Common Stock, subject to remitting in cash the required cash payments set forth below and a minimum Common Stock price of $4.50 per share, and (2) requires interim scheduled payments. The remaining scheduled principal payments (including amortization of imputed interest)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Payment</w:t>
            </w:r>
          </w:p>
        </w:tc>
      </w:tr>
      <w:tr>
        <w:trPr>
          <w:trHeight w:val="234"/>
        </w:trPr>
        <w:tc>
          <w:tcPr>
            <w:tcW w:w="9480" w:type="dxa"/>
            <w:vAlign w:val="bottom"/>
            <w:gridSpan w:val="2"/>
          </w:tcPr>
          <w:p>
            <w:pPr>
              <w:ind w:left="4140"/>
              <w:spacing w:after="0"/>
              <w:rPr>
                <w:sz w:val="20"/>
                <w:szCs w:val="20"/>
                <w:color w:val="auto"/>
              </w:rPr>
            </w:pPr>
            <w:r>
              <w:rPr>
                <w:rFonts w:ascii="Arial" w:cs="Arial" w:eastAsia="Arial" w:hAnsi="Arial"/>
                <w:sz w:val="18"/>
                <w:szCs w:val="18"/>
                <w:b w:val="1"/>
                <w:bCs w:val="1"/>
                <w:color w:val="auto"/>
              </w:rPr>
              <w:t>Payment Date</w:t>
            </w:r>
          </w:p>
        </w:tc>
        <w:tc>
          <w:tcPr>
            <w:tcW w:w="34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31, 2016 (i)</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September 30, 2016 (ii)</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4,377,000</w:t>
            </w:r>
          </w:p>
        </w:tc>
      </w:tr>
    </w:tbl>
    <w:p>
      <w:pPr>
        <w:spacing w:after="0" w:line="187"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Payable in cash subject to BHI approving the cash payment. If BHI does not approve the cash payment, the amount shall be payable in shares of Common Stock.</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Payable in stock or cash at the Company’s sole discretion. Amounts paid in cash require BHI’s approval.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Current Quarter and the Prior Year Quarter, the Company incurred interest expense of $79,000 and $86,000, respectively, which includes amortization of the discount on the IM Seller Note of $74,000 and $81,000, respectively. For the Current Nine Months and the Prior Year Nine Months, the Company incurred interest expense of $237,000 and $254,000, respectively, which includes amortization of the discount on the IM Seller Note of $223,000 and $239,000, respectively. The IM Seller Note balance, net of discount, at September 30, 2015 and December 31, 2014 was $4,839,000 and $5,366,000,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Ripka Seller Notes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On February 20, 2015, a portion of the Ripka Seller Notes was amended and satisfied.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determined that its expected borrowing rate is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condensed consolidated statements of operations.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20, 2015, the Company agreed to cancel Ripka Seller Notes in the principal amount of $3.0 million and execute in its place: (i) a $2.4 million principal amount promissory note issued in the name of Ripka (the “$2,400,000 Seller Note”) and (ii) a $600,000 principal amount promissory note issued in the name of Ripka (the “$600,000 Seller Note”), each with substantially the same terms as the Ripka Seller Notes; provided, however, that the Company and Ms. Ripka agreed that, upon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The $2,400,000 Seller Note was assigned by Ripka to Judith Ripka Creations, Inc. and then assigned by Judith Ripka Creations, Inc. to Thai Jewelry Manufacturer Co. LTD. (“Thai Jewelry”).</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20, 2015, the Company entered into a release letter (the “Release Letter”) with Thai Jewelry, pursuant to which the Company agreed to issue to Thai Jewelry an aggregate of 266,667 shares of the Company’s Common Stock in exchange for the cancellation of the $2,400,000 Seller Note. On March 25, 2015, the Company issued the shares of Common Stock pursuant to the Release Letter. The carrying value, net of the discount at the time of the redemption of the $2.4 million Ripka Seller Notes was $1.79 million and, as a result, the Company recorded a loss on the early extinguishment of debt of $0.61 million during the Current Nine Months, which is included in the accompanying condensed consolidated statements of operations.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21, 2015, the Company satisfied an additional $3 million principal amount of the Ripka Seller Notes by issuing 333,334 shares of the Company’s common stock. The carrying value, net of the discount at the time of the redemption of the $3 million Ripka Seller Notes was $2.24 million and, as a result, the Company recorded a loss on the early extinguishment of debt of $0.76 million during the Current Nine Months.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Current Quarter and Prior Year Quarter, the Company incurred interest expense of $8,000 and $78,000, respectively, which consists solely of amortization of the discount on the Ripka Seller Notes. For the Current Nine Months and the Prior Year Nine Months, the Company incurred interest expense of $96,000 and $153,000, respectively, which consists solely of amortization of the discount on the Ripka Seller Notes. The Ripka Seller Notes balance, net of discount, at September 30, 2015 and December 31, 2014 was $460,000 and $4,398,000,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Earn-Out Obligation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IM Ready was eligible to earn additional shares of Common Stock with a value of up to $7,500,000 (the “IM Earn-Out Value”) for the 12-month period ended September 30, 2015 with such earn-out payment contingent upon the Isaac Mizrahi Business achieving the net royalty income target set forth below (the “IM Earn-Out Obligation”). On December 24, 2013, the Company and IM Ready amended the terms of the IM Earn-Out Obligation and eliminated the additional consideration for the 12 months ended September 30, 2014 and the Company made a one-time cash payment of $315,000 to IM Ready in March 2014.</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Current Nine Months, the Company recorded a $3.0 million gain on the reduction of contingent obligations in the accompanying condensed consolidated statements of operations. Prior to the Current Nine Months’ reduction, the IM Earn-Out Obligation was based on the $7.5 million Earn-Out Value multiplied by 40%, the applicable percentage. The applicable percentage was based on an estimated royalty target range. The reduction in the IM Earn-Out Obligation was based primarily on a revision of projected future net royalty income related to the Isaac Mizrahi Brand during the earn-out period ending September 30, 2015. The IM Earn-Out Obligation was reduced as a result of the timing of projected future net royalty income of the Isaac Mizrahi Business, which diminished the probability of achieving the remaining royalty target. This adjustment resulted from the Company having better visibility as to its 2015 royalties given current Isaac Mizrahi Brand product sales information. IM Ready did not meet the net royalty income target for the 12-month period ended September 30, 2015 and, accordingly, the IM Earn-Out Obligation expired and the Company did not issue additional shares of its Common Stock.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 Earn-Out Value was payable solely in stock. In accordance with ASC Topic 480, “Distinguishing Liabilities from Equity” (“ASC Topic 480”), the IM Earn-Out Obligation was treated as a liability in the accompanying condensed consolidated balance sheets because of the variable number of shares payable under the agreement.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IM Earn-Out Obligation is recorded as the current portion of long-term debt in the amount of $0 and $3.0 million at September 30, 2015 and December 31, 2014, respectively, in the accompanying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Earn-Out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was obligated to pay IM Ready $2.76 million, payable in cash or Common Stock, at the Company’s option, contingent upon IM Brands receiving aggregate net royalty income of at least $2.5 million from QVC in the twelve-month period ended September 30, 2015 with the number of shares of such stock based upon the greater of (x) $4.50 per share, and (y) the average stock price for the last twenty business days prior to the time of such issuance (the “QVC Earn-Out”). The $2.5 million in net royalty income from QVC for the twelve-month period ended September 30, 2015 was met and, therefore, the Company issued IM Ready 290,473 shares of Common Stock, valued at $2.51 million as of September 30, 2015 and shall remit a $0.25 million payment in cash.</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QVC Earn-Out of $0.25 million and $2.76 million is recorded as a current liability in the accompanying condensed consolidated balance sheets as of September 30, 2015 and December 31, 2014, respectively, because of the variable number of shares payable under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Ripka Earn-Out</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purchase of the Ripka Brand, the Company agreed to pay Ripka additional consideration of up to $5 million in aggregate (the “Ripka Earn-Out”), payable in cash or shares of the Company’s Common Stock based on the fair market value of the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shall not include any revenues generated by direct-response television sales or any revenue accelerated as a result of termination of any license agreement. The Ripka Earn-Out of $3.78 million is recorded as long-term debt at September 30, 2015 in the accompanying condensed consolidated balance sheets based on the difference between the fair value of the acquired assets of the Ripka Brand and the total consideration paid. In accordance with ASC Topic 480, the Ripka Earn-Out obligation is treated as a liability in the accompanying condensed consolidated balance sheet because of the variable number of shares payable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 Wonder Earn-Ou</w:t>
      </w:r>
      <w:r>
        <w:rPr>
          <w:rFonts w:ascii="Arial" w:cs="Arial" w:eastAsia="Arial" w:hAnsi="Arial"/>
          <w:sz w:val="18"/>
          <w:szCs w:val="18"/>
          <w:color w:val="auto"/>
        </w:rPr>
        <w:t>t</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as long-term debt at September 30, 2015 in the accompanying condensed consolidated balance sheets based on an independent valuation of the Earn-Out utilizing a probability weighted income approach. This approach is based on the probability of the C Wonder Brand achieving certain net royalty income targets within the earn-out periods and then calculating the present value of the weighted average payment amount. In accordance with ASC Topic 480, the C Wonder Earn-Out obligation is treated as a liability in the accompanying condensed consolidated balance sheet because of the variable number of shares payable under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and December 31, 2014, total contingent obligations were $6.88 million and $9.55 million, respectively.</w:t>
      </w:r>
    </w:p>
    <w:p>
      <w:pPr>
        <w:spacing w:after="0" w:line="22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2015, the Company entered into a Sublease Agreement (the “Sublease”) with GBG USA Inc., a Delaware corporation (the “Sublandlord”), pursuant to which the Company has subleased approximately 29,566 rentable square feet of office space (the “Premises”). The term of the Sublease commences on January 1, 2016 and expires on October 30, 2027. The Company shall pay to the Sublandlord fixed rent of $117,032 per month (which fixed rent shall increase upon the 5 year anniversary of the commencement of the Sublease) for the Premises, with the first monthly installment paid upon the signing of the Sublease, together with certain amounts of additional rent.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Sublease, the Company obtained an Irrevocable Standby Letter of Credit (the “Letter of Credit”) from BHI in favor of Sublandlord, for a sum not exceeding $1,108,725. The Company has deposited this amount with BHI as collateral for the Letter of Credit and recorded the amount as restricted cash in the September 30, 2015 unaudited condensed consolidated balance sheet.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5, 2015, the Company consummated an underwritten public offering of 1,800,000 shares of its common stock at a price of $9.00 per share (the “Offering”) generating gross proceeds of $16,200,000, before underwriting discounts and commissions and other offering expenses of approximately $2,011,000. In addition, the Company granted the underwriter an option to purchase up to an additional 270,000 shares of common stock. The underwriter partially exercised its option to purchase 213,128 shares of common stock, generating gross proceeds of $1,918,000. The common stock began trading on the NASDAQ Global Market under the symbol “XELB” on July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8,000,000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 free rate is based on the U.S. Treasury rate for the expected life at the time of grant, volatility is based on the average long-term implied volatilities of peer companies, the expected life is based on the estimated average of the life of options and warrants using the simplified method, and forfeitures are estimated on the date of grant based on certain historical data.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Forfeitures are required to be estimated at the time of grant and revised, if necessary, in subsequent periods if actual forfeitures differ from those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Options granted under the Plan expire at various times, either five, seven or ten years from the date of grant, depending on the particular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stock options during the Current Nine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for the Current Nine Months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1,472,000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(20,250)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182"/>
        </w:trPr>
        <w:tc>
          <w:tcPr>
            <w:tcW w:w="1160" w:type="dxa"/>
            <w:vAlign w:val="bottom"/>
          </w:tcPr>
          <w:p>
            <w:pPr>
              <w:spacing w:after="0"/>
              <w:rPr>
                <w:sz w:val="15"/>
                <w:szCs w:val="15"/>
                <w:color w:val="auto"/>
              </w:rPr>
            </w:pPr>
          </w:p>
        </w:tc>
        <w:tc>
          <w:tcPr>
            <w:tcW w:w="3760" w:type="dxa"/>
            <w:vAlign w:val="bottom"/>
          </w:tcPr>
          <w:p>
            <w:pPr>
              <w:spacing w:after="0" w:line="182" w:lineRule="exact"/>
              <w:rPr>
                <w:sz w:val="20"/>
                <w:szCs w:val="20"/>
                <w:color w:val="auto"/>
              </w:rPr>
            </w:pPr>
            <w:r>
              <w:rPr>
                <w:rFonts w:ascii="Arial" w:cs="Arial" w:eastAsia="Arial" w:hAnsi="Arial"/>
                <w:sz w:val="18"/>
                <w:szCs w:val="18"/>
                <w:color w:val="auto"/>
                <w:w w:val="90"/>
              </w:rPr>
              <w:t>Outstanding and expected to vest at September 30,</w:t>
            </w: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97"/>
        </w:trPr>
        <w:tc>
          <w:tcPr>
            <w:tcW w:w="4920" w:type="dxa"/>
            <w:vAlign w:val="bottom"/>
            <w:gridSpan w:val="2"/>
          </w:tcPr>
          <w:p>
            <w:pPr>
              <w:ind w:left="1140"/>
              <w:spacing w:after="0"/>
              <w:rPr>
                <w:sz w:val="20"/>
                <w:szCs w:val="20"/>
                <w:color w:val="auto"/>
              </w:rPr>
            </w:pPr>
            <w:r>
              <w:rPr>
                <w:rFonts w:ascii="Arial" w:cs="Arial" w:eastAsia="Arial" w:hAnsi="Arial"/>
                <w:sz w:val="18"/>
                <w:szCs w:val="18"/>
                <w:color w:val="auto"/>
              </w:rPr>
              <w:t>2015</w:t>
            </w:r>
          </w:p>
        </w:tc>
        <w:tc>
          <w:tcPr>
            <w:tcW w:w="1200" w:type="dxa"/>
            <w:vAlign w:val="bottom"/>
          </w:tcPr>
          <w:p>
            <w:pPr>
              <w:jc w:val="right"/>
              <w:spacing w:after="0"/>
              <w:rPr>
                <w:sz w:val="20"/>
                <w:szCs w:val="20"/>
                <w:color w:val="auto"/>
              </w:rPr>
            </w:pPr>
            <w:r>
              <w:rPr>
                <w:rFonts w:ascii="Arial" w:cs="Arial" w:eastAsia="Arial" w:hAnsi="Arial"/>
                <w:sz w:val="18"/>
                <w:szCs w:val="18"/>
                <w:color w:val="auto"/>
              </w:rPr>
              <w:t>382,500</w:t>
            </w:r>
          </w:p>
        </w:tc>
        <w:tc>
          <w:tcPr>
            <w:tcW w:w="120" w:type="dxa"/>
            <w:vAlign w:val="bottom"/>
          </w:tcPr>
          <w:p>
            <w:pPr>
              <w:spacing w:after="0"/>
              <w:rPr>
                <w:sz w:val="24"/>
                <w:szCs w:val="24"/>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1,198,000</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7"/>
        </w:trPr>
        <w:tc>
          <w:tcPr>
            <w:tcW w:w="1160" w:type="dxa"/>
            <w:vAlign w:val="bottom"/>
          </w:tcPr>
          <w:p>
            <w:pPr>
              <w:spacing w:after="0"/>
              <w:rPr>
                <w:sz w:val="17"/>
                <w:szCs w:val="17"/>
                <w:color w:val="auto"/>
              </w:rPr>
            </w:pPr>
          </w:p>
        </w:tc>
        <w:tc>
          <w:tcPr>
            <w:tcW w:w="37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2015</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$17,000 and $15,000, respectively. Compensation expense related to stock option grants for the Current Nine Months and the Prior Year Nine Months was $50,000 and $37,000, respectively. Total unrecognized compensation expense related to unvested stock options at September 30, 2015 amounts to $50,000 and is expected to be recognized over a weighted average period of 0.51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Nine Months: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 or 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either five, seven or ten years from the date of grant, depending on the particular grant.</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2015 and December 31, 2014, there were 2,219,543 warrants outstanding and exercisable, with a weighted average exercise price of $6.07 per share. The weighted average remaining contractual life of the warrants outstanding and exercisable at September 30, 2015 and December 31, 2014 was 3.48 and 4.23 years, respectively, and the aggregate intrinsic value was $5,587,000 and $6,497,000,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warrants to purchase shares of Common Stock during the Current Nine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was recorded in the Current Nine Months or Prior Year Nine Months related to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Restricted Stock</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for the Current Nine Months is as follows: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Restricted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1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16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3,208,410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595,334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(262,405)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Outstanding at September 30, 2015</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3,533,152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2015, the Company issued to a non-executive employee 25,000 shares of restricted stock. The shares of restricted stock vest evenly over two years, whereby 50% shall vest on January 1, 2016 and 50% shall vest on January 1, 2017. Notwithstanding the foregoing, the grantee may extend the first anniversary of all or a portion of the restricted stock by six months and, thereafter one or more times may further extend such date with respect to all or a portion of the restricted stock until the next following July 1st or January 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January 6, 2015, the Company issued non-executive employees 18,167 shares of fully vested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 2015, the Company issued to each non-management director 10,000 shares of restricted stock. The shares of restricted stock will vest evenly over two years, whereby 50% shall vest on March 31, 2016 and 50% shall vest on March 31, 2017.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19</w:t>
      </w:r>
      <w:r>
        <w:rPr>
          <w:rFonts w:ascii="Arial" w:cs="Arial" w:eastAsia="Arial" w:hAnsi="Arial"/>
          <w:sz w:val="18"/>
          <w:szCs w:val="18"/>
          <w:b w:val="1"/>
          <w:bCs w:val="1"/>
          <w:color w:val="auto"/>
        </w:rPr>
        <w:t>,</w:t>
      </w:r>
      <w:r>
        <w:rPr>
          <w:rFonts w:ascii="Arial" w:cs="Arial" w:eastAsia="Arial" w:hAnsi="Arial"/>
          <w:sz w:val="18"/>
          <w:szCs w:val="18"/>
          <w:color w:val="auto"/>
        </w:rPr>
        <w:t xml:space="preserve"> 2015, the Company issued certain executive officers and employees 417,500 shares of restricted stock. The shares of restricted stock vest evenly over two years, whereby 50% vest on April 30, 2016 and 50% vest on April 30, 2017. Notwithstanding the foregoing, each grantee may extend the first anniversary of all or a portion of the restricted stock by six months and, thereafter one or more times may further extend such date with respect to all or a portion of the restricted stock until the next following April 30th or October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 2015, the Company issued a non-management director 75,000 shares of restricted stock. The shares of restricted stock will vest evenly over three years, whereby 33.33% shall vest on each of May 31, 2016, 2017 and 2018, respectively. Notwithstanding the foregoing, the grantee may extend the first anniversary of all or a portion of the restricted stock by six months and, thereafter one or more times may further extend such date with respect to all or a portion of the restricted stock until the next following November 30th or May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2015, the Company issued employees 9,667 shares of restricted stock. The shares of restricted stock vest evenly over two years, whereby 50% vest on April 30, 2016 and 50% vest on April 30, 2017. Notwithstanding the foregoing, each grantee may extend the first anniversary of all or a portion of the restricted stock by six months and, thereafter one or more times may further extend such date with respect to all or a portion of the restricted stock until the next following April 30th or October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restricted stock grants for the Current Quarter and Prior Year Quarter was $1,275,000 and $921,000, respectively. Compensation expense related to restricted stock grants for the Current Nine Months and Prior Year Nine Months was $3,363,000 and $4,282,000, respectively. Total unrecognized compensation expense related to unvested restricted stock grants at September 30, 2015 amounts to $5,743,000 and is expected to be recognized over a weighted average period of 1.43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2015, there were 3,188,936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2015, there were 5,790,979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and convertible debt, using the if-converted method. Diluted EPS excludes all potentially dilutive shares of common stock if their effect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Shares used in calculating basic and diluted income (loss)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8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5620" w:type="dxa"/>
            <w:vAlign w:val="bottom"/>
          </w:tcPr>
          <w:p>
            <w:pPr>
              <w:spacing w:after="0"/>
              <w:rPr>
                <w:sz w:val="19"/>
                <w:szCs w:val="19"/>
                <w:color w:val="auto"/>
              </w:rPr>
            </w:pPr>
          </w:p>
        </w:tc>
        <w:tc>
          <w:tcPr>
            <w:tcW w:w="19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6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17,187,272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12,021,614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15,380,609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11,526,277</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962,292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897,509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962,292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exercise of stock options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128,618</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115,046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128,618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Diluted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18,278,182</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13,034,169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16,471,519</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11,526,277</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89"/>
              </w:rPr>
              <w:t>17</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968"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4460" w:type="dxa"/>
            <w:vAlign w:val="bottom"/>
            <w:gridSpan w:val="5"/>
          </w:tcPr>
          <w:p>
            <w:pPr>
              <w:ind w:left="1600"/>
              <w:spacing w:after="0"/>
              <w:rPr>
                <w:sz w:val="20"/>
                <w:szCs w:val="20"/>
                <w:color w:val="auto"/>
              </w:rPr>
            </w:pPr>
            <w:r>
              <w:rPr>
                <w:rFonts w:ascii="Arial" w:cs="Arial" w:eastAsia="Arial" w:hAnsi="Arial"/>
                <w:sz w:val="18"/>
                <w:szCs w:val="18"/>
                <w:b w:val="1"/>
                <w:bCs w:val="1"/>
                <w:color w:val="auto"/>
                <w:w w:val="92"/>
              </w:rPr>
              <w:t>Three Months Ended September 30,</w:t>
            </w:r>
          </w:p>
        </w:tc>
        <w:tc>
          <w:tcPr>
            <w:tcW w:w="2840" w:type="dxa"/>
            <w:vAlign w:val="bottom"/>
            <w:gridSpan w:val="5"/>
          </w:tcPr>
          <w:p>
            <w:pPr>
              <w:ind w:left="8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34"/>
        </w:trPr>
        <w:tc>
          <w:tcPr>
            <w:tcW w:w="3540" w:type="dxa"/>
            <w:vAlign w:val="bottom"/>
          </w:tcPr>
          <w:p>
            <w:pPr>
              <w:spacing w:after="0"/>
              <w:rPr>
                <w:sz w:val="20"/>
                <w:szCs w:val="20"/>
                <w:color w:val="auto"/>
              </w:rPr>
            </w:pPr>
          </w:p>
        </w:tc>
        <w:tc>
          <w:tcPr>
            <w:tcW w:w="28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3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6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income tax rate for the Current Quarter and the Prior Year Quarter from continuing operations was approximately 54% and 46%, respectively, resulting in a $0.05 million and $0.24 million income tax expense, respectively. The effective income tax rate for the Current Nine Months and the Prior Year Nine Months was approximately 2% and 54%, respectively, resulting in a $0.04 million and $0.07 million income tax expense, respectively. During the Current Nine Months and the Prior Year Nine Months, the Company recorded a $3.0 million and a $0.6 million gain on the reduction of contingent obligations related to the acquisition of the Isaac Mizrahi Brand, respectively. This gain was not subject to tax and was treated as a discrete item occurring in the Current Nine Months and the Prior Year Nine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Discontinued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Discontinued operations represents the net sales and expenses related to the Company’s retail operations. The Company will continue to operate e-commerce, which was previously reported as a component of retail operations, as a component of its licensing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summary of the Company’s results of discontinued operations of its retail business for the Current Quarter and Current Nine Months, as well as the Prior Year Quarter and Prior Year Nine Months and the Company’s assets and liabilities from discontinued operations of its retail business as of September 30, 2015 and December 31, 2014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4440" w:type="dxa"/>
            <w:vAlign w:val="bottom"/>
            <w:gridSpan w:val="3"/>
          </w:tcPr>
          <w:p>
            <w:pPr>
              <w:ind w:left="360"/>
              <w:spacing w:after="0"/>
              <w:rPr>
                <w:sz w:val="20"/>
                <w:szCs w:val="20"/>
                <w:color w:val="auto"/>
              </w:rPr>
            </w:pPr>
            <w:r>
              <w:rPr>
                <w:rFonts w:ascii="Arial" w:cs="Arial" w:eastAsia="Arial" w:hAnsi="Arial"/>
                <w:sz w:val="18"/>
                <w:szCs w:val="18"/>
                <w:color w:val="auto"/>
              </w:rPr>
              <w:t>Results of discontinued operations: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347,000</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(224,000)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(221,000)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(332,000)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disposal of discontinued operations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Income tax benefit</w:t>
            </w:r>
          </w:p>
        </w:tc>
        <w:tc>
          <w:tcPr>
            <w:tcW w:w="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408,000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193,000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652,000</w:t>
            </w:r>
          </w:p>
        </w:tc>
        <w:tc>
          <w:tcPr>
            <w:tcW w:w="12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per share from discontinued operations,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4440" w:type="dxa"/>
            <w:vAlign w:val="bottom"/>
            <w:gridSpan w:val="3"/>
          </w:tcPr>
          <w:p>
            <w:pPr>
              <w:ind w:left="24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4"/>
                <w:szCs w:val="24"/>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440" w:type="dxa"/>
            <w:vAlign w:val="bottom"/>
            <w:tcBorders>
              <w:top w:val="single" w:sz="8" w:color="CCEEFF"/>
              <w:bottom w:val="single" w:sz="8" w:color="CCEEFF"/>
            </w:tcBorders>
            <w:gridSpan w:val="3"/>
            <w:shd w:val="clear" w:color="auto" w:fill="CCEEFF"/>
          </w:tcPr>
          <w:p>
            <w:pPr>
              <w:ind w:left="240"/>
              <w:spacing w:after="0" w:line="190" w:lineRule="exact"/>
              <w:rPr>
                <w:sz w:val="20"/>
                <w:szCs w:val="20"/>
                <w:color w:val="auto"/>
              </w:rPr>
            </w:pPr>
            <w:r>
              <w:rPr>
                <w:rFonts w:ascii="Arial" w:cs="Arial" w:eastAsia="Arial" w:hAnsi="Arial"/>
                <w:sz w:val="18"/>
                <w:szCs w:val="18"/>
                <w:color w:val="auto"/>
              </w:rPr>
              <w:t>Diluted</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444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17,187,272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12,021,614</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15,380,609</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11,526,277</w:t>
            </w:r>
          </w:p>
        </w:tc>
        <w:tc>
          <w:tcPr>
            <w:tcW w:w="120" w:type="dxa"/>
            <w:vAlign w:val="bottom"/>
            <w:tcBorders>
              <w:bottom w:val="single" w:sz="8" w:color="CCEE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440" w:type="dxa"/>
            <w:vAlign w:val="bottom"/>
            <w:tcBorders>
              <w:bottom w:val="single" w:sz="8" w:color="CCEEFF"/>
            </w:tcBorders>
            <w:gridSpan w:val="3"/>
            <w:shd w:val="clear" w:color="auto" w:fill="CCEEFF"/>
          </w:tcPr>
          <w:p>
            <w:pPr>
              <w:ind w:left="240"/>
              <w:spacing w:after="0" w:line="190" w:lineRule="exact"/>
              <w:rPr>
                <w:sz w:val="20"/>
                <w:szCs w:val="20"/>
                <w:color w:val="auto"/>
              </w:rPr>
            </w:pPr>
            <w:r>
              <w:rPr>
                <w:rFonts w:ascii="Arial" w:cs="Arial" w:eastAsia="Arial" w:hAnsi="Arial"/>
                <w:sz w:val="18"/>
                <w:szCs w:val="18"/>
                <w:color w:val="auto"/>
              </w:rPr>
              <w:t>Diluted</w:t>
            </w:r>
          </w:p>
        </w:tc>
        <w:tc>
          <w:tcPr>
            <w:tcW w:w="8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18,278,182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13,034,169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16,471,519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11,526,277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904" w:right="239" w:bottom="1059" w:gutter="0" w:footer="0" w:header="0"/>
        </w:sectPr>
      </w:pPr>
    </w:p>
    <w:p>
      <w:pPr>
        <w:spacing w:after="0" w:line="211" w:lineRule="exact"/>
        <w:rPr>
          <w:sz w:val="20"/>
          <w:szCs w:val="20"/>
          <w:color w:val="auto"/>
        </w:rPr>
      </w:pPr>
    </w:p>
    <w:p>
      <w:pPr>
        <w:jc w:val="right"/>
        <w:ind w:right="3240"/>
        <w:spacing w:after="0"/>
        <w:rPr>
          <w:sz w:val="20"/>
          <w:szCs w:val="20"/>
          <w:color w:val="auto"/>
        </w:rPr>
      </w:pPr>
      <w:r>
        <w:rPr>
          <w:rFonts w:ascii="Arial" w:cs="Arial" w:eastAsia="Arial" w:hAnsi="Arial"/>
          <w:sz w:val="18"/>
          <w:szCs w:val="18"/>
          <w:u w:val="single" w:color="auto"/>
          <w:color w:val="auto"/>
        </w:rPr>
        <w:t>Assets and liabilities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214,000</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63,000</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226,000</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503,000</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904" w:right="239" w:bottom="1059"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1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long-term assets</w:t>
            </w:r>
          </w:p>
        </w:tc>
        <w:tc>
          <w:tcPr>
            <w:tcW w:w="260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1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65,000</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000" w:firstLine="8"/>
        <w:spacing w:after="0" w:line="503" w:lineRule="auto"/>
        <w:tabs>
          <w:tab w:leader="none" w:pos="3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Todd Slater</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29, 2011, the Company entered into an agreement, which was amended on October 4, 2011, with Todd Slater, who was appointed as a director of the Company commencing on October 17, 2011, for services related to the Company’s licensing strategy and introduction to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direct licensing costs with Mr. Slater from amortization of the one-time payment stated above for the Current Quarter and the Prior Year Quarter of $16,000 and $21,000, respectively. Direct licensing costs for the Current Nine Months and the Prior Year Nine Months amounted to $32,000 and $63,000,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 2011, the Company entered into a licensing agent agreement with Adam Dweck (“AD”), son of Jack Dweck, a former director of the Company, pursuant to which he is entitled to a five percent commission on any royalties the Company receives under any new license agreements that he procures for the Company for the initial term of such license agreements. AD earned $0 and $5,000 in fees for the Current Quarter and Prior Year Quarter, respectively, and earned $11,000 and $17,000 in fees for the Current Nine Months and Prior Year Nine Months,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2015, and amended on June 24, 2015, the Company entered into a consulting agreement with Jones Texas, Inc., ("JT Inc.") whose controlling shareholder is Edward Jones, a Director of the Company. The agreement provides for fees payable to JT Inc. up to $75,000. Fees paid to JT Inc. amounted to $62,500 and $75,000 during the Current Quarter and Current Nine Months, respectively. Consulting services were related to due diligence on the C Wonder brand prior to the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Marisa Gardini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terms and conditions of the C Wonder Purchase Agreement, the Company paid Marisa Gardini a former Director of the Company, a $240,000 fee as a commission for the acquisition of the C Wonder Brand. The amount of the payment was considered a direct acquisition cost of the C Wonder Brand and accordingly has been included as a component of the purchase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59"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Safe Harbor Statement under the Private Securities Litigation Reform Act of 1995</w:t>
      </w:r>
      <w:r>
        <w:rPr>
          <w:rFonts w:ascii="Arial" w:cs="Arial" w:eastAsia="Arial" w:hAnsi="Arial"/>
          <w:sz w:val="17"/>
          <w:szCs w:val="17"/>
          <w:color w:val="auto"/>
        </w:rPr>
        <w:t>. The statements that are not historical facts contained in this report are</w:t>
      </w:r>
      <w:r>
        <w:rPr>
          <w:rFonts w:ascii="Arial" w:cs="Arial" w:eastAsia="Arial" w:hAnsi="Arial"/>
          <w:sz w:val="17"/>
          <w:szCs w:val="17"/>
          <w:i w:val="1"/>
          <w:iCs w:val="1"/>
          <w:color w:val="auto"/>
        </w:rPr>
        <w:t xml:space="preserve"> </w:t>
      </w:r>
      <w:r>
        <w:rPr>
          <w:rFonts w:ascii="Arial" w:cs="Arial" w:eastAsia="Arial" w:hAnsi="Arial"/>
          <w:sz w:val="17"/>
          <w:szCs w:val="17"/>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2014. The words “believe,” “anticipate,” “expect,” “confident,” “project,” “provide,” “plan,” “likely,” “future,” “ongoing,” “intend,” “may,” “should,” “would,” “could,” “guidance” and similar expressions identify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Xcel Brands, Inc. (“Xcel,” the “Company,” “we,” “us” or “our”) is a brand development and media company engaged in the design, licensing, marketing and direct to consumer sales of branded apparel, footwear, accessories, jewelry and home goods, and the acquisition of additional high profile consumer lifestyle brands. Our brand portfolio consists of the Isaac Mizrahi Brand, the Ripka Brand, the H by Halston and H Halston brands (collectively, the “H Halston Brands”), the C Wonder Brand and certain rights of the Liz Claiborne New York brand (“LCNY Brand”) through July 31, 2016. Going forward, our focus shall be on our wholly-owned brands.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spacing w:after="0" w:line="170" w:lineRule="exact"/>
        <w:rPr>
          <w:sz w:val="20"/>
          <w:szCs w:val="20"/>
          <w:color w:val="auto"/>
        </w:rPr>
      </w:pPr>
    </w:p>
    <w:p>
      <w:pPr>
        <w:ind w:left="380" w:hanging="318"/>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our brands for distribution through direct-response television (i.e. QVC and The Shopping Channel); and</w:t>
      </w:r>
    </w:p>
    <w:p>
      <w:pPr>
        <w:spacing w:after="0" w:line="23" w:lineRule="exact"/>
        <w:rPr>
          <w:rFonts w:ascii="Arial" w:cs="Arial" w:eastAsia="Arial" w:hAnsi="Arial"/>
          <w:sz w:val="18"/>
          <w:szCs w:val="18"/>
          <w:color w:val="auto"/>
        </w:rPr>
      </w:pPr>
    </w:p>
    <w:p>
      <w:pPr>
        <w:ind w:left="380" w:right="20" w:hanging="318"/>
        <w:spacing w:after="0" w:line="261"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our brands to wholesale manufacturers, sourcing and design companies and retailers for promotion and distribution through e-commerce, social commerce and traditional brick-and-mortar retail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licensors and customers for the following reasons:</w:t>
      </w:r>
    </w:p>
    <w:p>
      <w:pPr>
        <w:spacing w:after="0" w:line="225" w:lineRule="exact"/>
        <w:rPr>
          <w:sz w:val="20"/>
          <w:szCs w:val="20"/>
          <w:color w:val="auto"/>
        </w:rPr>
      </w:pPr>
    </w:p>
    <w:p>
      <w:pPr>
        <w:ind w:left="380" w:hanging="31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380" w:hanging="31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and marketing and social media; and</w:t>
      </w:r>
    </w:p>
    <w:p>
      <w:pPr>
        <w:spacing w:after="0" w:line="9" w:lineRule="exact"/>
        <w:rPr>
          <w:rFonts w:ascii="Arial" w:cs="Arial" w:eastAsia="Arial" w:hAnsi="Arial"/>
          <w:sz w:val="18"/>
          <w:szCs w:val="18"/>
          <w:color w:val="auto"/>
        </w:rPr>
      </w:pPr>
    </w:p>
    <w:p>
      <w:pPr>
        <w:ind w:left="380" w:hanging="318"/>
        <w:spacing w:after="0" w:line="26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omni-channel retail sales strategy across direct-response television, internet and retail channels.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license our brands to third parties, provide certain design and marketing services and generate royalty design and service fee revenues through licensing and other agreements with wholesale manufacturers, sourcing and design companies and retailers. This includes licensing our own brands for promotion and distribution through an omni-channel retail sales strategy, which includes distribution through direct-response television, the internet and traditional brick-and-mortar retail channels. We believe that this strategy distinguishes us from other brand management companies that rely primarily on their licensees for design and distribution and enables us to leverage the media reach of our direct-response television partners, including through television and social media, to drive sales of products under our brands across distribution channels.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vision is intended to reimagine shopping, entertainment and social as one. By leveraging social media content across all distribution channels, we seek to drive customer (follower) engagement and generate retail sales across our brands. Our strong relationships with leading retailers and direct-response television companies, such as QVC and The Shopping Channel, enable us to reach consumers in over 300 million homes worldwide.</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our business model provides significant competitive advantages as compared to traditional wholesale apparel companies that design, manufacture and distribute products. We remain focused on our core competencies of licensing, design, marketing, brand development and oversight, while outsourcing manufacturing and distribution to best-in-class licensing partners.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and marketing capabilities and retail and licensee relationships.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June 2013 through December 2014, we operated our retail business through our wholly-owned subsidiary, IMNY Retail Management, LLC (“Retail Management”). Retail Management launched an e-commerce platform under our Isaac Mizrahi Brand in May 2014. With the Ripka Brand acquisition, we also acquired the rights to the Ripka e-commerce site. In December 2014, the Company decided to discontinue its retail stores. The Company’s retail operations are treated as discontinued operations and prior periods presented have been reclassified to give effect to this change (see Note 10, Discontinued Operations, to the Unaudited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On July 31, 2015, we completed the acquisition of certain assets of Burch Acquisition, LLC, including the “C Wonder” trademark and other intellectual property relating thereto, pursuant to an asset purchase agreement dated as of July 16, 2015 among the Company, the Seller and, solely with respect to certain non-compete and confidentiality provisions of the Purchase Agreement, J. Christopher Burch (See Note 2, Acquisition of C Wonder Assets in the Unaudited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three months ended September 30, 2015 (the “Current Quarter”) compared to the three months ended September 30, 2014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Current Quarter total revenues increased approximately $1.94 million to $7.34 million from $5.40 million in the Prior Year Quarter. This increase was primarily related to an increase in net licensing revenues of $1.91 million.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licensing revenues for the Current Quarter increased by $1.91 million, compared to the Prior Year Quarter primarily due to the acquisition of the H Halston Brands, which were purchased in December 2014, the acquisition of the C Wonder Brand in July 2015, and the continuing growth of the Isaac Mizrahi Brand. We continue to focus on our international expansion by marketing our Isaac Mizrahi Brand through direct-response television in Canada on The Shopping Channel. In addition, in May 2014, we brought the IsaacMizrahiLIVE brand to the United Kingdom through QVC.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Current Quarter was $7.29 million, compared to $5.39 million for the Prior Year Quarter. The increase in gross profit was primarily attributable to the increase in revenues. Gross profit for the Current Quarter includes $0.05 million of cost of goods sold related to our e-commerce business, which was launched in May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Operating expenses totaled $6.76 million for the Current Quarter, compared to $4.45 million for the Prior Year Quarter. The increase of approximately $2.31 million was primarily related to an increase in compensation expense of $1.07 million, an increase in general and administrative expenses of $0.49 million, an increase in stock-based compensation of $0.36 million and an increase in other design and marketing costs of $0.26 million. The increase in compensation expense was primarily due to the staffing for the C Wonder brand acquired in July 2015 and the H Halston Brands acquired in December 2014. Increases in other design and marketing costs are attributable to the operations of the C Wonder brand and H Halston Brands and the growth of our existing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Interest and finance expense for the Current Quarter increased by $0.02 million to $0.43 million, compared to $0.41 million in the Prior Year Quarter. This was primarily due to the higher term debt principal balance from financing a portion of the H Halston Brands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income tax rate for the Current Quarter from continuing operations was approximately 54% resulting in a $0.05 million income tax provision.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for the Prior Year Quarter was 46%, which resulted in a $0.24 million income tax provision.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loss from discontinued operations, net, was attributable to the net loss related to our retail operations, as a result of our decision in December 2014 to discontinue our retail stores. The Current Quarter loss from discontinued operations, net, of $0.01 million mainly represents wind down costs associated with the closing of our retail stores. The Prior Year Quarter loss from discontinued operations, net, of $0.22 million mainly represents compensation expense and other general and administrative expenses, offset by an income tax benefit of $0.17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had net income of $0.03 million for the Current Quarter, compared to $0.07 million for the Prior Year Quarter. Net income for the Current Quarter and the Prior Year Quarter include certain non-cash components as described under “Liquidity and Capital Resources - Operating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had non-GAAP net income of $1.42 million, or $0.08 per diluted share (“non-GAAP diluted EPS”), for the Current Quarter, compared to non-GAAP net income of $1.39 million, or non-GAAP diluted EPS of $0.11, for the Prior Year Quarter. Non-GAAP net income is a non-GAAP unaudited term, which we define as net income, exclusive of stock-based compensation, non-cash interest expense from discounted debt related to acquired assets, gain on the reduction of contingent obligations, loss on extinguishment of debt, other non-cash adjustments and loss from discontinued operations, net.</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had Adjusted EBITDA of $2.22 million for the Current Quarter, compared to Adjusted EBITDA of $2.15 million for the Prior Year Quarter. Adjusted EBITDA is a non-GAAP unaudited term, which we define as net income before stock-based compensation, interest expense and other financing costs (including gain (loss) on extinguishment of debt), income taxes, other state and local franchise taxes, depreciation and amortization, gain on the reduction of contingent obligations, other non-cash adjustments and loss on discontinued operations of our retail business.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they provide supplemental information to assist investors in evaluating the Company’s financial results.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presentation.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(loss) and other GAAP results, and not rely on any single financial measure.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3000" w:type="dxa"/>
            <w:vAlign w:val="bottom"/>
            <w:gridSpan w:val="7"/>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Non-GAAP 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diluted income per share (our most directly comparable financial measure presented in accordance with GAAP) to non-GAAP diluted EPS: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 (1)</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non-cash adjustments</w:t>
            </w:r>
          </w:p>
        </w:tc>
        <w:tc>
          <w:tcPr>
            <w:tcW w:w="1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diluted EPS</w:t>
            </w:r>
          </w:p>
        </w:tc>
        <w:tc>
          <w:tcPr>
            <w:tcW w:w="1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8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46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Non-GAAP weighted average diluted shares</w:t>
            </w:r>
          </w:p>
        </w:tc>
        <w:tc>
          <w:tcPr>
            <w:tcW w:w="1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18,278,182</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13,034,169</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unaudited condensed consolidated statements of operations, the Company reports net income for each period presented and in accordance with GAAP, diluted weighted average shares were 18,278,182 and 13,034,169 for the three months ended September 30, 2015 and 2014, respectively.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is a reconciliation of basic and diluted weighted average shares (our most directly comparable financial measure presented in accordance with GAAP) to non-GAAP weighted average diluted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Three Months Ended 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17,187,272</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12,021,614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Effect of exercising warrants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962,292</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897,509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exercising stock options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128,618</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115,046</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Non-GAAP weighted average diluted shares</w:t>
            </w:r>
          </w:p>
        </w:tc>
        <w:tc>
          <w:tcPr>
            <w:tcW w:w="22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18,278,182</w:t>
            </w:r>
          </w:p>
        </w:tc>
        <w:tc>
          <w:tcPr>
            <w:tcW w:w="2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13,034,169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80" w:type="dxa"/>
            <w:vAlign w:val="bottom"/>
            <w:vMerge w:val="restart"/>
          </w:tcPr>
          <w:p>
            <w:pPr>
              <w:jc w:val="right"/>
              <w:ind w:right="1370"/>
              <w:spacing w:after="0"/>
              <w:rPr>
                <w:sz w:val="20"/>
                <w:szCs w:val="20"/>
                <w:color w:val="auto"/>
              </w:rPr>
            </w:pPr>
            <w:r>
              <w:rPr>
                <w:rFonts w:ascii="Arial" w:cs="Arial" w:eastAsia="Arial" w:hAnsi="Arial"/>
                <w:sz w:val="18"/>
                <w:szCs w:val="18"/>
                <w:color w:val="auto"/>
              </w:rPr>
              <w:t>22</w:t>
            </w: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1,292,000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non-cash adjustments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2,219,000</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nine months ended September 30, 2015 (the “Current Nine Months”) compared to the nine months ended September 30, 2014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Current Nine Months total revenues increased approximately $5.23 million to $20.25 million from $15.02 million in the Prior Year Nine Months. This increase was primarily related to increases in net licensing revenues of $5.10 million and e-commerce net sales revenues of $0.13 million.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licensing revenues for the Current Nine Months increased by $5.10 million, compared to the Prior Year Nine Months primarily due to the acquisition of the Ripka Brand, which was purchased in April 2014, the acquisition of the H Halston Brands, which were purchased in December 2014, the acquisition of the C Wonder Brand, which was purchased in July 2015 and the continuing growth of the Isaac Mizrahi Brand. We continue to focus on our international expansion by marketing our Isaac Mizrahi Brand through direct-response television in Canada on The Shopping Channel. In addition, in May 2014, we brought the IsaacMizrahiLIVE brand to the United Kingdom through QVC. The increase in e-commerce net sales of $0.13 million was attributable to the launch of the e-commerce platform in May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Current Nine Months was $20.12 million, compared to $14.99 million for the Prior Year Nine Months. The increase in gross profit was primarily attributable to the increase in revenues. Gross profit for the Current Nine Months includes $0.13 million of cost of goods sold related to our e-commerce business, which was launched in May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expenses totaled $18.25 million for the Current Nine Months, compared to $14.41 million for the Prior Year Nine Months. The increase of approximately $3.84 million was primarily related to an increase in compensation expense of $2.87 million and an increase in other design and marketing costs and general and administrative expenses of $1.62 million, partially offset by a decrease in stock-based compensation of $0.91 million. The increase in compensation expense was primarily due to the staffing for the Ripka Brand acquired in April 2014, the H Halston Brands acquired in December 2014 and the C Wonder Brand acquired in July 2015. Increases in other design and marketing costs and general and administrative expenses are attributable to the operations of the Ripka Brand, the H Halston Brands, the C Wonder Brand and the growth of our existing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income, net for the Current Nine Months consists of a $3.0 million gain on the reduction of contingent obligations, offset by a $1.37 million loss on extinguishment of debt. The gain on the reduction of contingent obligations was a result of the Company reducing the fair value of its contingent obligation on its earn-out obligation to the seller of the Isaac Mizrahi Brand. The loss on extinguishment of debt was as a result of the Company satisfying $5.40 million principal amount of Ripka Seller Notes by issuing 600,001 shares of our common stock in March and April 2015. The maturity date of the Ripka Seller Notes was originally March 31, 2019. The carrying value, net of the discount, of the Ripka Seller Notes at the redemption date was $4.03 million, resulting in a loss of $1.37 million.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for the Prior Year Nine Months consists of a $0.6 million gain on the reduction of contingent obligations as a result of the Company reducing the fair value of its contingent obligations to the seller of the Isaac Mizrahi brand.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Interest and finance expense for the Current Nine Months increased by $0.32 million to $1.38 million, compared to $1.06 million in the Prior Year Nine Months. This was primarily due to the higher term debt principal balance from financing a portion of the Ripka Brand acquisition and the H Halston Brands acquisition.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effective income tax rate for the Current Nine Months was approximately 2% resulting in a $0.04 million income tax expense. The effective income tax rate for the Prior Year Nine Months was 54% which resulted in a $0.07 million income tax expense. During the Current Nine Months and the Prior Year Nine Months, we recorded a $3.0 million and a $0.6 million gain on the reduction of contingent obligations related to the acquisition of the Isaac Mizrahi Brand, respectively. This gain was not subject to tax and was treated as a discrete item occurring in the Current Nine Months and the Prior Year Nine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loss from discontinued operations, net, was attributable to the net loss related to our retail operations, as a result of our decision in December 2014 to discontinue our retail stores. The Current Nine Months’ loss from discontinued operations, net, of $0.28 million mainly represents compensation expense, other general and administrative expenses and wind down costs associated with the closing of our retail stores, offset by an income tax benefit of $0.19 million. The Prior Year Nine Months loss from discontinued operations, net, of $0.54 million mainly represents compensation expense and other general and administrative expenses, offset by an income tax benefit of $0.65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had net income of $1.81 million for the Current Nine Months, compared to a net loss of $0.48 million for the Prior Year Nine Months. Net income (loss) for the Current Nine Months and the Prior Year Nine Months include certain non-cash components as described in the following paragraph and detailed later in this section.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had non-GAAP net income of $4.20 million, or $0.26 non-GAAP diluted EPS for the Current Nine Months, compared to non-GAAP net income of $4.20 million, or non-GAAP diluted EPS of $0.36 for the Prior Year Nine Months.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Adjusted EBITDA of $6.32 million for the Current Nine Months, compared to Adjusted EBITDA of $5.69 million for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net income (loss) (our most directly comparable financial measure presented in accordance with GAAP) to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1,371,000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non-cash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Non-GAAP 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basic and diluted income (loss) per share (our most directly comparable financial measure presented in accordance with GAAP) to non-GAAP diluted EPS: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 (1)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spacing w:after="0"/>
              <w:rPr>
                <w:sz w:val="20"/>
                <w:szCs w:val="20"/>
                <w:color w:val="auto"/>
              </w:rPr>
            </w:pPr>
            <w:r>
              <w:rPr>
                <w:rFonts w:ascii="Arial" w:cs="Arial" w:eastAsia="Arial" w:hAnsi="Arial"/>
                <w:sz w:val="18"/>
                <w:szCs w:val="18"/>
                <w:color w:val="auto"/>
              </w:rPr>
              <w:t>Non-GAAP weighted average diluted shares</w:t>
            </w: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16,471,519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11,526,277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230"/>
        <w:spacing w:after="0" w:line="342"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unaudited condensed consolidated statements of operations, the Company reports net income (loss) for each period presented. In accordance with GAAP, diluted weighted average shares were 16,471,519 and 11,526,277 for the nine months ended September 30, 2015 and 2014,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t>The following table is a reconciliation of basic and diluted weighted average shares (our most directly comparable financial measure presented in accordance with GAAP) to non-GAAP weighted average diluted shares: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Effect of exercising warrants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Effect of exercising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Non-GAAP weighted average diluted shares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195"/>
        </w:trPr>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15,380,609</w:t>
            </w:r>
          </w:p>
        </w:tc>
        <w:tc>
          <w:tcPr>
            <w:tcW w:w="200" w:type="dxa"/>
            <w:vAlign w:val="bottom"/>
          </w:tcPr>
          <w:p>
            <w:pPr>
              <w:spacing w:after="0"/>
              <w:rPr>
                <w:sz w:val="16"/>
                <w:szCs w:val="16"/>
                <w:color w:val="auto"/>
              </w:rPr>
            </w:pP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11,526,277</w:t>
            </w: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962,292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128,618</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16,471,519</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11,526,277</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720"/>
            <w:col w:w="4140"/>
          </w:cols>
          <w:pgMar w:left="240" w:top="908"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(loss) (our most directly comparable financial measure presented in accordance with GAAP) to Adjusted EBITDA:</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3,413,000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4,319,000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non-cash adjustments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6,318,000</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principal capital requirements have been to fund working capital needs, and to a lesser extent, capital expenditures. At September 30, 2015 and December 31, 2014, our unrestricted cash and cash equivalents were $16.20 million and $8.53 million, respectively. During the Current Quarter, we closed on a public offering that resulted in approximately $16.11 million in net cash proceeds after underwriting discounts and commissions and other expenses of the equity offering (See Note 7, Stockholders’ Equity in the Unaudited Condensed Consolidated Financial Statements).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including the debt service under our term loan facilities for the next twelve months. We are dependent on our licensees for most of our revenues, and there is no assurance that the licensees will perform as projected.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require significant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contingent obligations (see Note 5, Debt in the Unaudited Condensed Consolidated Financial Statements) are payable in stock and/or cash, at our discretion. Payment of these obligations in stock would not affect our liquidity.</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January 31, 2016 payment of $750,000 under the IM Seller Note (see Note 5, Debt, to the Unaudited Condensed Consolidated Financial Statements) is payable in cash subject to Bank of Hapoalim (“BHI”) approving the cash payment. If BHI does not approve the cash payment, the amount shall be payable in shares of Common Stock.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2015, we entered into a Sublease Agreement (the “Sublease”) with GBG USA Inc., a Delaware corporation (the “Sublandlord”), pursuant to which the Company has subleased approximately 29,566 rentable square feet of office space (the “Premises”). In connection with the Sublease, the Company has obtained, with the consent of the landlord of the Premises to the Sublease, an Irrevocable Standby Letter of Credit (the “Letter of Credit”) from BHI in favor of Sublandlord, for a sum of $1.1 million. We deposited this amount with BHI as collateral for the Letter of Credit, and recorded the amount as restricted cash in the September 30, 2015 unaudited condensed consolidated balance sheet.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2015 and December 31, 2014, the adjusted working capital ratio (current assets to current liabilities, excluding current contingent obligations and a $4.1 and $2.4 million Ripka Seller Note payment in stock, see Note 5, Debt in the Unaudited Condensed Consolidated Financial Statements) was 1.98 to 1.00 and 1.47 to 1.00, respectively. Contingent obligations are not considered part of working capital because we have the right to pay the obligation in stock. Commentary on components of our cash flows used in continuing operations for the Current Nine Months, compared to the Prior Year Nine Months is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provided by operating activities from continuing operations was approximately $1.29 million in the Current Nine Months, compared to net cash provided by operating activities from continuing operations of approximately $3.48 million in the Prior Year Nine Months. The Current Nine Months cash provided by operating activities includes net income of $1.81 million, non-cash expenses of $3.08 million and a net loss from discontinued operations, net of $0.28 million, offset by the change in operating assets and liabilities of $(3.88) million. Non-cash expenses mainly consist of $3.41 million of stock-based compensation, $1.37 million of loss from the extinguishment of debt, $0.95 million of depreciation and amortization, $(3.0) million of gain from the reduction of contingent obligations, $(0.09) million deferred income tax benefit and $0.45 million of amortization of debt discount and deferred finance costs. The $(3.88) million change in operating assets and liabilities includes an increase of $3.83 million of accounts receivable primarily related to timing of collections from QVC, including $1.47 million of earned revenue that had been accrued but not billed as of September 30, 2015.</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Prior Year Nine Months cash provided by operating activities was primarily due to a net loss of $(0.48) million and the net change in operating assets and liabilities of $(0.20) million, offset by a net loss from discontinued operations, net of $0.54 million and non-cash operating expenses of $3.62 million. Non-cash expenses consist of $4.32 million of stock-based compensation, $0.70 million of depreciation and amortization, $(1.24) million of deferred income tax benefit, $(0.60) million of gain on the reduction of contingent obligations and $0.45 million of amortization of debt discount and deferred finance charges.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from continuing operations for the Current Nine Months was approximately $4.81 million, compared to $12.78 million in the Prior Year Nine Months. The Current Nine Months net cash used in investing activities was attributable to restricted cash of $1.11 million for a security deposit on the lease for our new office space, which is scheduled to commence in January 1, 2016, cash consideration paid for the acquisition of the C Wonder Brand of $3.59 million, cash consideration paid for the acquisition of the H Halston Brands of $0.01 million and capital expenditures of $0.09 million. In the Prior Year Nine Months, $12.36 million was attributable to cash consideration paid for the acquisition of the Ripka Brand and $0.41 million of capital expenditures for 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for the Current Nine Months was approximately $11.09 million, primarily attributable to the net proceeds from the issuance of our common stock of $16.11 million, repayments on our long-term debt of $2.26 million, payment on our installment obligation related to the Ripka Brand of $2.19 million, and $0.71 million of repurchased shares of restricted stock that had vested. Net cash provided by financing activities for the Prior Year Nine Months was approximately $8.39 million, primarily attributable to $9.00 million of proceeds from the term debt related to the Ripka Brand and $0.06 million of repurchased shares of restricted stock that had vested, offset by $0.32 million of contingent obligation payments and $0.24 million of deferred financing costs related to the Ripka Brand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Mizrahi, Ripka, H Halston and C Wonder brands. We will seek to continue to diversify the distribution channels within which licensed products are sold, in an effort to reduce dependence on any particular retailer, consumer or market sector within each of our brands. The Mizrahi Brands, the H Halston Brands and C Wonder brand have a core business in fashion apparel and accessories. The Ripka Brand historically have been focused on fine jewelry, which we believe helps diversify our industry focus while at the same time complements, expands on and grows our overall business relationship with QVC. Going forward our focus shall be on our wholly-owned brands. We also intend to seek new opportunities, including expansion through direct-response television and additional domestic and international licensing arrangements, and acquiring additional brands. Our success,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in the our Annual Report on Form 10-K for the year ended December 31, 2014 as filed with the SEC, could adversely affect our licensees’ ability to meet and/or exceed their contractual commitments to us and thereby adversely affect our future operating results.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Please refer to our Annual Report on Form 10-K for the year ended December 31, 2014, filed with the SEC on March 31, 2015, for a discussion of our critical accounting policies. During the three and nine months ended September 30, 2015, there were no material changes to these policies.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2015, the end of the period covered by this report. Based on, and as of the date of such evaluation, the Chief Executive Officer and the Chief Financial Officer have concluded that our disclosure controls and procedures were effective as of September 30, 2015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September 30, 2015 that have materially affected, or are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2014 are not the only risks we face. Additional risks and uncertainties not currently known to us or that we currently deem to be immaterial also may materially adversely affect our financial condition and/or operating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31.1 Rule 13a-14(a)/15d-14(a) Certification (CEO)</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31.2 Rule 13a-14(a)/15d-14(a) Certification (CFO)</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32.1 Section 1350 Certification (CEO)</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32.2 Section 1350 Certification (CFO)</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101.CAL XBRL Taxonomy Extension Calculation Linkbase Document</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101.PRE XBRL Taxonomy Extension Presentation Linkbase Document</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101.DEF XBRL Taxonomy Extension Definitions Linkbase Document</w:t>
      </w: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20" w:firstLine="5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13, 2015</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76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29</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2015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13, 2015</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2015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13, 2015</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2015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13, 2015</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2015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13, 2015</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Ÿ"/>
      <w:numFmt w:val="bullet"/>
      <w:start w:val="1"/>
    </w:lvl>
  </w:abstractNum>
  <w:abstractNum w:abstractNumId="6">
    <w:nsid w:val="4E6AFB66"/>
    <w:multiLevelType w:val="hybridMultilevel"/>
    <w:lvl w:ilvl="0">
      <w:lvlJc w:val="left"/>
      <w:lvlText w:val="Ÿ"/>
      <w:numFmt w:val="bullet"/>
      <w:start w:val="1"/>
    </w:lvl>
  </w:abstractNum>
  <w:abstractNum w:abstractNumId="7">
    <w:nsid w:val="25E45D32"/>
    <w:multiLevelType w:val="hybridMultilevel"/>
    <w:lvl w:ilvl="0">
      <w:lvlJc w:val="left"/>
      <w:lvlText w:val="(%1)"/>
      <w:numFmt w:val="lowerRoman"/>
      <w:start w:val="1"/>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2019-12-29T14:32:29Z</dcterms:created>
  <dcterms:modified xsi:type="dcterms:W3CDTF">2019-12-29T14:32:29Z</dcterms:modified>
</cp:coreProperties>
</file>