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 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June 30, 2017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jc w:val="center"/>
        <w:ind w:left="4240" w:right="1000" w:hanging="3231"/>
        <w:spacing w:after="0" w:line="502" w:lineRule="auto"/>
        <w:tabs>
          <w:tab w:leader="none" w:pos="126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 to ___</w:t>
      </w:r>
    </w:p>
    <w:p>
      <w:pPr>
        <w:ind w:left="43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i w:val="1"/>
          <w:iCs w:val="1"/>
          <w:color w:val="auto"/>
        </w:rPr>
        <w:t>Commission File Number: 001-37527</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5460" w:type="dxa"/>
            <w:vAlign w:val="bottom"/>
            <w:gridSpan w:val="3"/>
          </w:tcPr>
          <w:p>
            <w:pPr>
              <w:jc w:val="center"/>
              <w:ind w:right="4440"/>
              <w:spacing w:after="0"/>
              <w:rPr>
                <w:sz w:val="20"/>
                <w:szCs w:val="20"/>
                <w:color w:val="auto"/>
              </w:rPr>
            </w:pPr>
            <w:r>
              <w:rPr>
                <w:rFonts w:ascii="Times New Roman" w:cs="Times New Roman" w:eastAsia="Times New Roman" w:hAnsi="Times New Roman"/>
                <w:sz w:val="18"/>
                <w:szCs w:val="18"/>
                <w:color w:val="auto"/>
              </w:rPr>
              <w:t>Delaware</w:t>
            </w:r>
          </w:p>
        </w:tc>
        <w:tc>
          <w:tcPr>
            <w:tcW w:w="3660" w:type="dxa"/>
            <w:vAlign w:val="bottom"/>
            <w:gridSpan w:val="2"/>
          </w:tcPr>
          <w:p>
            <w:pPr>
              <w:jc w:val="center"/>
              <w:ind w:right="1940"/>
              <w:spacing w:after="0"/>
              <w:rPr>
                <w:sz w:val="20"/>
                <w:szCs w:val="20"/>
                <w:color w:val="auto"/>
              </w:rPr>
            </w:pPr>
            <w:r>
              <w:rPr>
                <w:rFonts w:ascii="Times New Roman" w:cs="Times New Roman" w:eastAsia="Times New Roman" w:hAnsi="Times New Roman"/>
                <w:sz w:val="18"/>
                <w:szCs w:val="18"/>
                <w:color w:val="auto"/>
                <w:w w:val="99"/>
              </w:rPr>
              <w:t>0076-0307819</w:t>
            </w:r>
          </w:p>
        </w:tc>
      </w:tr>
      <w:tr>
        <w:trPr>
          <w:trHeight w:val="191"/>
        </w:trPr>
        <w:tc>
          <w:tcPr>
            <w:tcW w:w="56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0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3660" w:type="dxa"/>
            <w:vAlign w:val="bottom"/>
            <w:tcBorders>
              <w:top w:val="single" w:sz="8" w:color="auto"/>
            </w:tcBorders>
            <w:gridSpan w:val="2"/>
          </w:tcPr>
          <w:p>
            <w:pPr>
              <w:jc w:val="center"/>
              <w:ind w:right="194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7760" w:type="dxa"/>
            <w:vAlign w:val="bottom"/>
            <w:gridSpan w:val="4"/>
          </w:tcPr>
          <w:p>
            <w:pPr>
              <w:jc w:val="center"/>
              <w:ind w:right="214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660" w:type="dxa"/>
            <w:vAlign w:val="bottom"/>
            <w:gridSpan w:val="2"/>
          </w:tcPr>
          <w:p>
            <w:pPr>
              <w:jc w:val="center"/>
              <w:ind w:right="192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2300" w:type="dxa"/>
            <w:vAlign w:val="bottom"/>
          </w:tcPr>
          <w:p>
            <w:pPr>
              <w:spacing w:after="0"/>
              <w:rPr>
                <w:sz w:val="24"/>
                <w:szCs w:val="24"/>
                <w:color w:val="auto"/>
              </w:rPr>
            </w:pPr>
          </w:p>
        </w:tc>
        <w:tc>
          <w:tcPr>
            <w:tcW w:w="5460" w:type="dxa"/>
            <w:vAlign w:val="bottom"/>
            <w:tcBorders>
              <w:bottom w:val="single" w:sz="8" w:color="auto"/>
            </w:tcBorders>
            <w:gridSpan w:val="3"/>
          </w:tcPr>
          <w:p>
            <w:pPr>
              <w:jc w:val="center"/>
              <w:ind w:left="1290"/>
              <w:spacing w:after="0"/>
              <w:rPr>
                <w:sz w:val="20"/>
                <w:szCs w:val="20"/>
                <w:color w:val="auto"/>
              </w:rPr>
            </w:pPr>
            <w:r>
              <w:rPr>
                <w:rFonts w:ascii="Times New Roman" w:cs="Times New Roman" w:eastAsia="Times New Roman" w:hAnsi="Times New Roman"/>
                <w:sz w:val="18"/>
                <w:szCs w:val="18"/>
                <w:color w:val="auto"/>
                <w:w w:val="98"/>
              </w:rPr>
              <w:t>1333 Broadway, 10th Floor, New York, NY 10018</w:t>
            </w:r>
          </w:p>
        </w:tc>
        <w:tc>
          <w:tcPr>
            <w:tcW w:w="138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r>
      <w:tr>
        <w:trPr>
          <w:trHeight w:val="228"/>
        </w:trPr>
        <w:tc>
          <w:tcPr>
            <w:tcW w:w="2300" w:type="dxa"/>
            <w:vAlign w:val="bottom"/>
          </w:tcPr>
          <w:p>
            <w:pPr>
              <w:spacing w:after="0"/>
              <w:rPr>
                <w:sz w:val="19"/>
                <w:szCs w:val="19"/>
                <w:color w:val="auto"/>
              </w:rPr>
            </w:pPr>
          </w:p>
        </w:tc>
        <w:tc>
          <w:tcPr>
            <w:tcW w:w="5460" w:type="dxa"/>
            <w:vAlign w:val="bottom"/>
            <w:gridSpan w:val="3"/>
          </w:tcPr>
          <w:p>
            <w:pPr>
              <w:jc w:val="center"/>
              <w:ind w:left="12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38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96"/>
        </w:trPr>
        <w:tc>
          <w:tcPr>
            <w:tcW w:w="7760" w:type="dxa"/>
            <w:vAlign w:val="bottom"/>
            <w:gridSpan w:val="4"/>
          </w:tcPr>
          <w:p>
            <w:pPr>
              <w:jc w:val="center"/>
              <w:ind w:left="3590"/>
              <w:spacing w:after="0"/>
              <w:rPr>
                <w:sz w:val="20"/>
                <w:szCs w:val="20"/>
                <w:color w:val="auto"/>
              </w:rPr>
            </w:pPr>
            <w:r>
              <w:rPr>
                <w:rFonts w:ascii="Times New Roman" w:cs="Times New Roman" w:eastAsia="Times New Roman" w:hAnsi="Times New Roman"/>
                <w:sz w:val="18"/>
                <w:szCs w:val="18"/>
                <w:color w:val="auto"/>
                <w:w w:val="99"/>
              </w:rPr>
              <w:t>(347) 727-2474</w:t>
            </w:r>
          </w:p>
        </w:tc>
        <w:tc>
          <w:tcPr>
            <w:tcW w:w="13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34"/>
        </w:trPr>
        <w:tc>
          <w:tcPr>
            <w:tcW w:w="2300" w:type="dxa"/>
            <w:vAlign w:val="bottom"/>
          </w:tcPr>
          <w:p>
            <w:pPr>
              <w:spacing w:after="0"/>
              <w:rPr>
                <w:sz w:val="20"/>
                <w:szCs w:val="20"/>
                <w:color w:val="auto"/>
              </w:rPr>
            </w:pPr>
          </w:p>
        </w:tc>
        <w:tc>
          <w:tcPr>
            <w:tcW w:w="5460" w:type="dxa"/>
            <w:vAlign w:val="bottom"/>
            <w:gridSpan w:val="3"/>
          </w:tcPr>
          <w:p>
            <w:pPr>
              <w:jc w:val="center"/>
              <w:ind w:left="1270"/>
              <w:spacing w:after="0"/>
              <w:rPr>
                <w:sz w:val="20"/>
                <w:szCs w:val="20"/>
                <w:color w:val="auto"/>
              </w:rPr>
            </w:pPr>
            <w:r>
              <w:rPr>
                <w:rFonts w:ascii="Times New Roman" w:cs="Times New Roman" w:eastAsia="Times New Roman" w:hAnsi="Times New Roman"/>
                <w:sz w:val="18"/>
                <w:szCs w:val="18"/>
                <w:color w:val="auto"/>
                <w:w w:val="99"/>
              </w:rPr>
              <w:t>(Issuer's Telephone Number, Including Area Code)</w:t>
            </w:r>
          </w:p>
        </w:tc>
        <w:tc>
          <w:tcPr>
            <w:tcW w:w="138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176"/>
        </w:trPr>
        <w:tc>
          <w:tcPr>
            <w:tcW w:w="16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Large accelerated filer</w:t>
            </w:r>
          </w:p>
        </w:tc>
        <w:tc>
          <w:tcPr>
            <w:tcW w:w="2180" w:type="dxa"/>
            <w:vAlign w:val="bottom"/>
          </w:tcPr>
          <w:p>
            <w:pPr>
              <w:ind w:left="120"/>
              <w:spacing w:after="0" w:line="176"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900"/>
              <w:spacing w:after="0" w:line="176"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22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8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9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9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Emerging growth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78"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a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August 7, 2017, there were 18,471,001 shares of common stock, $.001 par value per share, of the issuer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800" w:type="dxa"/>
            <w:vAlign w:val="bottom"/>
            <w:gridSpan w:val="7"/>
          </w:tcPr>
          <w:p>
            <w:pPr>
              <w:jc w:val="center"/>
              <w:ind w:right="3820"/>
              <w:spacing w:after="0"/>
              <w:rPr>
                <w:sz w:val="20"/>
                <w:szCs w:val="20"/>
                <w:color w:val="auto"/>
              </w:rPr>
            </w:pPr>
            <w:r>
              <w:rPr>
                <w:rFonts w:ascii="Times New Roman" w:cs="Times New Roman" w:eastAsia="Times New Roman" w:hAnsi="Times New Roman"/>
                <w:sz w:val="18"/>
                <w:szCs w:val="18"/>
                <w:b w:val="1"/>
                <w:bCs w:val="1"/>
                <w:color w:val="auto"/>
                <w:w w:val="99"/>
              </w:rPr>
              <w:t>XCEL BRANDS, INC.</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40" w:type="dxa"/>
            <w:vAlign w:val="bottom"/>
            <w:gridSpan w:val="5"/>
          </w:tcPr>
          <w:p>
            <w:pPr>
              <w:jc w:val="center"/>
              <w:ind w:right="4260"/>
              <w:spacing w:after="0"/>
              <w:rPr>
                <w:sz w:val="20"/>
                <w:szCs w:val="20"/>
                <w:color w:val="auto"/>
              </w:rPr>
            </w:pPr>
            <w:r>
              <w:rPr>
                <w:rFonts w:ascii="Times New Roman" w:cs="Times New Roman" w:eastAsia="Times New Roman" w:hAnsi="Times New Roman"/>
                <w:sz w:val="18"/>
                <w:szCs w:val="18"/>
                <w:color w:val="auto"/>
                <w:w w:val="99"/>
              </w:rPr>
              <w:t>INDEX</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w:t>
            </w:r>
          </w:p>
        </w:tc>
        <w:tc>
          <w:tcPr>
            <w:tcW w:w="9700" w:type="dxa"/>
            <w:vAlign w:val="bottom"/>
            <w:gridSpan w:val="20"/>
            <w:shd w:val="clear" w:color="auto" w:fill="CCEEFF"/>
          </w:tcPr>
          <w:p>
            <w:pPr>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3">
              <w:r>
                <w:rPr>
                  <w:rFonts w:ascii="Times New Roman" w:cs="Times New Roman" w:eastAsia="Times New Roman" w:hAnsi="Times New Roman"/>
                  <w:sz w:val="18"/>
                  <w:szCs w:val="18"/>
                  <w:color w:val="0000EE"/>
                </w:rPr>
                <w:t>FINANCIAL INFORMATION</w:t>
              </w:r>
            </w:hyperlink>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560" w:type="dxa"/>
            <w:vAlign w:val="bottom"/>
            <w:gridSpan w:val="19"/>
            <w:shd w:val="clear" w:color="auto" w:fill="CCEEFF"/>
          </w:tcPr>
          <w:p>
            <w:pPr>
              <w:ind w:left="40"/>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Unaudited Condensed Consolidated Balance Sheets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560" w:type="dxa"/>
            <w:vAlign w:val="bottom"/>
            <w:gridSpan w:val="19"/>
            <w:shd w:val="clear" w:color="auto" w:fill="CCEEFF"/>
          </w:tcPr>
          <w:p>
            <w:pPr>
              <w:ind w:left="4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 Condensed Consolidated Statements of Operations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560" w:type="dxa"/>
            <w:vAlign w:val="bottom"/>
            <w:gridSpan w:val="19"/>
            <w:shd w:val="clear" w:color="auto" w:fill="CCEEFF"/>
          </w:tcPr>
          <w:p>
            <w:pPr>
              <w:ind w:left="40"/>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Consolidated Statements of Cash Flows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560" w:type="dxa"/>
            <w:vAlign w:val="bottom"/>
            <w:gridSpan w:val="19"/>
            <w:shd w:val="clear" w:color="auto" w:fill="CCEEFF"/>
          </w:tcPr>
          <w:p>
            <w:pPr>
              <w:ind w:left="40"/>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Unaudited Condensed Consolidated Financial Statements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Management's Discussion and Analysis of Financial Condition and Results of Operations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Quantitative and Qualitative Disclosures About Market Risk</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Controls and Procedures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PART II</w:t>
            </w:r>
          </w:p>
        </w:tc>
        <w:tc>
          <w:tcPr>
            <w:tcW w:w="9700" w:type="dxa"/>
            <w:vAlign w:val="bottom"/>
            <w:gridSpan w:val="20"/>
            <w:shd w:val="clear" w:color="auto" w:fill="CCEEFF"/>
          </w:tcPr>
          <w:p>
            <w:pPr>
              <w:spacing w:after="0" w:line="17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w:anchor="page27">
              <w:r>
                <w:rPr>
                  <w:rFonts w:ascii="Times New Roman" w:cs="Times New Roman" w:eastAsia="Times New Roman" w:hAnsi="Times New Roman"/>
                  <w:sz w:val="18"/>
                  <w:szCs w:val="18"/>
                  <w:color w:val="0000EE"/>
                </w:rPr>
                <w:t>OTHER INFORMATION</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7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Legal Proceedings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7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Risk Factors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7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Unregistered Sales of Equity Securities and Use of Proceeds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7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Defaults Upon Senior Securities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7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Mine Safety Disclosures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7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Other Information</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70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Exhibits</w:t>
              </w:r>
            </w:hyperlink>
          </w:p>
        </w:tc>
        <w:tc>
          <w:tcPr>
            <w:tcW w:w="90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3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7"/>
              </w:rPr>
            </w:pPr>
            <w:hyperlink w:anchor="page28">
              <w:r>
                <w:rPr>
                  <w:rFonts w:ascii="Times New Roman" w:cs="Times New Roman" w:eastAsia="Times New Roman" w:hAnsi="Times New Roman"/>
                  <w:sz w:val="18"/>
                  <w:szCs w:val="18"/>
                  <w:color w:val="0000EE"/>
                  <w:w w:val="97"/>
                </w:rPr>
                <w:t>Signatures</w:t>
              </w:r>
            </w:hyperlink>
          </w:p>
        </w:tc>
        <w:tc>
          <w:tcPr>
            <w:tcW w:w="8940" w:type="dxa"/>
            <w:vAlign w:val="bottom"/>
            <w:tcBorders>
              <w:bottom w:val="single" w:sz="8" w:color="CCEEFF"/>
            </w:tcBorders>
            <w:gridSpan w:val="1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18"/>
          </w:tcPr>
          <w:p>
            <w:pPr>
              <w:jc w:val="center"/>
              <w:ind w:left="4750"/>
              <w:spacing w:after="0"/>
              <w:rPr>
                <w:sz w:val="20"/>
                <w:szCs w:val="20"/>
                <w:color w:val="auto"/>
              </w:rPr>
            </w:pPr>
            <w:r>
              <w:rPr>
                <w:rFonts w:ascii="Times New Roman" w:cs="Times New Roman" w:eastAsia="Times New Roman" w:hAnsi="Times New Roman"/>
                <w:sz w:val="18"/>
                <w:szCs w:val="18"/>
                <w:color w:val="auto"/>
                <w:w w:val="88"/>
              </w:rPr>
              <w:t>2</w:t>
            </w:r>
          </w:p>
        </w:tc>
        <w:tc>
          <w:tcPr>
            <w:tcW w:w="14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140" w:type="dxa"/>
            <w:vAlign w:val="bottom"/>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PART 1. FINANCIAL INFORMATION</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14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14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Balance Sheets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14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100" w:type="dxa"/>
            <w:vAlign w:val="bottom"/>
          </w:tcPr>
          <w:p>
            <w:pPr>
              <w:spacing w:after="0"/>
              <w:rPr>
                <w:sz w:val="24"/>
                <w:szCs w:val="24"/>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(Note 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2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500" w:type="dxa"/>
            <w:vAlign w:val="bottom"/>
            <w:shd w:val="clear" w:color="auto" w:fill="CCEEFF"/>
          </w:tcPr>
          <w:p>
            <w:pPr>
              <w:spacing w:after="0"/>
              <w:rPr>
                <w:sz w:val="15"/>
                <w:szCs w:val="15"/>
                <w:color w:val="auto"/>
              </w:rPr>
            </w:pPr>
          </w:p>
        </w:tc>
        <w:tc>
          <w:tcPr>
            <w:tcW w:w="5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5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7,621</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bottom w:val="single" w:sz="8" w:color="CCEEFF"/>
            </w:tcBorders>
            <w:gridSpan w:val="4"/>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Trademarks and other intangibles,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110,673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w:t>
            </w:r>
          </w:p>
        </w:tc>
        <w:tc>
          <w:tcPr>
            <w:tcW w:w="15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8"/>
              </w:rPr>
              <w:t>Restricted cash</w:t>
            </w:r>
          </w:p>
        </w:tc>
        <w:tc>
          <w:tcPr>
            <w:tcW w:w="15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500" w:type="dxa"/>
            <w:vAlign w:val="bottom"/>
            <w:shd w:val="clear" w:color="auto" w:fill="CCEEFF"/>
          </w:tcPr>
          <w:p>
            <w:pPr>
              <w:spacing w:after="0"/>
              <w:rPr>
                <w:sz w:val="19"/>
                <w:szCs w:val="19"/>
                <w:color w:val="auto"/>
              </w:rPr>
            </w:pPr>
          </w:p>
        </w:tc>
        <w:tc>
          <w:tcPr>
            <w:tcW w:w="5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bottom w:val="single" w:sz="8" w:color="CCEEFF"/>
            </w:tcBorders>
            <w:gridSpan w:val="4"/>
          </w:tcPr>
          <w:p>
            <w:pPr>
              <w:ind w:left="3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128,578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129,217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00" w:type="dxa"/>
            <w:vAlign w:val="bottom"/>
            <w:tcBorders>
              <w:bottom w:val="single" w:sz="8" w:color="CCEEFF"/>
            </w:tcBorders>
            <w:shd w:val="clear" w:color="auto" w:fill="CCEEFF"/>
          </w:tcPr>
          <w:p>
            <w:pPr>
              <w:spacing w:after="0"/>
              <w:rPr>
                <w:sz w:val="19"/>
                <w:szCs w:val="19"/>
                <w:color w:val="auto"/>
              </w:rPr>
            </w:pPr>
          </w:p>
        </w:tc>
        <w:tc>
          <w:tcPr>
            <w:tcW w:w="5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145,823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151,120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6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5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1,054</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Accrued payroll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 contingent obligations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bottom w:val="single" w:sz="8" w:color="CCEEFF"/>
            </w:tcBorders>
            <w:gridSpan w:val="4"/>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500" w:type="dxa"/>
            <w:vAlign w:val="bottom"/>
            <w:tcBorders>
              <w:bottom w:val="single" w:sz="8" w:color="CCEEFF"/>
            </w:tcBorders>
          </w:tcPr>
          <w:p>
            <w:pPr>
              <w:spacing w:after="0"/>
              <w:rPr>
                <w:sz w:val="18"/>
                <w:szCs w:val="18"/>
                <w:color w:val="auto"/>
              </w:rPr>
            </w:pPr>
          </w:p>
        </w:tc>
        <w:tc>
          <w:tcPr>
            <w:tcW w:w="5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 and outstanding</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gridSpan w:val="4"/>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35,000,000 shares authorized at June 30, 2017 and December 31, 2016,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and 18,471,001 and 18,644,982 issued and outstanding at June 30, 2017 and December 31, 2016,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150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Paid-in capital</w:t>
            </w:r>
          </w:p>
        </w:tc>
        <w:tc>
          <w:tcPr>
            <w:tcW w:w="150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98,354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00" w:type="dxa"/>
            <w:vAlign w:val="bottom"/>
            <w:tcBorders>
              <w:top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145,823</w:t>
            </w:r>
          </w:p>
        </w:tc>
        <w:tc>
          <w:tcPr>
            <w:tcW w:w="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151,120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For the Six Months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Ended June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9,112</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16,800</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Salaries, benefits and employment taxes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8,727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design and marketing costs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2,414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1,553</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finance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 - term debt</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interest and finance charges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interest and finance expense</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26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6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18,449,210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18,671,648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18,561,453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18,565,198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18,813,044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18,671,648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18,561,453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18,565,198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4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deferred finance costs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note discount</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income tax</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Non-cash property exit charge</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liabilities</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to acquire intangible assets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repurchased including vested restricted stock in exchange for withholding taxes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deferred finance costs</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of long-term debt</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(5,959)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 of QVC earn-out obligation</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(6,772</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15,636</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3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9,130</w:t>
            </w:r>
          </w:p>
        </w:tc>
        <w:tc>
          <w:tcPr>
            <w:tcW w:w="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Reconciliation to amounts on condensed consolidated balance sheets:</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7,621</w:t>
            </w:r>
          </w:p>
        </w:tc>
        <w:tc>
          <w:tcPr>
            <w:tcW w:w="28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1,509</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13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28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108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48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677</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Background, and Basis of Presentation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December 31, 2016 (which has been derived from audited financial statements) and the unaudited interim condensed consolidated financial statements have been prepared in accordance with accounting principles generally accepted in the United States (“GAAP”) for interim financial information and pursuant to the instructions to Form 10-Q and Rule 10-01 of Regulation S-X promulgated by the United States Securities and Exchange Commission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were prepared following the same policies and procedures used in the preparation of the audited consolidated financial statements and reflect all adjustments (consisting of normal recurring adjustments) necessary to present fairly the results of operations, financial position, and cash flows of Xcel Brands, Inc. (“Xcel”) and its subsidiaries (the “Company”). The results of operations for the interim periods presented herein are not necessarily indicative of the results for the entire fiscal year or for any future interim periods. These unaudited condensed consolidated financial statements should be read in conjunction with the Company’s Annual Report on Form 10-K for the year ended December 31, 2016, as filed with the SEC on March 24, 2017.</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media and brand management company engaged in the design, production, licensing, marketing, and direct to consumer sales of branded apparel, footwear, accessories, jewelry, home goods, and other consumer products, and the acquisition of dynamic consumer lifestyle brands. Currently, the Company’s brand portfolio consists of the Isaac Mizrahi brand (the "Isaac Mizrahi Brand"), the Judith Ripka brand (the “Ripka Brand”), the H by Halston and H Halston brands (collectively, the “H Halston Brands”), the C Wonder brand (the “C Wonder Brand”), and the Highline Collective brand.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licenses its brands to third parties, provides certain design, production, and marketing services, and generates licensing, design, and service fee revenues through contractual arrangements and other agreements with manufacturers and retailers. These activities include licensing its own brands for promotion and distribution through a ubiquitous retail sales strategy, which encompasses distribution through interactive television, the internet, and traditional brick-and-mortar retail channels.</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Certain reclassifications have been made to the prior period unaudited condensed consolidated financial statements to conform to the current period presentation, including:</w:t>
      </w: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e-commerce gross margin within total net revenues on the condensed consolidated statements of operations. Of the $36,000 of costs previously presented as cost of goods sold for the three months ended June 30, 2016, $4,000 has been reclassified to net revenues, and $32,000 has been reclassified to other selling, general and administrative expenses. Of the $106,000 of costs previously presented as cost of goods sold for the six months ended June 30, 2016, $35,000 has been reclassified to net revenues, and $71,000 has been reclassified to other selling, general and administrative expenses.</w:t>
      </w:r>
    </w:p>
    <w:p>
      <w:pPr>
        <w:spacing w:after="0" w:line="2"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restricted cash on the condensed consolidated statements of cash flows, as a result of the early adoption of Accounting Standards Update No. 2016-18 in the fourth quarter of 2016.</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further information, refer to the consolidated financial statements and footnotes thereto included in the Company’s Annual Report on Form 10-K for the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May 2017, the Financial Accounting Standards Board (“FASB”) issued Accounting Standards Update No. 2017-09, </w:t>
      </w:r>
      <w:r>
        <w:rPr>
          <w:rFonts w:ascii="Times New Roman" w:cs="Times New Roman" w:eastAsia="Times New Roman" w:hAnsi="Times New Roman"/>
          <w:sz w:val="18"/>
          <w:szCs w:val="18"/>
          <w:i w:val="1"/>
          <w:iCs w:val="1"/>
          <w:color w:val="auto"/>
        </w:rPr>
        <w:t>Stock Compensation (Topic 718):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Scope of Modification Accounting </w:t>
      </w:r>
      <w:r>
        <w:rPr>
          <w:rFonts w:ascii="Times New Roman" w:cs="Times New Roman" w:eastAsia="Times New Roman" w:hAnsi="Times New Roman"/>
          <w:sz w:val="18"/>
          <w:szCs w:val="18"/>
          <w:color w:val="auto"/>
        </w:rPr>
        <w:t>(“ASU 2017-09”). ASU 2017-09 provides guidance about which changes to the terms or conditions of a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award require an entity to apply modification accounting in Topic 718. An entity should account for the effects of a modification unless all the following conditions are met: (i) the fair value of the modified award is the same as the fair value of the original award immediately before the original award is modified; (ii) the vesting conditions of the modified award are the same as the vesting conditions of the original award immediately before the original award is modified; and (iii) the classification of the modified award as an equity instrument or a liability instrument is the same as the classification of the original award immediately before the original award is modified. This new accounting guidance is effective for public companies for fiscal years beginning after December 15, 2017 (i.e., calendar years beginning on January 1, 2018), including interim periods within those fiscal years. Early adoption is permitted in any interim or annual period. The amendments in ASU 2017-09 should be applied prospectively to an award modified on or after the adoption date. The Company is currently evaluating the impact that the adoption of ASU 2017-09 will have on the Company’s consolidated financial statements.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May 2014,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requiring revenue to be recognized in an amount that reflects the consideration expected to be received in exchange for goods and services. This new revenue standard may be applied retrospectively to each prior period presented, or retrospectively with the cumulative effect recognized as of the date of adoption. In August 2015, FASB issued ASU No. 2015-14, </w:t>
      </w:r>
      <w:r>
        <w:rPr>
          <w:rFonts w:ascii="Times New Roman" w:cs="Times New Roman" w:eastAsia="Times New Roman" w:hAnsi="Times New Roman"/>
          <w:sz w:val="18"/>
          <w:szCs w:val="18"/>
          <w:i w:val="1"/>
          <w:iCs w:val="1"/>
          <w:color w:val="auto"/>
        </w:rPr>
        <w:t>Revenue from Contracts with Customers – Deferral of the Effective Date</w:t>
      </w:r>
      <w:r>
        <w:rPr>
          <w:rFonts w:ascii="Times New Roman" w:cs="Times New Roman" w:eastAsia="Times New Roman" w:hAnsi="Times New Roman"/>
          <w:sz w:val="18"/>
          <w:szCs w:val="18"/>
          <w:color w:val="auto"/>
        </w:rPr>
        <w:t xml:space="preserve"> (“ASU 2015-14”), which defers implementation of ASU 2014-09 by one year. Under such deferral, the adoption of ASU 2014-09 becomes effective for us on January 1, 2018, including interim periods within that reporting period. Early adoption is permitted, but not before our original effective date of January 1, 2017. Our evaluation of the impact of the adoption of ASU 2014-09 on our consolidated financial statements is ongoing and our implementation efforts have included the identification of revenue within the scope of the guidance and the evaluation of applicable revenue contracts. Currently, based on our preliminary analyses, we do not expect the adoption of ASU 2014-09 to result in material differences from the Company’s current revenue recognition policies; however, our analyses are not final. The Company recognizes revenue continuously over time as it satisfies its continuous obligation of granting access to its licensed intellectual properties. Revenue, depending on the contract, is recognized ratably over each contract year as the performance occurs based on the greater of the guaranteed minimum payments, sales-based payments, or performance based payments, with each contract year treated as separate from the other years.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w:t>
            </w:r>
          </w:p>
        </w:tc>
        <w:tc>
          <w:tcPr>
            <w:tcW w:w="51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Trademarks, Goodwill and Other Intangibles</w:t>
            </w: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 and other intangibles, net consist of the following:</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238"/>
        </w:trPr>
        <w:tc>
          <w:tcPr>
            <w:tcW w:w="5620" w:type="dxa"/>
            <w:vAlign w:val="bottom"/>
            <w:gridSpan w:val="2"/>
            <w:vMerge w:val="continue"/>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(indefinite-lived)</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96,694</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 (definite-lived)</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15 years</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agreements</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4 years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7 years</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Copyrights and other intellectual property</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 years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114,909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110,673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238"/>
        </w:trPr>
        <w:tc>
          <w:tcPr>
            <w:tcW w:w="5620" w:type="dxa"/>
            <w:vAlign w:val="bottom"/>
            <w:gridSpan w:val="2"/>
            <w:vMerge w:val="continue"/>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0" w:type="dxa"/>
            <w:vAlign w:val="bottom"/>
          </w:tcPr>
          <w:p>
            <w:pPr>
              <w:spacing w:after="0"/>
              <w:rPr>
                <w:sz w:val="20"/>
                <w:szCs w:val="20"/>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(indefinite-lived)</w:t>
            </w: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 (definite-lived)</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15 years</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15,463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Licensing agreements</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4 years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Non-compete agreement</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7 years</w:t>
            </w: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Copyrights and other intellectual property</w:t>
            </w:r>
          </w:p>
        </w:tc>
        <w:tc>
          <w:tcPr>
            <w:tcW w:w="1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 years</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114,891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3,671</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111,220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approximately $282,000 for each of the quarters ended June 30, 2017 (the “Current Quarter”) and June 30, 2016 (the “Prior Year Quarter”). Amortization expense for intangible assets for the six months ended June 30, 2017 (“Current Six Months”) and the six months ended June 30, 2017 (the “Prior Year Six Months”) was approximately $565,000 and $564,000,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trademarks related to the Isaac Mizrahi Brand, the Ripka Brand, and the H Halston Brands have been determined to have indefinite useful lives and, accordingly, no amortization has been recorded for these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$12.371 million of goodwill related to the 2011 acquisition of the Isaac Mizrahi business. There was no change in goodwill during the Current Six Months.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Contracts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QVC Agreements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Company’s agreements with QVC, QVC is required to pay the Company fees based primarily on a percentage of its net sales of Isaac Mizrahi, Ripka, H Halston, and C Wonder branded merchandise. QVC royalty revenue represents a significant portion of the Company’s total revenues. Net revenues from QVC totaled $6.78 million and $7.72 million for the Current Quarter and Prior Year Quarter, respectively, representing approximately 81% and 85% of the Company’s net revenues, respectively. Net revenues from QVC totaled $14.01 million and $14.95 million for the Current Six Months and the Prior Year Six Months, respectively, representing approximately 83% and 86% of the Company’s net revenues, respectively. As of June 30, 2017 and December 31, 2016, the Company had receivables from QVC of $6.83 million and $5.89 million, respectively, representing approximately 78% and 85% of the Company’s total receivables,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28, 2017, the Company and QVC entered into an amendment to terminate the C Wonder QVC Agreement effective May 1, 2017 and commence a sell-off period. During the sell-off period, QVC remains obligated to pay royalties to the Company through January 31, 2018, and QVC retains exclusive rights with respect to C Wonder branded products for interactive television, excluding certain permitted international entities, through May 1, 2018.</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2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Debt</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net carrying amount of debt was comprised of the following:</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00" w:type="dxa"/>
            <w:vAlign w:val="bottom"/>
          </w:tcPr>
          <w:p>
            <w:pPr>
              <w:spacing w:after="0"/>
              <w:rPr>
                <w:sz w:val="24"/>
                <w:szCs w:val="24"/>
                <w:color w:val="auto"/>
              </w:rPr>
            </w:pPr>
          </w:p>
        </w:tc>
        <w:tc>
          <w:tcPr>
            <w:tcW w:w="62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color w:val="auto"/>
              </w:rPr>
              <w:t>($ in thousands)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400" w:type="dxa"/>
            <w:vAlign w:val="bottom"/>
          </w:tcPr>
          <w:p>
            <w:pPr>
              <w:spacing w:after="0"/>
              <w:rPr>
                <w:sz w:val="20"/>
                <w:szCs w:val="20"/>
                <w:color w:val="auto"/>
              </w:rPr>
            </w:pPr>
          </w:p>
        </w:tc>
        <w:tc>
          <w:tcPr>
            <w:tcW w:w="6260" w:type="dxa"/>
            <w:vAlign w:val="bottom"/>
            <w:gridSpan w:val="2"/>
            <w:vMerge w:val="continue"/>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Xcel Term Loan</w:t>
            </w:r>
          </w:p>
        </w:tc>
        <w:tc>
          <w:tcPr>
            <w:tcW w:w="1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deferred finance costs related to term loan</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 Seller Note</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Ripka Seller Notes</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obligation - JR Seller</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Contingent obligation - CW Seller</w:t>
            </w:r>
          </w:p>
        </w:tc>
        <w:tc>
          <w:tcPr>
            <w:tcW w:w="1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Current portion (i)</w:t>
            </w:r>
          </w:p>
        </w:tc>
        <w:tc>
          <w:tcPr>
            <w:tcW w:w="1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22,019</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long-term debt as of June 30, 2017 consists of (a) $2.5 million related to the Xcel Term Loan, (b) $1.443 million related to the IM Seller Note, and (c) $100 thousand related to the Ripka Earn-Out.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Xcel Term Loan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26, 2016, Xcel and its wholly owned subsidiaries, IM Brands, LLC, JR Licensing, LLC, H Licensing, LLC, C Wonder Licensing, LLC, Xcel Design Group, LLC, IMNY Retail Management, LLC, and IMNY E-Store, USA, LLC (each a “Guarantor” and collectively, the “Guarantors”), as Guarantors, entered into an Amended and Restated Loan and Security Agreement (the “Loan Agreement”) with Bank Hapoalim B.M. (“BHI”), as agent (the “Agent”), and the financial institutions party thereto as lenders (the “Lenders”). The Loan Agreement amended and restated the IM Term Loan, the JR Term Loan, and the H Term Loan. Pursuant to the Loan Agreement, Xcel assumed the obligations of each of IM Brands, LLC, JR Licensing, LLC, and H Licensing, LLC under the respective term loans with BHI in the aggregate principal amount of $27,875,000 (the loan under the Loan Agreement is referred to as the “Xcel Term Loan”). Management assessed and determined that this amendment represented a debt modification and, accordingly, no gain or loss was recorded.</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24, 2017, Xcel and BHI amended the terms of the Loan Agreement (the “Amended Loan Agreement”). Under this amendment, principal payments for the year ending December 31, 2017 were increased by a total of $1,000,000, principal payments for the year ending December 31, 2021 were decreased by $1,000,000, and the minimum EBITDA (as defined in the Amended Loan Agreement) requirement for the year ended December 31, 2016 was eliminated. There were no changes to the total principal balance, interest rate, maturity date, or other terms of the Loan Agreement. Management assessed and determined that this amendment represented a debt modification and, accordingly, no gain or loss was recorded.</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15, 2017, Xcel and BHI entered into a second amendment to the Amended Loan Agreement. Under this amendment, principal payments for the year ending December 31, 2017 were increased by a total of $750,000, principal payments for the year ending December 31, 2021 were decreased by $750,000, the minimum EBITDA (as defined in the Second Amendment to the Amended Loan Agreement) requirement for the year ending December 31, 2017 was changed from $9,000,000 to $7,000,000, and the minimum EBITDA requirements for the years ending December 31, 2018 and 2019 were changed from $9,000,000 to $8,000,000. There were no changes to the total principal balance, interest rate, maturity date, or other terms of the Loan Agreement. Management assessed and determined that this amendment represented a debt modification and, accordingly, no gain or loss was recorded.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Xcel Term Loan matures on January 1, 2021. Principal on the Xcel Term Loan is payable in quarterly installments on each of January 1, April 1, July 1 and October 1. As of June 30, 2017, the aggregate remaining scheduled annual principal payments under the Second Amendment to the Amended Loan Agreement were as follows: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Principal</w:t>
            </w:r>
          </w:p>
        </w:tc>
      </w:tr>
      <w:tr>
        <w:trPr>
          <w:trHeight w:val="238"/>
        </w:trPr>
        <w:tc>
          <w:tcPr>
            <w:tcW w:w="7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Payment</w:t>
            </w:r>
          </w:p>
        </w:tc>
      </w:tr>
      <w:tr>
        <w:trPr>
          <w:trHeight w:val="210"/>
        </w:trPr>
        <w:tc>
          <w:tcPr>
            <w:tcW w:w="20" w:type="dxa"/>
            <w:vAlign w:val="bottom"/>
          </w:tcPr>
          <w:p>
            <w:pPr>
              <w:spacing w:after="0"/>
              <w:rPr>
                <w:sz w:val="18"/>
                <w:szCs w:val="18"/>
                <w:color w:val="auto"/>
              </w:rPr>
            </w:pPr>
          </w:p>
        </w:tc>
        <w:tc>
          <w:tcPr>
            <w:tcW w:w="7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 (July 1 through December 31)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Commencing with the fiscal year ending December 31, 2017, the Company is required to repay a portion of the Xcel Term Loan in an amount equal to 10% of the excess cash flow for the fiscal year; provided that no early termination fee shall be payable with respect to any such payment (the “Excess Cash Flow Principal Payment”). Excess cash flow means, for any period, cash flow from operations (before certain permitted distributions) less (i) capital expenditures not made through the incurrence of indebtedness, (ii) all cash interest and principal and taxes paid or payable during such period, and (iii) all dividends declared and paid during such period to equity holders of any credit party treated as a disregarded entity for tax purposes. As of June 30, 2017, the estimated Excess Cash Flow Principal Payment provision of the Xcel Term Loan does not result in any additional repayment during the year ending December 31, 2017.</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Amendment to the Loan Agreement, the Company has the right to prepay the Xcel Term Loan, provided that any prepayment of less than all of the outstanding balance shall be applied to the remaining amounts due in inverse order of maturity. If the Xcel Term Loan is prepaid on or prior to the third anniversary of the closing date (including as a result of an event of default), the Company shall pay an early termination fee equal to the principal amount outstanding under the Xcel Term Loan on the date of prepayment, multiplied by: (i) two percent (2.00%) if the Xcel Term Loan is prepaid on or after the closing date and on or before the second anniversary of the closing date; or (ii) one percent (1.00%) if the Xcel Term Loan is prepaid after the second anniversary of the closing date and on or before the third anniversary of the closing date.</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Xcel’s obligations under the Amended Loan Agreement are guaranteed by the Guarantors and secured by all of the assets of Xcel and the Guarantors (as well as any subsidiary formed or acquired that becomes a credit party to the Amended Loan Agreement) and, subject to certain limitations contained in the Amended Loan Agreement, equity interests of the Guarantors (as well as any subsidiary formed or acquired that becomes a credit party to the Amended Loan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Amended Loan Agreement contains customary covenants, including reporting requirements, trademark preservation, and the following financial covenants of the Company (on a consolidated basis with the Guarantors and any subsidiaries subsequently formed or acquired that become a credit party under the Amended Loan Agreement):</w:t>
      </w:r>
    </w:p>
    <w:p>
      <w:pPr>
        <w:spacing w:after="0" w:line="176" w:lineRule="exact"/>
        <w:rPr>
          <w:sz w:val="20"/>
          <w:szCs w:val="20"/>
          <w:color w:val="auto"/>
        </w:rPr>
      </w:pPr>
    </w:p>
    <w:p>
      <w:pPr>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worth (as defined in the Amended Loan Agreement) of at least $90,000,000 at the end of each fiscal quarter ending on June 30 and December 31 of each fiscal year;</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 assets of at least $5,000,000, until such time as the ratio of indebtedness to EBITDA (as defined in the Amended Loan Agreement) is less than 1.00 to 1.00 and, in which event, liquid assets must be at least $3,000,000;</w:t>
      </w:r>
    </w:p>
    <w:p>
      <w:pPr>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charge ratio of at least 1.20 to 1.00 for each fiscal quarter ended June 30 and December 31 for the twelve fiscal month period ending on such date;</w:t>
      </w: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shall not exceed (i) $2,650,000 for the year ended December 31, 2016 and (ii) $700,000 for any fiscal year thereafter; and</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(as defined in the Amended Loan Agreement) of not less than $7,000,000 for the fiscal year ending December 31, 2017, not less than $8,000,000 for the fiscal years ending December 31, 2018 and 2019, and not less of $9,000,000 for the following fiscal years.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was in compliance with all applicable covenants as of June 30, 2017.</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on the Xcel Term Loan accrues at a fixed rate of 5.1% per annum and is payable on each day on which the scheduled principal payments are required to be made. For the Current Quarter and Prior Year Quarter, the Company incurred interest expense on its senior term loan debt with BHI of approximately $287,000 and $348,000, respectively. For the Current Six Months and Prior Year Six Months, the Company incurred interest expense on its senior term loan debt with BHI of approximately $596,000 and $663,000,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 Seller Note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29, 2011, as part of the consideration for the purchase of the Isaac Mizrahi Business, the Company issued to IM Ready-Made, LLC (“IM Ready”) a promissory note in the principal amount of $7,377,000 (as amended, the “IM Seller Note”). The stated interest rate of the IM Seller Note was 0.25% per annum. Management determined that this rate was below the Company’s expected borrowing rate, which was then estimated at 9.25% per annum. Therefore, the Company discounted the IM Seller Note by $1,740,000 using a 9.0% imputed annual interest rate, resulting in an initial value of $5,637,000. In addition, on September 29, 2011, the Company prepaid $123,000 of interest on the IM Seller Note. The imputed interest amount was amortized over the term of the IM Seller Note and recorded as other interest and finance expense on the Company’s condensed consolidated statements of operations.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24, 2013, the IM Seller Note was amended to (1) revise the maturity date to September 30, 2016, (2) revise the date to which the maturity date may be extended to September 30, 2018, (3) provide the Company with a prepayment right with its common stock, subject to remitting in cash certain required cash payments and a minimum common stock price of $4.50 per share, and (4) require interim scheduled payments.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19, 2016, the IM Seller Note was further amended and restated to (1) revise the maturity date to March 31, 2019, (2) require six semi-annual principal and interest installment payments of $750,000, commencing on September 30, 2016 and ending on March 31, 2019, (3) revise the stated interest rate to 2.236% per annum, (4) allow for optional prepayments at any time at the Company’s discretion without premium or penalty, and (5) require that all payments of principal and interest be made in cash. Management assessed and determined that this amendment represented a debt modification and, accordingly, no gain or loss was recorded.</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of June 30, 2017, the aggregate remaining annual principal payments under the IM Seller Note were as follows: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840" w:type="dxa"/>
            <w:vAlign w:val="bottom"/>
            <w:gridSpan w:val="3"/>
          </w:tcPr>
          <w:p>
            <w:pPr>
              <w:ind w:left="1140"/>
              <w:spacing w:after="0"/>
              <w:rPr>
                <w:sz w:val="20"/>
                <w:szCs w:val="20"/>
                <w:color w:val="auto"/>
              </w:rPr>
            </w:pPr>
            <w:r>
              <w:rPr>
                <w:rFonts w:ascii="Times New Roman" w:cs="Times New Roman" w:eastAsia="Times New Roman" w:hAnsi="Times New Roman"/>
                <w:sz w:val="18"/>
                <w:szCs w:val="18"/>
                <w:color w:val="auto"/>
              </w:rPr>
              <w:t>($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11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Principal</w:t>
            </w:r>
          </w:p>
        </w:tc>
      </w:tr>
      <w:tr>
        <w:trPr>
          <w:trHeight w:val="238"/>
        </w:trPr>
        <w:tc>
          <w:tcPr>
            <w:tcW w:w="884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Payment</w:t>
            </w:r>
          </w:p>
        </w:tc>
      </w:tr>
      <w:tr>
        <w:trPr>
          <w:trHeight w:val="210"/>
        </w:trPr>
        <w:tc>
          <w:tcPr>
            <w:tcW w:w="1160" w:type="dxa"/>
            <w:vAlign w:val="bottom"/>
          </w:tcPr>
          <w:p>
            <w:pPr>
              <w:spacing w:after="0"/>
              <w:rPr>
                <w:sz w:val="18"/>
                <w:szCs w:val="18"/>
                <w:color w:val="auto"/>
              </w:rPr>
            </w:pPr>
          </w:p>
        </w:tc>
        <w:tc>
          <w:tcPr>
            <w:tcW w:w="7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 (July 1 through December 31)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80" w:type="dxa"/>
            <w:vAlign w:val="bottom"/>
            <w:shd w:val="clear" w:color="auto" w:fill="CCEEFF"/>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76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Current Quarter, the Company incurred interest expense of $16,000 under the IM Seller Note. For the Prior Year Quarter, the Company incurred interest expense of $69,000, which consisted solely of amortization of the discount on the IM Seller Note. For the Current Six Months, the Company incurred interest expense of $36,000 under the IM Seller Note. For the Prior Year Six Months, the Company incurred interest expense of $140,000 under the IM Seller Note, which consisted solely of amortization of the discount on the IM Seller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Ripka Seller Notes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2017, the remaining discounted balance, non-interest bearing note relating to the acquisition of the Ripka Brand (the “Ripka Seller Notes”) was $523,000. An aggregate $600,000 principal amount of the Ripka Seller Notes is due at maturity (March 31, 2019).</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both the Current Quarter and Prior Year Quarter, the Company incurred interest expense of approximately $9,000 under the Ripka Seller Notes, which consisted solely of amortization of the discount on the Ripka Seller Notes. For the Current Six Months and the Prior Year Six Months, the Company incurred interest expense of approximately $19,000 and $17,000, respectively, under the Ripka Seller Notes, which consists solely of amortization of the discount on the Ripka Seller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JR Seller (Ripka Earn-Out)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purchase of the Ripka Brand, the Company agreed to pay the sellers of the Ripka Brand additional consideration of up to $5 million in aggregate (the “Ripka Earn-Out”), payable in cash or shares of the Company’s common stock based on the fair market value of the Company’s common stock at the time of payment, and with a floor of $7.00 per share, based on the Ripka Brand achieving in excess of $1 million of net royalty income during each of the 12-month periods ending on October 1, 2016, 2017 and 2018, less the sum of all earn-out payments for any prior earn-out period. Net royalty income does not include any revenues generated by interactive television sales or any revenue accelerated as a result of a termination of any license agreement. The Ripka Earn-Out of $3.78 million was recorded based on the difference between the fair value of the acquired assets of the Ripka Brand at the acquisition date and the total consideration paid.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21, 2016, the Company entered into an agreement with the sellers of the Ripka Brand which amended the terms of the Ripka Earn-Out, such that the maximum amount of earn-out consideration was reduced to $375,000, of which $175,000 was payable in cash upon execution of the amendment, and $100,000 is payable in cash on each of May 15, 2018 and 2019. The payment of the remaining future payments of $200,000 under the earn-out is contingent upon the Ripka Brand achieving at least $6,000,000 of net royalty income from QVC during each of the 12-month periods ending on March 31, 2018 and 2019. The remaining expected value (which approximates fair value) of the Ripka Earn-Out of $0.20 million is recorded as long-term debt in the accompanying condensed consolidated balance sheets, of which $0.10 million is presented in the current portion of long-term debt.</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Obligations – CW Seller (C Wonder Earn-Out)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purchase of the C Wonder Brand, the Company agreed to pay the seller additional consideration (the “C Wonder Earn-Out”), which would be payable, if at all, in cash or shares of common stock of the Company, at the Company’s sole discretion, after June 30, 2019, with a value based on the royalties related directly to the assets the Company acquired pursuant to the purchase agreement. The value of the earn-out shall be calculated as the positive amount, if any, of (i) two times (A) the maximum net royalties as calculated for any single twelve month period commencing on July 1 and ending on June 30 between the closing date and June 30, 2019 (each, a “Royalty Target Year”) less (B) $4,000,000, plus (ii) two times the maximum royalty determined based on a percentage of retail and wholesale sales of C Wonder branded products by the Company as calculated for any single Royalty Target Year. The C Wonder Earn-Out of $2.85 million is recorded in the accompanying condensed consolidated balance sheets based on the probability of the C Wonder Brand achieving certain net royalty income targets within the earn-out periods and then calculating the present value of the weighted average payment amount. In accordance with Accounting Standards Codification Topic 480, the C Wonder Earn-Out obligation is classified as a liability in the accompanying condensed consolidated balance sheets because of the variable number of shares payable under the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2017 and December 31, 2016, total contingent obligations were $3.05 million.</w:t>
      </w:r>
    </w:p>
    <w:p>
      <w:pPr>
        <w:spacing w:after="0" w:line="221"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2011 Equity Incentive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2011 Equity Incentive Plan, as amended and restated (the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A total of 13,000,000 shares of common stock are eligible for issuance under the Plan. The Plan provides for the grant of any or all of the following types of awards: stock options, restricted stock, deferred stock, stock appreciation rights, and other stock-based awards. The Plan is administered by the Company’s Board of Directors, or, at the Board’s discretion, a committee of the Board.</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options and warrants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expected stock price volatility over the term of the awards, and actual and projected employee stock option exercise behaviors. The risk-free rate is based on the U.S. Treasury rate for the expected life at the time of grant, volatility is based on the average long-term implied volatilities of peer companies, and expected life is based on the estimated average of the life of options and warrants using the simplified method. The Company utilizes the simplified method to determine the expected life of the options and warrants due to insufficient exercise activity during recent years as a basis from which to estimate future exercise patterns. The expected dividend assumption is based on the Company’s history and expectation of dividend payouts.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awards are valued using the fair value of the Company’s stock at the date of grant.</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stock option awards for which vesting is contingent upon the achievement of certain performance targets, the timing and amount of compensation expense recognized is based upon the Company’s projections and estimates of the relevant performance metric(s).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Forfeitures are accounted for as a reduction of compensation cost in the period when such forfeitures occur.</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granted under the Plan expire at various times – either five, seven, or ten years from the date of grant, depending on the particular grant.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 2017, the Company granted options to purchase an aggregate of 150,000 shares of common stock to a certain key employee. The exercise price of the options is $5.50 per share, and one-third of the options will vest on each of January 1, 2018, January 1, 2019, and January 1, 2020.</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24, 2017, the Company granted options to purchase an aggregate of 500,000 shares of common stock to a certain executive. The exercise price of the options is $5.00 per share, and one-fifth of the options will vest on each of January 1, 2018, January 1, 2019, January 1, 2020, January 1, 2021, and January 1,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2017, the Company granted options to purchase an aggregate of 150,000 shares of common stock to non-management directors. The exercise price of the options is $2.70 per share, and 50% of the options will vest on each of March 31, 2018 and March 31, 2019.</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31, 2017, the Company granted options to purchase an aggregate of 15,000 shares of common stock to a certain key employee. The exercise price of the options is $2.60 per share, and one-third of the options will vest on each of May 31, 2018, May 31, 2019, and May 31, 2020.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values of the options granted during the Current Six Months were estimated at the date of grant using the Black-Scholes option pricing model with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33.69 – 35.20%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(Term)</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3.25 – 5.42 years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1.52 – 2.02%</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summary of the Company’s stock options activity for the Current Six Months is as follows: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1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11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116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0"/>
        </w:trPr>
        <w:tc>
          <w:tcPr>
            <w:tcW w:w="5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2017</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2,436,000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Expired/Forfeited</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w:t>
            </w: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June 30, 2017, and expected to vest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3,158,000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220" w:type="dxa"/>
            <w:vAlign w:val="bottom"/>
          </w:tcPr>
          <w:p>
            <w:pPr>
              <w:spacing w:after="0"/>
              <w:rPr>
                <w:sz w:val="22"/>
                <w:szCs w:val="22"/>
                <w:color w:val="auto"/>
              </w:rPr>
            </w:pPr>
          </w:p>
        </w:tc>
        <w:tc>
          <w:tcPr>
            <w:tcW w:w="1320" w:type="dxa"/>
            <w:vAlign w:val="bottom"/>
            <w:gridSpan w:val="2"/>
          </w:tcPr>
          <w:p>
            <w:pPr>
              <w:jc w:val="center"/>
              <w:ind w:left="750"/>
              <w:spacing w:after="0"/>
              <w:rPr>
                <w:sz w:val="20"/>
                <w:szCs w:val="20"/>
                <w:color w:val="auto"/>
              </w:rPr>
            </w:pPr>
            <w:r>
              <w:rPr>
                <w:rFonts w:ascii="Times New Roman" w:cs="Times New Roman" w:eastAsia="Times New Roman" w:hAnsi="Times New Roman"/>
                <w:sz w:val="18"/>
                <w:szCs w:val="18"/>
                <w:color w:val="auto"/>
              </w:rPr>
              <w:t>4.54</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5620" w:type="dxa"/>
            <w:vAlign w:val="bottom"/>
            <w:tcBorders>
              <w:top w:val="single" w:sz="8" w:color="CCEEFF"/>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Exercisable at June 30, 2017</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811,670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center"/>
              <w:ind w:left="830"/>
              <w:spacing w:after="0" w:line="196" w:lineRule="exact"/>
              <w:rPr>
                <w:sz w:val="20"/>
                <w:szCs w:val="20"/>
                <w:color w:val="auto"/>
              </w:rPr>
            </w:pPr>
            <w:r>
              <w:rPr>
                <w:rFonts w:ascii="Times New Roman" w:cs="Times New Roman" w:eastAsia="Times New Roman" w:hAnsi="Times New Roman"/>
                <w:sz w:val="18"/>
                <w:szCs w:val="18"/>
                <w:color w:val="auto"/>
              </w:rPr>
              <w:t>3.61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expense related to stock options for the Current Quarter and the Prior Year Quarter was approximately $272,000 and $329,000, respectively. Compensation expense related to stock options for the Current Six Months and the Prior Year Six Months was approximately $574,000 and $349,000, respectively. Total unrecognized compensation expense related to unvested stock options at June 30, 2017 amounts to approximately $2,515,000 and is expected to be recognized over a weighted average period of 2.48 years.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non-vested options for the Current Six Months: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2017</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2,294,667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(670,337)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 or Canceled</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2017</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2,346,330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granted under the Plan expire at various times – either five, seven, or ten years from the date of grant, depending on the particular grant.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warrants activity for the Current Six Months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620" w:type="dxa"/>
            <w:vAlign w:val="bottom"/>
          </w:tcPr>
          <w:p>
            <w:pPr>
              <w:spacing w:after="0"/>
              <w:rPr>
                <w:sz w:val="18"/>
                <w:szCs w:val="18"/>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38"/>
        </w:trPr>
        <w:tc>
          <w:tcPr>
            <w:tcW w:w="5620" w:type="dxa"/>
            <w:vAlign w:val="bottom"/>
          </w:tcPr>
          <w:p>
            <w:pPr>
              <w:spacing w:after="0"/>
              <w:rPr>
                <w:sz w:val="20"/>
                <w:szCs w:val="20"/>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at January 1, 2017</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1,966,743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Expired/Forfeited</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w:t>
            </w:r>
          </w:p>
        </w:tc>
        <w:tc>
          <w:tcPr>
            <w:tcW w:w="1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exercisable at June 30, 2017</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1,891,743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compensation expense was recognized in the Current Six Months or Prior Year Six Months related to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31, 2017, the Company issued 50,000 shares of restricted stock to a consulting firm whose controlling shareholder is a director of the Company. Of the 50,000 shares of restricted stock granted, 25,000 shares vested immediately and 25,000 shares shall vest on January 31, 2018. On June 18, 2017, the Company issued an additional 28,334 shares of restricted stock to the same consulting firm, of which 14,167 shares vested immediately on the same day and 14,167 shares shall vest on January 31, 2018. See Note 8, Related Party Transactions, for additional information.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2017, the Company issued to non-management directors an aggregate of 48,000 shares of restricted stock. The shares of restricted stock will vest evenly over two years, whereby 50% shall vest on March 31, 2018 and 50% shall vest on March 31, 2019.</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each executive and director grantee may extend the first anniversary of all or a portion of the restricted stock by six months and, thereafter one or more times may further extend such date with respect to all or a portion of the restricted stock until the next following date six months or twelve months hence, by providing written notice of such election to extend such date with respect to all or a portion of the restricted stock prior to such date.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Company’s restricted stock activity for the Current Six Months is as follows:</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16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1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1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116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0"/>
        </w:trPr>
        <w:tc>
          <w:tcPr>
            <w:tcW w:w="116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2017</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3,171,685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126,334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Canceled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(768,431)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6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Expired/Forfeited</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shd w:val="clear" w:color="auto" w:fill="CCEEFF"/>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June 30, 2017</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2,528,588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Compensation expense related to restricted stock grants for the Current Quarter and Prior Year Quarter was approximately $451,000 and $1,124,000, respectively. Compensation expense related to restricted stock grants for the Current Six Months and Prior Year Six Months was approximately $1,232,000 and $2,316,000, respectively. Total unrecognized compensation expense related to unvested restricted stock grants at June 30, 2017 amounts to approximately $1,169,000 and is expected to be recognized over a weighted average period of 1.65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Available Under the Company’s 2011 Equity Incentive Plan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2017, there were 5,579,822 shares of common stock available for issuance under the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Issuance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June 30, 2017, there were 10,629,565 shares of common stock reserved for issuance pursuant to unexercised warrants and stock options, or available for issuance under the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paid any dividends to date.</w:t>
      </w:r>
    </w:p>
    <w:p>
      <w:pPr>
        <w:spacing w:after="0" w:line="221"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(loss) available to common stockholders by the weighted average number of common shares outstanding during the period. Diluted EPS gives effect to all potentially dilutive common shares outstanding during the period, including stock options and warrants, using the treasury stock method. Diluted EPS excludes all potentially dilutive shares of common stock if their effect is anti-dilutive.</w:t>
      </w:r>
    </w:p>
    <w:p>
      <w:pPr>
        <w:sectPr>
          <w:pgSz w:w="11900" w:h="16838" w:orient="portrait"/>
          <w:cols w:equalWidth="0" w:num="1">
            <w:col w:w="11420"/>
          </w:cols>
          <w:pgMar w:left="240" w:top="79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 of exercise of warrants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Effect of exercise of stock options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0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72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0"/>
        </w:trPr>
        <w:tc>
          <w:tcPr>
            <w:tcW w:w="184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r>
      <w:tr>
        <w:trPr>
          <w:trHeight w:val="191"/>
        </w:trPr>
        <w:tc>
          <w:tcPr>
            <w:tcW w:w="12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18,449,210</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18,671,648</w:t>
            </w:r>
          </w:p>
        </w:tc>
        <w:tc>
          <w:tcPr>
            <w:tcW w:w="22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18,561,453</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18,565,198</w:t>
            </w:r>
          </w:p>
        </w:tc>
        <w:tc>
          <w:tcPr>
            <w:tcW w:w="20" w:type="dxa"/>
            <w:vAlign w:val="bottom"/>
          </w:tcPr>
          <w:p>
            <w:pPr>
              <w:spacing w:after="0"/>
              <w:rPr>
                <w:sz w:val="16"/>
                <w:szCs w:val="16"/>
                <w:color w:val="auto"/>
              </w:rPr>
            </w:pPr>
          </w:p>
        </w:tc>
      </w:tr>
      <w:tr>
        <w:trPr>
          <w:trHeight w:val="230"/>
        </w:trPr>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363,834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18,813,044</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18,671,648</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18,561,453</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18,565,198</w:t>
            </w: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-608330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-325120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800"/>
          </w:cols>
          <w:pgMar w:left="240" w:top="792" w:right="239" w:bottom="1440" w:gutter="0" w:footer="0" w:header="0"/>
          <w:type w:val="continuous"/>
        </w:sectPr>
      </w:pP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net loss presented for the Current Year Six Months, Prior Year Quarter and Prior Year Six Months, the Company calculated diluted earnings per share using basic weighted-average shares outstanding for those periods, as utilizing diluted shares would be anti-dilutive to loss per share.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computation of diluted EPS excludes the common stock equivalents of the following potentially dilutive securities because their inclusion would be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300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84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00" w:type="dxa"/>
            <w:vAlign w:val="bottom"/>
            <w:tcBorders>
              <w:bottom w:val="single" w:sz="8" w:color="CCEEFF"/>
            </w:tcBorders>
          </w:tcPr>
          <w:p>
            <w:pPr>
              <w:spacing w:after="0"/>
              <w:rPr>
                <w:sz w:val="20"/>
                <w:szCs w:val="20"/>
                <w:color w:val="auto"/>
              </w:rPr>
            </w:pPr>
          </w:p>
        </w:tc>
        <w:tc>
          <w:tcPr>
            <w:tcW w:w="52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and warrants</w:t>
            </w:r>
          </w:p>
        </w:tc>
        <w:tc>
          <w:tcPr>
            <w:tcW w:w="12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7"/>
              </w:rPr>
              <w:t>4,684,250</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4,966,043</w:t>
            </w:r>
          </w:p>
        </w:tc>
        <w:tc>
          <w:tcPr>
            <w:tcW w:w="2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5,049,743</w:t>
            </w:r>
          </w:p>
        </w:tc>
        <w:tc>
          <w:tcPr>
            <w:tcW w:w="2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4,966,043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52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Income Tax</w:t>
            </w: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vMerge w:val="continue"/>
          </w:tcPr>
          <w:p>
            <w:pPr>
              <w:spacing w:after="0"/>
              <w:rPr>
                <w:sz w:val="24"/>
                <w:szCs w:val="24"/>
                <w:color w:val="auto"/>
              </w:rPr>
            </w:pPr>
          </w:p>
        </w:tc>
        <w:tc>
          <w:tcPr>
            <w:tcW w:w="52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Current Quarter and the Prior Year Quarter was approximately 72% and 70%, respectively, resulting in an income tax provision (benefit) of $557,000 and $(208,000),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Current Six Months and the Prior Year Six Months was approximately 122% and 66%, respectively, resulting in an income tax provision (benefit) of $1,013,000 and $(259,000),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Current Quarter, the effective tax rate was primarily attributable to the tax impact from the vesting of restricted shares of common stock, which was treated as a discrete item for tax purposes. This item increased the effective rate by 7% for the Current Quarter and 57% for the Current Six Months, respectively. The effective tax rate was also attributable to recurring permanent differences. Based on the amount of income before income taxes compared to the recurring permanent differences, the effective rate increased approximately by 31% for both the Current Quarter and Current Six Months.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Prior Year Quarter and the Prior Year Six Months, the respective effective tax rates were attributable to recurring permanent differences. Based on the amount of loss from continuing operations before income taxes compared to the permanent differences, the effective rate increased by 29% and 25% for the Prior Year Quarter and the Prior Year Six Months, respectively.</w:t>
      </w:r>
    </w:p>
    <w:p>
      <w:pPr>
        <w:spacing w:after="0" w:line="172"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Benjamin Malka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Concurrent with the acquisition of the H Halston Brand on December 22, 2014, the Company entered into a license agreement with The H Company IP, LLC (“HIP”), which was subsequently amended September 1, 2015. Benjamin Malka, a director of the Company, is a 25% equity holder of HIP’s parent company, House of Halston LLC (“HOH”), and Chief Executive Officer of HOH. The HIP license agreement provides for royalty payments including guaranteed minimum royalties to be paid to the Company during the initial term that expires on December 31, 2019.</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 2015, the Company entered into a license agreement with Lord and Taylor, LLC (the “L&amp;T License”) and simultaneously amended the H Halston License Agreement eliminating HIP’s minimum guaranteed royalty obligations, provided the L&amp;T License is in effect. In addition, the Company entered into a sublicense agreement with HIP obligating the Company to pay HIP a fee on an annual basis the greater of (i) 50% of royalties received under the L&amp;T License from H Halston products or (ii) guaranteed minimum royalties. Provided that Lord &amp; Taylor, LLC is paying the Company at least $1,000,000 per quarter under the L&amp;T License, the remaining contractually required guaranteed minimum royalties are equal to $0.75 million, $0.75 million, $1.5 million, and $1.75 million for the twelve months ending January 31, 2018, 2019, 2020, and 2021, respectively. Cumulative fees paid to HIP by the Company or on the Company’s behalf through June 30, 2017 were $0.19 million.</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$0 and $28,000 of HIP fees (as a reduction to net revenue) for the Current Quarter and the Prior Year Quarter, respectively. The Company recorded approximately $9,000 and $62,000 of HIP fees (as a reduction to net revenue) for the Current Six Months and the Prior Year Six Months, respectively. In June 2017, the Company had a prepaid balance of $0.2 million to HIP to be applied against future fees due to HIP, which is recorded as a prepaid in current assets as of June 30, 2017.</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HOH has also entered into an arrangement with another licensee of the Company to supply Halston-branded apparel for the subsequent sale of such product to end customers. Under the Company’s separate pre-existing licensing agreements in place with the aforementioned other licensee and with HIP as described above, the Company earns royalties on the sales of such Halston-branded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Edward Jones, III</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Current Six Months and Prior Year Six Months, Edward Jones, III, a director of the Company, performed consulting services for and received compensation from a certain licensee of the Company. Under the terms of the Company’s agreement with this certain licensee, the licensee may supply the Company’s branded products to the Company’s other licensees. Under the terms of the Company’s separate pre-existing agreements with other licensees, the Company would earn royalties on the sales of such branded products sold to end customers.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31, 2017, the Company entered into a two-year consulting agreement (the “QTR Consulting Agreement”) with Jones Texas, Inc. (“JTI”), whose controlling shareholder is Edward Jones, III, a director of the Company, pursuant to which JTI shall cause Mr. Jones to provide consulting services in connection with the Company’s short-lead production platform fashion program and other projects. Pursuant to the QTR Consulting Agreement, the Company issued an aggregate of 50,000 shares of common stock to JTI, of which 25,000 shares vested immediately, and 25,000 shares shall vest on January 31, 2018; however, up to 25,000 shares of common stock are subject to forfeiture if the Company’s business with suppliers of women’s apparel is materially diminished, as defined in the QTR Consulting Agreement. On June 18, 2017, based upon meeting certain performance targets relating to the Company’s short-lead production platform business as provided in the January 31, 2017 QTR Consulting Agreement, the Company issued an additional 28,334 shares of common stock to JTI, of which 14,167 shares vested immediately, resulting in the recognition of compensation expense of $79,000, and the remaining 14,167 shares shall vest on January 31, 2018. The Company also paid JTI a cash consulting fee of $75,000 on January 30, 2017 and an additional cash consulting fee of $75,000 on April 28, 2017 relating to other projects. As of June 30, 2017, there was no additional compensation owed to JTI.</w:t>
      </w:r>
    </w:p>
    <w:p>
      <w:pPr>
        <w:spacing w:after="0" w:line="182"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Facility Exit Costs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2016, the Company relocated its corporate offices and operations from 475 Tenth Avenue in New York City to 1333 Broadway in New York City. In connection with the exit from its former office location, the Company recognized a liability at the exit and cease-use date for the remaining lease obligation associated with 475 Tenth Avenue, based on the remaining contractual lease payments less estimated sublease rentals, discounted to present value using a credit-adjusted risk-free rate. The Company recorded a net non-cash charge of approximately $648,000 associated with the recognition of this liability in the second quarter of 2016.</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remaining balance of the exit cost liability related to the former office space was approximately $713,000 as of June 30, 2017, of which $160,000 was recorded in other current liabilities and $553,000 was recorded in other long-term liabilities in the accompanying unaudited condensed consolidated balance sheets. The balance of this liability will be paid out over a period of approximately 5 years, through February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activity related to the exit cost liability for the Current Six Months is as follows: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86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 in thousands)</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1160" w:type="dxa"/>
            <w:vAlign w:val="bottom"/>
          </w:tcPr>
          <w:p>
            <w:pPr>
              <w:spacing w:after="0"/>
              <w:rPr>
                <w:sz w:val="18"/>
                <w:szCs w:val="18"/>
                <w:color w:val="auto"/>
              </w:rPr>
            </w:pPr>
          </w:p>
        </w:tc>
        <w:tc>
          <w:tcPr>
            <w:tcW w:w="7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1, 2017</w:t>
            </w: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net</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16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to liability (revision to estimated cash flows)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1160" w:type="dxa"/>
            <w:vAlign w:val="bottom"/>
          </w:tcPr>
          <w:p>
            <w:pPr>
              <w:spacing w:after="0"/>
              <w:rPr>
                <w:sz w:val="19"/>
                <w:szCs w:val="19"/>
                <w:color w:val="auto"/>
              </w:rPr>
            </w:pPr>
          </w:p>
        </w:tc>
        <w:tc>
          <w:tcPr>
            <w:tcW w:w="7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Accretion</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7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June 30, 2017</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7" w:name="page18"/>
    <w:bookmarkEnd w:id="1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Safe Harbor Statement under the Private Securities Litigation Reform Act of 1995. </w:t>
      </w:r>
      <w:r>
        <w:rPr>
          <w:rFonts w:ascii="Times New Roman" w:cs="Times New Roman" w:eastAsia="Times New Roman" w:hAnsi="Times New Roman"/>
          <w:sz w:val="18"/>
          <w:szCs w:val="18"/>
          <w:color w:val="auto"/>
        </w:rPr>
        <w:t>The statements that are not historical facts contained in this report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forward-looking statements that involve a number of known and unknown risks, uncertainties and other factors, all of which are difficult or impossible to predict and many of which are beyond our control, which may cause our actual results, performance or achievements to be materially different from any future results, performance or achievements expressed or implied by such forward-looking statements. These risks are detailed in the Risk Section of our Form 10-K for the fiscal year ended December 31, 2016. The words “believe,” “anticipate,” “expect,” “continue,” “estimate,” “appear,” “suggest,” “goal,” “potential,” “predicts,” “seek,” “will,” “confident,” “project,” “provide,” “plan,” “likely,” “future,” “ongoing,” “intend,” “may,” “should,” “would,” “could,” “guidance,” and similar expressions identify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Xcel Brands, Inc. (“Xcel,” the “Company,” “we,” “us,” or “our”) is a media and brand management company engaged in the design, production, licensing, marketing, and direct to consumer sales of branded apparel, footwear, accessories, jewelry, home goods, and other consumer products, and the acquisition of dynamic consumer lifestyle brands. Currently, our brand portfolio consists of the Isaac Mizrahi, Judith Ripka, H Halston, C Wonder, and Highline Collective brands. We also managed and designed the Liz Claiborne New York brand (“LCNY brand”) through July 31, 2016. Going forward, we intend to focus on our wholly owned brands.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objective is to build a diversified portfolio of lifestyle consumer brands through organic growth and the strategic acquisition of new brands. To achieve growth under our brands, we are focused on two primary licensing and design activities: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our brands for distribution through interactive television (i.e. QVC, The Shopping Channel); and</w:t>
      </w:r>
    </w:p>
    <w:p>
      <w:pPr>
        <w:spacing w:after="0" w:line="9"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our brands to manufacturers and retailers for promotion and distribution through e-commerce, social commerce, and traditional brick-and-mortar retail channels.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Xcel offers a unique value proposition to its licensees and customers for the following reasons:</w:t>
      </w:r>
    </w:p>
    <w:p>
      <w:pPr>
        <w:spacing w:after="0" w:line="2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including our officers’ and directors’ historical track records and relationships within the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management platform, which has a strong focus on design, production oversight, marketing, and social media;</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strategy of licensing brands with significant media presence and driving sales through our ubiquitous-channel retail sales strategy across interactive television, internet, and traditional retail channels; and</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certain retail licensees with vertical production capabilities.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license our brands to third parties, provide certain design, production, and marketing services, and generate licensing, design, and service fee revenues through contractual arrangements with manufacturers and retailers. This includes licensing our own brands for promotion and distribution through a ubiquitous-channel retail sales strategy, which includes distribution through interactive television, the internet, and traditional brick-and-mortar retail channels. We believe that this strategy distinguishes us from other brand management companies that rely primarily on their licensees for design, production, and distribution, and enables us to leverage the media reach of our interactive television partners, including through television, digital, and social media, to drive sales of products under our brands across distribution channels.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vision is intended to reimagine shopping, entertainment, and social as one. By leveraging digital and social media content across all distribution channels, we seek to drive customer (follower) engagement and generate retail sales across our brands. Our strong relationships with leading retailers and interactive television companies enable us to reach consumers in over 360 million homes worldwide.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18"/>
          <w:szCs w:val="18"/>
          <w:color w:val="auto"/>
        </w:rPr>
        <w:t>We believe our “virtual vertical” production platform provides significant competitive advantages compared with traditional wholesale apparel companies that design, manufacture, and distribute products. We remain focused on our core competencies of licensing, production, design, marketing, and brand development, while outsourcing manufacturing and the related inventory ownership to best-in-class partners. We believe that we offer 360 degrees of service for a comprehensive solution for our retail partners that addresses many of the challenges facing the retail industry today. We believe our platform is highly scalable due to our business model’s low overhead and working capital requirements, coupled with minimum guaranteed income levels through our multi-year licensing contracts. Additionally, we believe we can quickly integrate additional brands into our platform leveraging our design, production oversight, and marketing capabilities and retail and licensee relationships.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three months ended June 30, 2017 (the “Current Quarter”) compared with the three months ended June 30, 2016 (the “Prior Year Quarter”)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Current Quarter net revenues decreased approximately $0.74 million to $8.37 million from $9.11 million in the Prior Year Quarter. This decrease was primarily due to the combination of (i) lower revenues from our interactive television agreements of approximately $0.52 million primarily driven by the termination and transition of the C Wonder Brand from QVC, which included the sell-off period in the Current Quarter and (ii) lower revenues of approximately $0.39 million associated with the management and design of the LCNY brand (for which our contract ended in July 2016). These decreases were partially offset mainly by higher revenues from our wholesale and department store business of approximately $0.17 million, primarily driven by an increase in the number of retail store our brands are sold in, including the launch at Dillard’s this year, and expanding into more product categories for our short-lead production platform in our department store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Operating costs and expenses decreased $1.63 million to $7.25 million for the Current Quarter from $8.88 million in the Prior Year Quarter. This decrease was primarily attributable to (i) a decrease in other selling, general and administrative expenses of approximately $0.89 million, which in the Prior Year Quarter were primarily affected by non-recurring charges incurred in connection with the exit from our former leased office facilities, (ii) a net decrease in total compensation, including stock-based compensation, of approximately $0.59 million, as the Company switched from awards of restricted stock to stock options, and (iii) a decrease in other design and marketing costs of approximately $0.19 million primarily attributable to start-up expenses in the Prior Year Quarter for our short-lead production platform in our department store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Finance Expense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Interest and finance expense for the Current Quarter decreased by approximately $0.18 million to $0.35 million, compared with $0.53 million in the Prior Year Quarter. This decrease was attributable to: (i) lower interest expense of $0.06 million on our term debt due to a lower principal balance, (ii) lower loan modification fees of $0.06 million compared to the Prior Year Quarter in connection with the amendments to our term debt, and (ii) lower interest recognized on the IM Seller Note of $0.05 million (attributable to a reduced imputed rate from 9.0% in the Prior Year Quarter to an interest rate of 2.2%) resulting from the amendment of the IM Seller Note in September 2016.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effective income tax rate for the Current Quarter was approximately 72% resulting in a $0.56 million income tax provision. During the Current Quarter, the effective tax rate was primarily attributable to the tax impact from the vesting of restricted shares of common stock, which was treated as a discrete item for tax purposes. This item increased the effective rate by 7%. The effective tax rate was also attributable to recurring permanent differences. Based on the amount of income before income taxes compared to the recurring permanent differences, the effective rate increased by 31%.</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Prior Year Quarter was approximately 70% which resulted in a $0.21 million income tax benefit. During the Prior Year Quarter, the effective tax rate was attributable to recurring permanent differences. Based on the amount of loss before income taxes compared to the permanent differences, the effective rate increased by 29%.</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net income of $0.21 million for the Current Quarter, compared to a net loss of $0.09 million for the Prior Year Quarter.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Non-GAAP Diluted EPS, and Adjusted EBITDA</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had non-GAAP net income of $1.50 million, or $0.08 per diluted share (“non-GAAP diluted EPS”) for the Current Quarter, compared with non-GAAP net income of $1.91 million, or non-GAAP diluted EPS of $0.10 for the Prior Year Quarter. Non-GAAP net income is a non-GAAP unaudited term, which we define as net income (loss), exclusive of stock-based compensation, non-cash interest expense from discounted debt related to acquired assets, loss on extinguishment of debt, gain on the reduction of contingent obligations, non-recurring facility exit charges, certain discrete tax items related to vesting or exercise of stock-based awards, and net income or loss from discontinued operations. Non-GAAP net income and non-GAAP diluted EPS measures do not include the tax effect of the aforementioned adjusting items, due to the nature of these items and the Company’s tax strategy.</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Adjusted EBITDA of $2.26 million for the Current Quarter, compared with Adjusted EBITDA of $2.74 million for the Prior Year Quarter. Adjusted EBITDA is a non-GAAP unaudited measure, which we define as net income (loss) before stock-based compensation, interest expense and other financing costs, loss on extinguishment of debt, gain on the reduction of contingent obligations, income taxes, other state and local franchise taxes, depreciation and amortization, non-recurring facility exit charges, and net income or loss from discontinued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they provide supplemental information to assist investors in evaluating the Company’s financial results.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non-GAAP net income, non-GAAP diluted EPS, and Adjusted EBITDA in a different manner than we calculate these measures.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(loss) and other GAAP results, and not rely on any single financial measure.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net income (loss) (our most directly comparable financial measure presented in accordance with GAAP) to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net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 in thousands)</w:t>
            </w:r>
          </w:p>
        </w:tc>
        <w:tc>
          <w:tcPr>
            <w:tcW w:w="5500" w:type="dxa"/>
            <w:vAlign w:val="bottom"/>
            <w:gridSpan w:val="7"/>
          </w:tcPr>
          <w:p>
            <w:pPr>
              <w:ind w:left="3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3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and finance expense</w:t>
            </w: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facility exit charges</w:t>
            </w: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3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3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120" w:type="dxa"/>
            <w:vAlign w:val="bottom"/>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1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following table is a reconciliation of diluted earnings (loss) per share (our most directly comparable financial measure presented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to non-GAAP diluted EPS: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4140" w:type="dxa"/>
            <w:vAlign w:val="bottom"/>
            <w:gridSpan w:val="7"/>
          </w:tcPr>
          <w:p>
            <w:pPr>
              <w:ind w:left="17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and finance expense</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facility exit charges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1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263"/>
        </w:trPr>
        <w:tc>
          <w:tcPr>
            <w:tcW w:w="20" w:type="dxa"/>
            <w:vAlign w:val="bottom"/>
          </w:tcPr>
          <w:p>
            <w:pPr>
              <w:spacing w:after="0"/>
              <w:rPr>
                <w:sz w:val="22"/>
                <w:szCs w:val="22"/>
                <w:color w:val="auto"/>
              </w:rPr>
            </w:pPr>
          </w:p>
        </w:tc>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Non-GAAP diluted EPS</w:t>
            </w:r>
          </w:p>
        </w:tc>
        <w:tc>
          <w:tcPr>
            <w:tcW w:w="17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Borders>
              <w:bottom w:val="single" w:sz="8" w:color="CCEEFF"/>
            </w:tcBorders>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49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Non-GAAP weighted average diluted shares</w:t>
            </w:r>
          </w:p>
        </w:tc>
        <w:tc>
          <w:tcPr>
            <w:tcW w:w="17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18,813,044</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19,388,557</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basic weighted average shares outstanding (presented in accordance with GAAP) to non-GAAP weighted average diluted shares: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4140" w:type="dxa"/>
            <w:vAlign w:val="bottom"/>
            <w:gridSpan w:val="5"/>
          </w:tcPr>
          <w:p>
            <w:pPr>
              <w:ind w:left="176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17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18,449,210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18,671,648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exercising warrants</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363,834</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673,995</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exercising stock options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42,914</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Non-GAAP weighted average diluted shares</w:t>
            </w:r>
          </w:p>
        </w:tc>
        <w:tc>
          <w:tcPr>
            <w:tcW w:w="17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18,813,044</w:t>
            </w:r>
          </w:p>
        </w:tc>
        <w:tc>
          <w:tcPr>
            <w:tcW w:w="20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19,388,557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income (loss) (our most directly comparable financial measure presented in accordance with GAAP) to Adjusted EBITDA:</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4500" w:type="dxa"/>
            <w:vAlign w:val="bottom"/>
            <w:gridSpan w:val="8"/>
          </w:tcPr>
          <w:p>
            <w:pPr>
              <w:ind w:left="2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0" w:type="dxa"/>
            <w:vAlign w:val="bottom"/>
          </w:tcPr>
          <w:p>
            <w:pPr>
              <w:spacing w:after="0"/>
              <w:rPr>
                <w:sz w:val="1"/>
                <w:szCs w:val="1"/>
                <w:color w:val="auto"/>
              </w:rPr>
            </w:pPr>
          </w:p>
        </w:tc>
      </w:tr>
      <w:tr>
        <w:trPr>
          <w:trHeight w:val="223"/>
        </w:trPr>
        <w:tc>
          <w:tcPr>
            <w:tcW w:w="4640" w:type="dxa"/>
            <w:vAlign w:val="bottom"/>
            <w:gridSpan w:val="2"/>
            <w:vMerge w:val="continue"/>
          </w:tcPr>
          <w:p>
            <w:pPr>
              <w:spacing w:after="0"/>
              <w:rPr>
                <w:sz w:val="19"/>
                <w:szCs w:val="19"/>
                <w:color w:val="auto"/>
              </w:rPr>
            </w:pPr>
          </w:p>
        </w:tc>
        <w:tc>
          <w:tcPr>
            <w:tcW w:w="2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finance expense</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 franchise taxes</w:t>
            </w:r>
          </w:p>
        </w:tc>
        <w:tc>
          <w:tcPr>
            <w:tcW w:w="2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facility exit charges</w:t>
            </w:r>
          </w:p>
        </w:tc>
        <w:tc>
          <w:tcPr>
            <w:tcW w:w="2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1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six months ended June 30, 2017 (the “Current Six Months”) compared with the six months ended June 30, 2016 (the “Prior Year Six Months”)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Current Six Months net revenues decreased approximately $0.67 million to $16.80 million from $17.47 million in the Prior Year Six Months. This decrease was primarily due to lower revenues of approximately $0.92 million associated with the management and design of the LCNY brand (for which our contract ended in July 2016), partially offset by higher revenues from our wholesale and department store business of approximately $0.22 million, primarily driven by an increase in the number of retail stores our brands are sold in, including the launch at Dillard’s this year, and expanding into more product categories for our short-lead production platform in our department store business.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Operating expenses were $15.25 million for the Current Six Months, compared with $16.90 million for the Prior Year Six Months. The decrease of approximately $1.65 million was primarily related to i) a decrease in other selling, general and administrative expenses of approximately $0.95 million, which in the Prior Year Six Months were primarily affected by non-recurring charges incurred in connection with the exit from our former leased office facilities, (ii) a $0.56 million decrease in total compensation, including stock-based compensation, and (iii) a decrease in other design and marketing costs of approximately $0.14 million primarily attributable to start-up expenses in the Prior Year Six Months for our short-lead production platform in our department store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Finance Expense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Interest and finance expense for the Current Six Months decreased by approximately $0.24 million to $0.73 million, compared with $0.97 million in the Prior Year Six Months. This decrease was attributable primarily to: (i) lower interest recognized on the IM Seller Note of $0.10 million (attributable to a reduced imputed rate from 9.0% in the Prior Year Six Months to an interest rate of 2.2%) resulting from the amendment of the IM Seller Note in September 2016, (ii) lower interest expense of $0.07 million on our term debt due to a lower principal balance, and (iii) lower loan modification fees of $0.05 million compared to the Prior Year Six Months in connection with the amendments to our term debt.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effective income tax rate for the Current Six Months was approximately 122% resulting in a $1.01 million income tax provision. During the Current Six Months, the effective tax rate was primarily attributable to the tax impact from the vesting of restricted shares of common stock, which was treated as a discrete item for tax purposes. This item increased the effective rate by 57%. The effective tax rate was also attributable to recurring permanent differences. Based on the amount of income before income taxes compared to the recurring permanent differences, the effective rate increased by 31%.</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income tax rate for the Prior Year Six Months was approximately 66% resulting in a $0.26 million income tax benefit. During the Prior Year Six Months, the effective tax rate was attributable to recurring permanent differences. Based on the amount of loss from continuing operations before income taxes compared to the permanent differences, the effective rate increased by 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a net loss of $0.19 million for the Current Six Months, compared with net loss of $0.14 million for the Prior Year Six Months.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Non-GAAP Diluted EPS, and Adjusted EBITDA</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The Company had non-GAAP net income of $2.65 million, or $0.14 per diluted share for the Current Six Months, compared with non-GAAP net income of $3.10 million, or non-GAAP diluted EPS of $0.16 for the Prior Year Six Months. The Company had Adjusted EBITDA of $4.20 million for the Current Six Months, compared with Adjusted EBITDA of $4.74 million for the Prior Year Six Months.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net income (loss) (our most directly comparable financial measure presented in accordance with GAAP) to non-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net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8"/>
                <w:szCs w:val="18"/>
                <w:color w:val="auto"/>
              </w:rPr>
              <w:t>($ in thousands)</w:t>
            </w:r>
          </w:p>
        </w:tc>
        <w:tc>
          <w:tcPr>
            <w:tcW w:w="3240" w:type="dxa"/>
            <w:vAlign w:val="bottom"/>
          </w:tcPr>
          <w:p>
            <w:pPr>
              <w:spacing w:after="0"/>
              <w:rPr>
                <w:sz w:val="20"/>
                <w:szCs w:val="20"/>
                <w:color w:val="auto"/>
              </w:rPr>
            </w:pPr>
          </w:p>
        </w:tc>
        <w:tc>
          <w:tcPr>
            <w:tcW w:w="2260" w:type="dxa"/>
            <w:vAlign w:val="bottom"/>
            <w:gridSpan w:val="7"/>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gridSpan w:val="2"/>
            <w:vMerge w:val="continue"/>
          </w:tcPr>
          <w:p>
            <w:pPr>
              <w:spacing w:after="0"/>
              <w:rPr>
                <w:sz w:val="19"/>
                <w:szCs w:val="19"/>
                <w:color w:val="auto"/>
              </w:rPr>
            </w:pPr>
          </w:p>
        </w:tc>
        <w:tc>
          <w:tcPr>
            <w:tcW w:w="3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and finance expense</w:t>
            </w: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facility exit charges</w:t>
            </w:r>
          </w:p>
        </w:tc>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3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3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240" w:type="dxa"/>
            <w:vAlign w:val="bottom"/>
            <w:vMerge w:val="restart"/>
          </w:tcPr>
          <w:p>
            <w:pPr>
              <w:jc w:val="right"/>
              <w:ind w:right="211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1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is a reconciliation of diluted loss per share to non-GAAP diluted EPS:</w:t>
            </w: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11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60" w:type="dxa"/>
            <w:vAlign w:val="bottom"/>
            <w:gridSpan w:val="7"/>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1160" w:type="dxa"/>
            <w:vAlign w:val="bottom"/>
          </w:tcPr>
          <w:p>
            <w:pPr>
              <w:spacing w:after="0"/>
              <w:rPr>
                <w:sz w:val="19"/>
                <w:szCs w:val="19"/>
                <w:color w:val="auto"/>
              </w:rPr>
            </w:pPr>
          </w:p>
        </w:tc>
        <w:tc>
          <w:tcPr>
            <w:tcW w:w="61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Non-cash interest and finance expense</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Non-recurring facility exit charges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r>
      <w:tr>
        <w:trPr>
          <w:trHeight w:val="263"/>
        </w:trPr>
        <w:tc>
          <w:tcPr>
            <w:tcW w:w="1160" w:type="dxa"/>
            <w:vAlign w:val="bottom"/>
          </w:tcPr>
          <w:p>
            <w:pPr>
              <w:spacing w:after="0"/>
              <w:rPr>
                <w:sz w:val="22"/>
                <w:szCs w:val="22"/>
                <w:color w:val="auto"/>
              </w:rPr>
            </w:pPr>
          </w:p>
        </w:tc>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Non-GAAP diluted EPS</w:t>
            </w:r>
          </w:p>
        </w:tc>
        <w:tc>
          <w:tcPr>
            <w:tcW w:w="7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Borders>
              <w:bottom w:val="single" w:sz="8" w:color="CCEEFF"/>
            </w:tcBorders>
          </w:tcPr>
          <w:p>
            <w:pPr>
              <w:spacing w:after="0"/>
              <w:rPr>
                <w:sz w:val="22"/>
                <w:szCs w:val="22"/>
                <w:color w:val="auto"/>
              </w:rPr>
            </w:pPr>
          </w:p>
        </w:tc>
      </w:tr>
      <w:tr>
        <w:trPr>
          <w:trHeight w:val="197"/>
        </w:trPr>
        <w:tc>
          <w:tcPr>
            <w:tcW w:w="1160" w:type="dxa"/>
            <w:vAlign w:val="bottom"/>
          </w:tcPr>
          <w:p>
            <w:pPr>
              <w:spacing w:after="0"/>
              <w:rPr>
                <w:sz w:val="17"/>
                <w:szCs w:val="17"/>
                <w:color w:val="auto"/>
              </w:rPr>
            </w:pPr>
          </w:p>
        </w:tc>
        <w:tc>
          <w:tcPr>
            <w:tcW w:w="61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Non-GAAP weighted average diluted shares</w:t>
            </w:r>
          </w:p>
        </w:tc>
        <w:tc>
          <w:tcPr>
            <w:tcW w:w="7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18,925,978</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19,268,245</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reconciliation of basic weighted average shares to non-GAAP weighted average diluted shares: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22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20" w:type="dxa"/>
            <w:vAlign w:val="bottom"/>
          </w:tcPr>
          <w:p>
            <w:pPr>
              <w:spacing w:after="0"/>
              <w:rPr>
                <w:sz w:val="19"/>
                <w:szCs w:val="19"/>
                <w:color w:val="auto"/>
              </w:rPr>
            </w:pPr>
          </w:p>
        </w:tc>
        <w:tc>
          <w:tcPr>
            <w:tcW w:w="686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18,561,453</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18,565,198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exercising warrants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364,197</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663,270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exercising stock options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39,777</w:t>
            </w:r>
          </w:p>
        </w:tc>
        <w:tc>
          <w:tcPr>
            <w:tcW w:w="8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Non-GAAP weighted average diluted shares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18,925,978</w:t>
            </w:r>
          </w:p>
        </w:tc>
        <w:tc>
          <w:tcPr>
            <w:tcW w:w="2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19,268,245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loss (our most directly comparable financial measure presented in accordance with GAAP) to Adjusted EBITDA:</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4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2200" w:type="dxa"/>
            <w:vAlign w:val="bottom"/>
          </w:tcPr>
          <w:p>
            <w:pPr>
              <w:spacing w:after="0"/>
              <w:rPr>
                <w:sz w:val="20"/>
                <w:szCs w:val="20"/>
                <w:color w:val="auto"/>
              </w:rPr>
            </w:pPr>
          </w:p>
        </w:tc>
        <w:tc>
          <w:tcPr>
            <w:tcW w:w="2260" w:type="dxa"/>
            <w:vAlign w:val="bottom"/>
            <w:gridSpan w:val="7"/>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23"/>
        </w:trPr>
        <w:tc>
          <w:tcPr>
            <w:tcW w:w="4680" w:type="dxa"/>
            <w:vAlign w:val="bottom"/>
            <w:gridSpan w:val="2"/>
            <w:vMerge w:val="continue"/>
          </w:tcPr>
          <w:p>
            <w:pPr>
              <w:spacing w:after="0"/>
              <w:rPr>
                <w:sz w:val="19"/>
                <w:szCs w:val="19"/>
                <w:color w:val="auto"/>
              </w:rPr>
            </w:pPr>
          </w:p>
        </w:tc>
        <w:tc>
          <w:tcPr>
            <w:tcW w:w="2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finance expense</w:t>
            </w:r>
          </w:p>
        </w:tc>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 franchise taxes</w:t>
            </w:r>
          </w:p>
        </w:tc>
        <w:tc>
          <w:tcPr>
            <w:tcW w:w="2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Non-recurring facility exit charges</w:t>
            </w:r>
          </w:p>
        </w:tc>
        <w:tc>
          <w:tcPr>
            <w:tcW w:w="2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0" w:type="dxa"/>
            <w:vAlign w:val="bottom"/>
          </w:tcPr>
          <w:p>
            <w:pPr>
              <w:spacing w:after="0"/>
              <w:rPr>
                <w:sz w:val="19"/>
                <w:szCs w:val="19"/>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principal capital requirements have been to fund working capital needs, acquire new brands, and to a lesser extent, capital expenditures. At June 30, 2017 and December 31, 2016, our cash and cash equivalents were $7.62 million and $14.13 million, respectively.</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Restricted cash at June 30, 2017 and December 31, 2016 consisted of (i) $1.11 million of cash deposited with Bank Hapoalim B.M. (“BHI”) as collateral for an irrevocable standby letter of credit associated with the lease of our current corporate office and operating facilities at 1333 Broadway, New York City, and</w:t>
      </w:r>
    </w:p>
    <w:p>
      <w:pPr>
        <w:ind w:firstLine="8"/>
        <w:spacing w:after="0" w:line="261" w:lineRule="auto"/>
        <w:tabs>
          <w:tab w:leader="none" w:pos="26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$0.40 million of cash held as a security deposit for the sublease of our former corporate offices at 475 Tenth Avenue, New York City by us to a third-party subtenant.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existing cash and operating cash flows will be adequate to meet our operating needs, debt service obligations (including debt service under the Amendment to the Loan Agreement), and capital expenditure needs, for at least the twelve months subsequent to the filing date of this Quarterly Report on Form 10-Q. We front-loaded our 2017 Term Loan principal payments whereby we paid down $5.3 million in the Current Six Months, while $0.5 million will be paid during the next six months of 2017.</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dependent on our licensees for substantially all of our revenues, and there is no assurance that the licensees will perform as projected. Our business operating model does not require significant capital expenditures.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contingent obligation related to the C Wonder Brand (see Note 4, Debt in the Unaudited Condensed Consolidated Financial Statements) is payable in stock or cash, at the Company’s discretion. Payment of this obligation in stock would not affect our liquidity.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Working Capital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working capital (current assets less current liabilities) was $10.81 million and $11.53 million as of June 30, 2017, and December 31, 2016,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Commentary on the components of our cash flows for the Current Six Months as compared with the Prior Year Six Months is set forth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approximately $0.42 million in the Current Six Months, compared with net cash provided by operating activities of approximately $2.33 million in the Prior Year Six Months.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Current Six Months cash provided by operating activities was primarily attributable to the combination of a net loss of $(0.19) million and non-cash expenses of approximately $3.72 million, partially offset by the net change in operating assets and liabilities of approximately $(3.11) million. Non-cash expenses mainly consisted of $1.81 million of stock-based compensation, $1.01 million of deferred income tax provision, $0.78 million of depreciation and amortization, and $0.12 million of amortization of debt discount and deferred finance costs. The net change in operating assets and liabilities includes a net increase in accounts receivable of $1.78 million, and a decrease in accounts payable, accrued expenses and other current liabilities of $1.39 million, primarily attributable to bonus payouts and overall timing of payments.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Prior Year Six Months’ cash provided by operating activities was due to the combination of a net loss of $(0.14) million and the net change in operating assets and liabilities of $(1.63) million, partially offset by non-cash expenses of $4.10 million. Non-cash expenses mainly consisted of $2.67 million of stock-based compensation, $0.79 million of depreciation and amortization, $0.25 million of amortization of debt discount and deferred finance costs, and a non-cash charge of $0.65 million related to the exit from our former leased office facilities, partially offset by $(0.26) million of deferred income tax benefit. The net change in operating assets and liabilities included an increase in accounts receivable of $2.48 million primarily attributable to increase in revenues.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Current Six Months was approximately $0.16 million, compared with approximately $1.72 million in the Prior Year Six months. Cash used in investing activities for both the Current Six Months and Prior Year Six Months was primarily attributable to capital expenditures, which were higher in the Prior Year Six Months due to the build-out of our current corporate offices and operations facility (which we relocated to in June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Current Six Months was approximately $6.77 million, primarily attributable to payments on our senior term debt obligation of $5.25 million, payment on our IM Seller Note obligation of $0.71 million, and shares repurchased related to vested restricted stock in exchange for withholding taxes of $0.80 million.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Prior Year Six Months was approximately $3.60 million, primarily attributable to payments on our senior term debt obligations of $2.25 million, payment on our IM Seller Note obligation of $0.75 million, payment of the QVC Earn-Out obligation of $0.25 million, shares repurchased related to vested restricted stock in exchange for withholding taxes of $0.30 million, and payment of deferred finance costs of $0.07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Mizrahi brand, H Halston brand, and C Wonder brand have a core business in fashion apparel and accessories. The Ripka brand historically has been focused on fine jewelry, which we believe helps diversify our industry focus while at the same time complements, expands on, and grows our overall business relationship with QVC.</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2017, we entered into a mutual agreement with QVC to terminate our interactive television license agreement for the C Wonder brand, under which QVC will remain obligated to pay royalties to us through January 2018, and QVC will retain exclusive rights with respect to C Wonder branded products for interactive television, excluding certain permitted international entities, through May 2018. We are pursuing new distribution channels and licensing partners, and intend to enter into new contractual agreements for the C Wonder brand.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2016, we brought the IMNYC Isaac Mizrahi, H Halston, and Highline Collective brands to Lord &amp; Taylor and Hudson’s Bay department stores through our short-lead production platform, “virtual vertical”. We launched the H Halston brand at Dillard’s department stores through our short-lead production platform in March 2017, and plan to launch certain products under our IMNYC Isaac brand at Dillard’s retail stores in September. We also intend to seek new opportunities, including expansion through interactive television, our “virtual vertical” production platform, additional domestic and international licensing arrangements, and acquiring additional brands.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success, however, will still remain largely dependent on our ability to build and maintain our brands’ awareness and contract with and retain key licensees, as well as our licensees’ ability to accurately predict upcoming fashion and design trends within their respective customer bases and fulfill the product requirements of their particular retail channels within the global marketplace. Unanticipated changes in consumer fashion preferences and purchasing patterns, slowdowns in the U.S. economy, changes in the prices of supplies, consolidation of retail establishments, and other factors noted in “Risk Factors” in our Annual Report on Form 10-K for the year ended December 31, 2016 as filed with the SEC could adversely affect our licensees’ ability to meet and/or exceed their contractual commitments to us, and thereby adversely affect our future operating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Inflation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believe that the relatively moderate rates of inflation experienced over the past two years in the United States, where we primarily compete, have had a significant effect on revenues or profitability. If there were an adverse change in the rate of inflation by less than 10%, the expected effect on net income and cash flows would be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material effect on our financial condition, results of operations, or liquidity.</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our unaudited condensed consolidated financial statements in conformity with GAAP requires management to exercise judgment. We exercise considerable judgment with respect to establishing sound accounting policies and in making estimates and assumptions that affect the reported amounts of our assets and liabilities, our recognition of revenues and expenses, and disclosure of commitments and contingencies at the date of the financial statements. We evaluate our estimates and judgments on an on-going basis. We base our estimates and judgments on a variety of factors, including our historical experience, knowledge of our business and industry, and current and expected economic conditions that are believed to be reasonable under the circumstances, the results of which form the basis for making judgments about the carrying values of assets and liabilities that are not readily apparent from other sources. We periodically re-evaluate our estimates and assumptions with respect to these judgments and modify our approach when circumstances indicate that modifications are necessary. While we believe that the factors we evaluate provide us with a meaningful basis for establishing and applying sound accounting policies, we cannot guarantee that the results will always be accurate. Because the determination of these estimates requires the exercise of judgment, actual results could differ from such estimates.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refer to our Annual Report on Form 10-K for the year ended December 31, 2016, filed with the SEC on March 24, 2017, for a discussion of our critical accounting policies. During the Six months ended June 30, 2017, there were no material changes to these policies.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 to smaller reporting companies.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the design and operation of our disclosure controls and procedures (as defined in Rules 13a-15(e) and 15d-15(e) of the Securities Exchange Act of 1934, as amended (the “Exchange Act”)) as of June 30, 2017, the end of the period covered by this report. Based on, and as of the date of such evaluation, the Chief Executive Officer and the Chief Financial Officer have concluded that our disclosure controls and procedures were effective as of June 30, 2017 such that the information required to be disclosed in our SEC reports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not been any significant changes in our internal control over financial reporting (as defined in Rules 13a-15(f) and 15d-15(f) under the Exchange Act) during the fiscal quarter ended June 30, 2017 that have materially affected, or are reasonably likely to materially affect, our internal control over financial reporting.</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or results of operations.</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operate in a highly competitive industry that involves numerous known and unknown risks and uncertainties that could impact our operations. The risks described in Part I, Item 1A, “Risk Factors” of our Annual Report on Form 10-K for the year ended December 31, 2016 are not the only risks we face. Additional risks and uncertainties not currently known to us or that we currently deem to be immaterial also may materially adversely affect our financial condition and/or operating results.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unregistered or registered securities during the six months ended June 30, 2017.</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2017, pursuant to a consulting agreement, we issued 50,000 shares of common stock to Jones Texas, Inc., of which Edward Jones, III, a director of our Company, is the controlling shareholder. On June 18, 2017, we issued an additional 28,334 shares of common stock to Jones Texas, Inc., pursuant to the same consulting agreement. The issuances were not considered a “public offering” as defined in Section 4(a)(2) of the Securities Act due to the insubstantial number of persons involved, size of the offering, manner of the offering, and number of securities offered. We did not undertake an offering in which we sold a high number of securities to a high number of investors. In addition, Jones Texas, Inc. had the necessary investment intent as required by Section 4(a)(2) because it agreed to receive share certificates bearing a legend stating that such securities are restricted pursuant to Rule 144 of the Securities Act. This restriction ensures that these securities would not be immediately redistributed into the market and therefore not be part of a “public offering.” Based on an analysis of the above factors, the issuances of these shares met the requirements to qualify for exemption under Section 4(a)(2) of the Securities Act for these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with respect to shares of common stock we repurchased during the six months ended June 30,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 Number of Shares</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8"/>
              </w:rPr>
              <w:t>Average</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Purchased as</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440" w:type="dxa"/>
            <w:vAlign w:val="bottom"/>
          </w:tcPr>
          <w:p>
            <w:pPr>
              <w:spacing w:after="0"/>
              <w:rPr>
                <w:sz w:val="18"/>
                <w:szCs w:val="18"/>
                <w:color w:val="auto"/>
              </w:rPr>
            </w:pPr>
          </w:p>
        </w:tc>
        <w:tc>
          <w:tcPr>
            <w:tcW w:w="204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color w:val="auto"/>
                <w:w w:val="99"/>
              </w:rPr>
              <w:t>Price per</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Part of a Publicly Announced</w:t>
            </w:r>
          </w:p>
        </w:tc>
      </w:tr>
      <w:tr>
        <w:trPr>
          <w:trHeight w:val="234"/>
        </w:trPr>
        <w:tc>
          <w:tcPr>
            <w:tcW w:w="4020" w:type="dxa"/>
            <w:vAlign w:val="bottom"/>
            <w:gridSpan w:val="2"/>
          </w:tcPr>
          <w:p>
            <w:pPr>
              <w:ind w:left="1720"/>
              <w:spacing w:after="0"/>
              <w:rPr>
                <w:sz w:val="20"/>
                <w:szCs w:val="20"/>
                <w:color w:val="auto"/>
              </w:rPr>
            </w:pPr>
            <w:r>
              <w:rPr>
                <w:rFonts w:ascii="Times New Roman" w:cs="Times New Roman" w:eastAsia="Times New Roman" w:hAnsi="Times New Roman"/>
                <w:sz w:val="18"/>
                <w:szCs w:val="18"/>
                <w:color w:val="auto"/>
              </w:rPr>
              <w:t>Period</w:t>
            </w:r>
          </w:p>
        </w:tc>
        <w:tc>
          <w:tcPr>
            <w:tcW w:w="25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Purchased</w:t>
            </w:r>
          </w:p>
        </w:tc>
        <w:tc>
          <w:tcPr>
            <w:tcW w:w="440" w:type="dxa"/>
            <w:vAlign w:val="bottom"/>
          </w:tcPr>
          <w:p>
            <w:pPr>
              <w:spacing w:after="0"/>
              <w:rPr>
                <w:sz w:val="20"/>
                <w:szCs w:val="20"/>
                <w:color w:val="auto"/>
              </w:rPr>
            </w:pPr>
          </w:p>
        </w:tc>
        <w:tc>
          <w:tcPr>
            <w:tcW w:w="204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Share</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Plan or Program</w:t>
            </w:r>
          </w:p>
        </w:tc>
      </w:tr>
      <w:tr>
        <w:trPr>
          <w:trHeight w:val="210"/>
        </w:trPr>
        <w:tc>
          <w:tcPr>
            <w:tcW w:w="3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2017 to March 31, 2017 (i)</w:t>
            </w:r>
          </w:p>
        </w:tc>
        <w:tc>
          <w:tcPr>
            <w:tcW w:w="12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294,540</w:t>
            </w: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w w:val="88"/>
              </w:rPr>
              <w:t>2.70</w:t>
            </w:r>
          </w:p>
        </w:tc>
        <w:tc>
          <w:tcPr>
            <w:tcW w:w="22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2017 to May 31, 2017 (i)</w:t>
            </w:r>
          </w:p>
        </w:tc>
        <w:tc>
          <w:tcPr>
            <w:tcW w:w="2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4,775</w:t>
            </w:r>
          </w:p>
        </w:tc>
        <w:tc>
          <w:tcPr>
            <w:tcW w:w="440" w:type="dxa"/>
            <w:vAlign w:val="bottom"/>
          </w:tcPr>
          <w:p>
            <w:pPr>
              <w:spacing w:after="0"/>
              <w:rPr>
                <w:sz w:val="19"/>
                <w:szCs w:val="19"/>
                <w:color w:val="auto"/>
              </w:rPr>
            </w:pPr>
          </w:p>
        </w:tc>
        <w:tc>
          <w:tcPr>
            <w:tcW w:w="204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2.30</w:t>
            </w:r>
          </w:p>
        </w:tc>
        <w:tc>
          <w:tcPr>
            <w:tcW w:w="2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299,315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top w:val="single" w:sz="8" w:color="auto"/>
              <w:bottom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w w:val="88"/>
              </w:rPr>
              <w:t>2.69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right="20" w:hanging="412"/>
        <w:spacing w:after="0" w:line="282"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were exchanged from employees and directors in connection with the income tax withholding obligations on behalf of such employees and directors from the vesting of restricted stock.</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sectPr>
      </w:pPr>
    </w:p>
    <w:bookmarkStart w:id="27" w:name="page28"/>
    <w:bookmarkEnd w:id="2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31.1 Rule 13a-14(a)/15d-14(a) Certification (CEO)</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31.2 Rule 13a-14(a)/15d-14(a) Certification (CFO)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32.1 Section 1350 Certification (CEO)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32.2 Section 1350 Certification (CFO)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101.INS XBRL Instance Document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101.SCH XBRL Taxonomy Extension Schema Document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101.CAL XBRL Taxonomy Extension Calculation Linkbase Document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101.DEF XBRL Taxonomy Extension Definitions Linkbase Document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101.LAB XBRL Taxonomy Extension Label Linkbase Document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101.PRE XBRL Taxonomy Extension Presentation Linkbase Document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10, 2017</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191"/>
        </w:trPr>
        <w:tc>
          <w:tcPr>
            <w:tcW w:w="3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Robert W. D’Loren</w:t>
            </w:r>
          </w:p>
        </w:tc>
      </w:tr>
      <w:tr>
        <w:trPr>
          <w:trHeight w:val="234"/>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r>
      <w:tr>
        <w:trPr>
          <w:trHeight w:val="432"/>
        </w:trPr>
        <w:tc>
          <w:tcPr>
            <w:tcW w:w="364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Haran</w:t>
            </w:r>
          </w:p>
        </w:tc>
      </w:tr>
      <w:tr>
        <w:trPr>
          <w:trHeight w:val="191"/>
        </w:trPr>
        <w:tc>
          <w:tcPr>
            <w:tcW w:w="3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James Haran</w:t>
            </w:r>
          </w:p>
        </w:tc>
      </w:tr>
      <w:tr>
        <w:trPr>
          <w:trHeight w:val="234"/>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tc>
      </w:tr>
      <w:tr>
        <w:trPr>
          <w:trHeight w:val="540"/>
        </w:trPr>
        <w:tc>
          <w:tcPr>
            <w:tcW w:w="36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28</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2"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D’Loren certify that:</w:t>
      </w:r>
    </w:p>
    <w:p>
      <w:pPr>
        <w:spacing w:after="0" w:line="225" w:lineRule="exact"/>
        <w:rPr>
          <w:sz w:val="20"/>
          <w:szCs w:val="20"/>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2017 of Xcel Brands, Inc. (the “Company”).</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firstLine="8"/>
        <w:spacing w:after="0" w:line="282" w:lineRule="auto"/>
        <w:tabs>
          <w:tab w:leader="none" w:pos="2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9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August 10, 2017</w:t>
            </w:r>
          </w:p>
        </w:tc>
        <w:tc>
          <w:tcPr>
            <w:tcW w:w="28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191"/>
        </w:trPr>
        <w:tc>
          <w:tcPr>
            <w:tcW w:w="34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Robert W. D’Loren</w:t>
            </w:r>
          </w:p>
        </w:tc>
      </w:tr>
      <w:tr>
        <w:trPr>
          <w:trHeight w:val="234"/>
        </w:trPr>
        <w:tc>
          <w:tcPr>
            <w:tcW w:w="3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r>
      <w:tr>
        <w:trPr>
          <w:trHeight w:val="567"/>
        </w:trPr>
        <w:tc>
          <w:tcPr>
            <w:tcW w:w="34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Haran certify that:</w:t>
      </w:r>
    </w:p>
    <w:p>
      <w:pPr>
        <w:spacing w:after="0" w:line="225"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2017 of Xcel Brands, Inc. (the “Company”).</w:t>
      </w:r>
    </w:p>
    <w:p>
      <w:pPr>
        <w:spacing w:after="0" w:line="225"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9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9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firstLine="8"/>
        <w:spacing w:after="0" w:line="266" w:lineRule="auto"/>
        <w:tabs>
          <w:tab w:leader="none" w:pos="2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firstLine="8"/>
        <w:spacing w:after="0" w:line="282" w:lineRule="auto"/>
        <w:tabs>
          <w:tab w:leader="none" w:pos="1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9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2" w:lineRule="exact"/>
        <w:rPr>
          <w:sz w:val="20"/>
          <w:szCs w:val="20"/>
          <w:color w:val="auto"/>
        </w:rPr>
      </w:pPr>
    </w:p>
    <w:p>
      <w:pPr>
        <w:ind w:firstLine="8"/>
        <w:spacing w:after="0" w:line="282" w:lineRule="auto"/>
        <w:tabs>
          <w:tab w:leader="none" w:pos="20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Company's board of directors (or persons performing the equivalent functions):</w:t>
      </w:r>
    </w:p>
    <w:p>
      <w:pPr>
        <w:spacing w:after="0" w:line="162" w:lineRule="exact"/>
        <w:rPr>
          <w:sz w:val="20"/>
          <w:szCs w:val="20"/>
          <w:color w:val="auto"/>
        </w:rPr>
      </w:pPr>
    </w:p>
    <w:p>
      <w:pPr>
        <w:ind w:firstLine="8"/>
        <w:spacing w:after="0" w:line="282" w:lineRule="auto"/>
        <w:tabs>
          <w:tab w:leader="none" w:pos="19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1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August 10, 2017</w:t>
            </w:r>
          </w:p>
        </w:tc>
        <w:tc>
          <w:tcPr>
            <w:tcW w:w="28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Haran</w:t>
            </w:r>
          </w:p>
        </w:tc>
      </w:tr>
      <w:tr>
        <w:trPr>
          <w:trHeight w:val="191"/>
        </w:trPr>
        <w:tc>
          <w:tcPr>
            <w:tcW w:w="34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James Haran</w:t>
            </w:r>
          </w:p>
        </w:tc>
      </w:tr>
      <w:tr>
        <w:trPr>
          <w:trHeight w:val="234"/>
        </w:trPr>
        <w:tc>
          <w:tcPr>
            <w:tcW w:w="3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tc>
      </w:tr>
      <w:tr>
        <w:trPr>
          <w:trHeight w:val="567"/>
        </w:trPr>
        <w:tc>
          <w:tcPr>
            <w:tcW w:w="34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Xcel Brands, Inc. (the “Company”) on Form 10-Q for the period ended June 30, 2017 as filed with the Securities and Exchange Commission on the date hereof (the “Report”), I, Robert W. D’Loren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August 10, 2017</w:t>
            </w:r>
          </w:p>
        </w:tc>
        <w:tc>
          <w:tcPr>
            <w:tcW w:w="282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191"/>
        </w:trPr>
        <w:tc>
          <w:tcPr>
            <w:tcW w:w="34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Robert W. D’Loren</w:t>
            </w:r>
          </w:p>
        </w:tc>
      </w:tr>
      <w:tr>
        <w:trPr>
          <w:trHeight w:val="234"/>
        </w:trPr>
        <w:tc>
          <w:tcPr>
            <w:tcW w:w="3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Title: Chairman and Chief Executive Officer</w:t>
            </w:r>
          </w:p>
        </w:tc>
      </w:tr>
      <w:tr>
        <w:trPr>
          <w:trHeight w:val="567"/>
        </w:trPr>
        <w:tc>
          <w:tcPr>
            <w:tcW w:w="34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Xcel Brands, Inc. (the “Company”) on Form 10-Q for the period ended June 30, 2017 as filed with the Securities and Exchange Commission on the date hereof (the “Report”), I, James Haran,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August 10, 2017</w:t>
            </w:r>
          </w:p>
        </w:tc>
        <w:tc>
          <w:tcPr>
            <w:tcW w:w="29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Haran</w:t>
            </w:r>
          </w:p>
        </w:tc>
      </w:tr>
      <w:tr>
        <w:trPr>
          <w:trHeight w:val="191"/>
        </w:trPr>
        <w:tc>
          <w:tcPr>
            <w:tcW w:w="35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James Haran</w:t>
            </w:r>
          </w:p>
        </w:tc>
      </w:tr>
      <w:tr>
        <w:trPr>
          <w:trHeight w:val="234"/>
        </w:trPr>
        <w:tc>
          <w:tcPr>
            <w:tcW w:w="35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 and Vice President</w:t>
            </w:r>
          </w:p>
        </w:tc>
      </w:tr>
      <w:tr>
        <w:trPr>
          <w:trHeight w:val="567"/>
        </w:trPr>
        <w:tc>
          <w:tcPr>
            <w:tcW w:w="35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3"/>
    </w:lvl>
  </w:abstractNum>
  <w:abstractNum w:abstractNumId="4">
    <w:nsid w:val="7FDCC233"/>
    <w:multiLevelType w:val="hybridMultilevel"/>
    <w:lvl w:ilvl="0">
      <w:lvlJc w:val="left"/>
      <w:lvlText w:val="(%1)"/>
      <w:numFmt w:val="lowerRoman"/>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5"/>
    </w:lvl>
  </w:abstractNum>
  <w:abstractNum w:abstractNumId="7">
    <w:nsid w:val="6B68079A"/>
    <w:multiLevelType w:val="hybridMultilevel"/>
    <w:lvl w:ilvl="0">
      <w:lvlJc w:val="left"/>
      <w:lvlText w:val="%1."/>
      <w:numFmt w:val="decimal"/>
      <w:start w:val="6"/>
    </w:lvl>
  </w:abstractNum>
  <w:abstractNum w:abstractNumId="8">
    <w:nsid w:val="4E6AFB66"/>
    <w:multiLevelType w:val="hybridMultilevel"/>
    <w:lvl w:ilvl="0">
      <w:lvlJc w:val="left"/>
      <w:lvlText w:val="%1."/>
      <w:numFmt w:val="decimal"/>
      <w:start w:val="8"/>
    </w:lvl>
  </w:abstractNum>
  <w:abstractNum w:abstractNumId="9">
    <w:nsid w:val="25E45D32"/>
    <w:multiLevelType w:val="hybridMultilevel"/>
    <w:lvl w:ilvl="0">
      <w:lvlJc w:val="left"/>
      <w:lvlText w:val="%1."/>
      <w:numFmt w:val="decimal"/>
      <w:start w:val="9"/>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lowerRoman"/>
      <w:start w:val="2"/>
    </w:lvl>
  </w:abstractNum>
  <w:abstractNum w:abstractNumId="13">
    <w:nsid w:val="7C83E458"/>
    <w:multiLevelType w:val="hybridMultilevel"/>
    <w:lvl w:ilvl="0">
      <w:lvlJc w:val="left"/>
      <w:lvlText w:val="(%1)"/>
      <w:numFmt w:val="lowerRoman"/>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decimal"/>
      <w:start w:val="5"/>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5"/>
    </w:lvl>
  </w:abstractNum>
  <w:abstractNum w:abstractNumId="21">
    <w:nsid w:val="2D1D5AE9"/>
    <w:multiLevelType w:val="hybridMultilevel"/>
    <w:lvl w:ilvl="0">
      <w:lvlJc w:val="left"/>
      <w:lvlText w:val="%1)"/>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2019-12-29T05:02:43Z</dcterms:created>
  <dcterms:modified xsi:type="dcterms:W3CDTF">2019-12-29T05:02:43Z</dcterms:modified>
</cp:coreProperties>
</file>