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4"/>
          <w:szCs w:val="24"/>
          <w:color w:val="auto"/>
        </w:rPr>
      </w:pPr>
    </w:p>
    <w:p>
      <w:pPr>
        <w:ind w:left="380" w:right="179" w:hanging="330"/>
        <w:spacing w:after="0" w:line="284" w:lineRule="auto"/>
        <w:tabs>
          <w:tab w:leader="none" w:pos="39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86" w:lineRule="exact"/>
        <w:rPr>
          <w:sz w:val="24"/>
          <w:szCs w:val="24"/>
          <w:color w:val="auto"/>
        </w:rPr>
      </w:pPr>
    </w:p>
    <w:p>
      <w:pPr>
        <w:ind w:left="360" w:right="599" w:hanging="310"/>
        <w:spacing w:after="0" w:line="302" w:lineRule="auto"/>
        <w:tabs>
          <w:tab w:leader="none" w:pos="3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76-0307819</w:t>
            </w:r>
          </w:p>
        </w:tc>
      </w:tr>
      <w:tr>
        <w:trPr>
          <w:trHeight w:val="191"/>
        </w:trPr>
        <w:tc>
          <w:tcPr>
            <w:tcW w:w="3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600" w:type="dxa"/>
            <w:vAlign w:val="bottom"/>
          </w:tcPr>
          <w:p>
            <w:pPr>
              <w:spacing w:after="0"/>
              <w:rPr>
                <w:sz w:val="16"/>
                <w:szCs w:val="16"/>
                <w:color w:val="auto"/>
              </w:rPr>
            </w:pPr>
          </w:p>
        </w:tc>
        <w:tc>
          <w:tcPr>
            <w:tcW w:w="3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550 Seventh Avenue, 11th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(347) 727-2474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85"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259"/>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20"/>
                <w:szCs w:val="20"/>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Name of each exchange on which registered</w:t>
            </w:r>
          </w:p>
        </w:tc>
      </w:tr>
      <w:tr>
        <w:trPr>
          <w:trHeight w:val="182"/>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NASDAQ Capital Market</w:t>
            </w:r>
          </w:p>
        </w:tc>
      </w:tr>
    </w:tbl>
    <w:p>
      <w:pPr>
        <w:spacing w:after="0" w:line="36"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221"/>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180" w:right="59" w:hanging="134"/>
        <w:spacing w:after="0" w:line="25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As of May 7, 2026, there were 6,048,621 shares of common stock, $.001 par value per share, of the issuer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3"/>
        </w:trPr>
        <w:tc>
          <w:tcPr>
            <w:tcW w:w="2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 - FINANCIAL INFORMATION</w:t>
            </w:r>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w:t>
            </w:r>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w:t>
            </w:r>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w:t>
            </w:r>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w:t>
            </w:r>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9"/>
        </w:trPr>
        <w:tc>
          <w:tcPr>
            <w:tcW w:w="7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8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Times New Roman" w:cs="Times New Roman" w:eastAsia="Times New Roman" w:hAnsi="Times New Roman"/>
          <w:sz w:val="18"/>
          <w:szCs w:val="18"/>
          <w:b w:val="1"/>
          <w:bCs w:val="1"/>
          <w:color w:val="auto"/>
        </w:rPr>
        <w:t>PART I. FINANCIAL INFORMATION ITEM 1.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ind w:left="5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5780" w:type="dxa"/>
            <w:vAlign w:val="bottom"/>
            <w:tcBorders>
              <w:bottom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4,494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31,924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36,418</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38,946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9"/>
        </w:trPr>
        <w:tc>
          <w:tcPr>
            <w:tcW w:w="5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80" w:type="dxa"/>
            <w:vAlign w:val="bottom"/>
            <w:tcBorders>
              <w:bottom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7,702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15,535</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23,237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5,913,492 and 5,880,757</w:t>
            </w:r>
          </w:p>
        </w:tc>
        <w:tc>
          <w:tcPr>
            <w:tcW w:w="16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and outstanding at March 31, 2026 and December 31, 2025, respectively</w:t>
            </w: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111,506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(96,194)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(93,705)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13,181</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36,418</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38,946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560"/>
        <w:spacing w:after="0" w:line="268" w:lineRule="auto"/>
        <w:rPr>
          <w:sz w:val="20"/>
          <w:szCs w:val="20"/>
          <w:color w:val="auto"/>
        </w:rPr>
      </w:pPr>
      <w:r>
        <w:rPr>
          <w:rFonts w:ascii="Times New Roman" w:cs="Times New Roman" w:eastAsia="Times New Roman" w:hAnsi="Times New Roman"/>
          <w:sz w:val="18"/>
          <w:szCs w:val="18"/>
          <w:b w:val="1"/>
          <w:bCs w:val="1"/>
          <w:color w:val="auto"/>
        </w:rPr>
        <w:t>Xcel Brands, Inc. and Subsidiaries Unaudited Condensed Consolidated Statements of Operations (in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licensing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Direct operating costs and expenses</w:t>
      </w:r>
    </w:p>
    <w:p>
      <w:pPr>
        <w:spacing w:after="0" w:line="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Salaries, benefits and employment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selling, general and administrative expenses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direct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Operating loss before other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Other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213"/>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40" w:type="dxa"/>
            <w:vAlign w:val="bottom"/>
          </w:tcPr>
          <w:p>
            <w:pPr>
              <w:spacing w:after="0"/>
              <w:rPr>
                <w:sz w:val="18"/>
                <w:szCs w:val="18"/>
                <w:color w:val="auto"/>
              </w:rPr>
            </w:pPr>
          </w:p>
        </w:tc>
      </w:tr>
      <w:tr>
        <w:trPr>
          <w:trHeight w:val="43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40" w:type="dxa"/>
            <w:vAlign w:val="bottom"/>
          </w:tcPr>
          <w:p>
            <w:pPr>
              <w:spacing w:after="0"/>
              <w:rPr>
                <w:sz w:val="18"/>
                <w:szCs w:val="18"/>
                <w:color w:val="auto"/>
              </w:rPr>
            </w:pPr>
          </w:p>
        </w:tc>
      </w:tr>
      <w:tr>
        <w:trPr>
          <w:trHeight w:val="199"/>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40" w:type="dxa"/>
            <w:vAlign w:val="bottom"/>
          </w:tcPr>
          <w:p>
            <w:pPr>
              <w:spacing w:after="0"/>
              <w:rPr>
                <w:sz w:val="17"/>
                <w:szCs w:val="17"/>
                <w:color w:val="auto"/>
              </w:rPr>
            </w:pPr>
          </w:p>
        </w:tc>
      </w:tr>
      <w:tr>
        <w:trPr>
          <w:trHeight w:val="429"/>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(951)</w:t>
            </w:r>
          </w:p>
        </w:tc>
      </w:tr>
    </w:tbl>
    <w:p>
      <w:pPr>
        <w:spacing w:after="0" w:line="392" w:lineRule="exact"/>
        <w:rPr>
          <w:sz w:val="20"/>
          <w:szCs w:val="20"/>
          <w:color w:val="auto"/>
        </w:rPr>
      </w:pPr>
    </w:p>
    <w:p>
      <w:pPr>
        <w:sectPr>
          <w:pgSz w:w="11900" w:h="16838" w:orient="portrait"/>
          <w:cols w:equalWidth="0" w:num="2">
            <w:col w:w="5200" w:space="720"/>
            <w:col w:w="3099"/>
          </w:cols>
          <w:pgMar w:left="1440" w:top="513"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Asset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Loss from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Interest and finance expense (income)</w:t>
      </w:r>
    </w:p>
    <w:p>
      <w:pPr>
        <w:spacing w:after="0" w:line="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finance charges (income), net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Interest and finance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Net loss attributable to Xcel Brands,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188"/>
        </w:trPr>
        <w:tc>
          <w:tcPr>
            <w:tcW w:w="8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95"/>
              </w:rPr>
              <w:t>893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216"/>
        </w:trPr>
        <w:tc>
          <w:tcPr>
            <w:tcW w:w="8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61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—336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40" w:type="dxa"/>
            <w:vAlign w:val="bottom"/>
          </w:tcPr>
          <w:p>
            <w:pPr>
              <w:spacing w:after="0"/>
              <w:rPr>
                <w:sz w:val="16"/>
                <w:szCs w:val="16"/>
                <w:color w:val="auto"/>
              </w:rPr>
            </w:pPr>
          </w:p>
        </w:tc>
      </w:tr>
      <w:tr>
        <w:trPr>
          <w:trHeight w:val="432"/>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ind w:right="640"/>
              <w:spacing w:after="0"/>
              <w:rPr>
                <w:sz w:val="20"/>
                <w:szCs w:val="20"/>
                <w:color w:val="auto"/>
              </w:rPr>
            </w:pPr>
            <w:r>
              <w:rPr>
                <w:rFonts w:ascii="Times New Roman" w:cs="Times New Roman" w:eastAsia="Times New Roman" w:hAnsi="Times New Roman"/>
                <w:sz w:val="1"/>
                <w:szCs w:val="1"/>
                <w:color w:val="auto"/>
                <w:w w:val="4294942296"/>
              </w:rPr>
              <w:t>​</w:t>
            </w:r>
          </w:p>
        </w:tc>
        <w:tc>
          <w:tcPr>
            <w:tcW w:w="7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8"/>
                <w:szCs w:val="18"/>
                <w:color w:val="auto"/>
              </w:rPr>
            </w:pPr>
          </w:p>
        </w:tc>
      </w:tr>
      <w:tr>
        <w:trPr>
          <w:trHeight w:val="199"/>
        </w:trPr>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tcPr>
          <w:p>
            <w:pPr>
              <w:spacing w:after="0"/>
              <w:rPr>
                <w:sz w:val="17"/>
                <w:szCs w:val="17"/>
                <w:color w:val="auto"/>
              </w:rPr>
            </w:pPr>
          </w:p>
        </w:tc>
      </w:tr>
      <w:tr>
        <w:trPr>
          <w:trHeight w:val="196"/>
        </w:trPr>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40" w:type="dxa"/>
            <w:vAlign w:val="bottom"/>
          </w:tcPr>
          <w:p>
            <w:pPr>
              <w:spacing w:after="0"/>
              <w:rPr>
                <w:sz w:val="17"/>
                <w:szCs w:val="17"/>
                <w:color w:val="auto"/>
              </w:rPr>
            </w:pPr>
          </w:p>
        </w:tc>
      </w:tr>
      <w:tr>
        <w:trPr>
          <w:trHeight w:val="429"/>
        </w:trPr>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40" w:type="dxa"/>
            <w:vAlign w:val="bottom"/>
          </w:tcPr>
          <w:p>
            <w:pPr>
              <w:spacing w:after="0"/>
              <w:rPr>
                <w:sz w:val="24"/>
                <w:szCs w:val="24"/>
                <w:color w:val="auto"/>
              </w:rPr>
            </w:pPr>
          </w:p>
        </w:tc>
      </w:tr>
      <w:tr>
        <w:trPr>
          <w:trHeight w:val="415"/>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24"/>
                <w:szCs w:val="24"/>
                <w:color w:val="auto"/>
              </w:rPr>
            </w:pPr>
          </w:p>
        </w:tc>
      </w:tr>
      <w:tr>
        <w:trPr>
          <w:trHeight w:val="429"/>
        </w:trPr>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(2,797)</w:t>
            </w:r>
          </w:p>
        </w:tc>
        <w:tc>
          <w:tcPr>
            <w:tcW w:w="40" w:type="dxa"/>
            <w:vAlign w:val="bottom"/>
          </w:tcPr>
          <w:p>
            <w:pPr>
              <w:spacing w:after="0"/>
              <w:rPr>
                <w:sz w:val="24"/>
                <w:szCs w:val="24"/>
                <w:color w:val="auto"/>
              </w:rPr>
            </w:pPr>
          </w:p>
        </w:tc>
      </w:tr>
      <w:tr>
        <w:trPr>
          <w:trHeight w:val="199"/>
        </w:trPr>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r>
      <w:tr>
        <w:trPr>
          <w:trHeight w:val="182"/>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(2,489)</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(2,797)</w:t>
            </w:r>
          </w:p>
        </w:tc>
        <w:tc>
          <w:tcPr>
            <w:tcW w:w="40" w:type="dxa"/>
            <w:vAlign w:val="bottom"/>
          </w:tcPr>
          <w:p>
            <w:pPr>
              <w:spacing w:after="0"/>
              <w:rPr>
                <w:sz w:val="15"/>
                <w:szCs w:val="15"/>
                <w:color w:val="auto"/>
              </w:rPr>
            </w:pP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5380" w:space="720"/>
            <w:col w:w="291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color w:val="auto"/>
        </w:rPr>
        <w:t>Loss per common share attributable to Xcel Brands,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Basic and diluted net loss per share</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Basic and diluted weighted average common shares outstanding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left="1180"/>
        <w:spacing w:after="0"/>
        <w:tabs>
          <w:tab w:leader="none" w:pos="25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spacing w:after="0"/>
        <w:tabs>
          <w:tab w:leader="none" w:pos="800" w:val="left"/>
          <w:tab w:leader="none" w:pos="1400" w:val="left"/>
          <w:tab w:leader="none" w:pos="22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(0.42)</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654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49" w:lineRule="exact"/>
        <w:rPr>
          <w:sz w:val="20"/>
          <w:szCs w:val="20"/>
          <w:color w:val="auto"/>
        </w:rPr>
      </w:pPr>
    </w:p>
    <w:p>
      <w:pPr>
        <w:jc w:val="both"/>
        <w:ind w:left="1180"/>
        <w:spacing w:after="0"/>
        <w:tabs>
          <w:tab w:leader="none" w:pos="25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540"/>
        <w:spacing w:after="0"/>
        <w:tabs>
          <w:tab w:leader="none" w:pos="1960" w:val="left"/>
        </w:tabs>
        <w:rPr>
          <w:sz w:val="20"/>
          <w:szCs w:val="20"/>
          <w:color w:val="auto"/>
        </w:rPr>
      </w:pPr>
      <w:r>
        <w:rPr>
          <w:rFonts w:ascii="Times New Roman" w:cs="Times New Roman" w:eastAsia="Times New Roman" w:hAnsi="Times New Roman"/>
          <w:sz w:val="14"/>
          <w:szCs w:val="14"/>
          <w:color w:val="auto"/>
        </w:rPr>
        <w:t>5,903,599</w:t>
      </w:r>
      <w:r>
        <w:rPr>
          <w:sz w:val="20"/>
          <w:szCs w:val="20"/>
          <w:color w:val="auto"/>
        </w:rPr>
        <w:tab/>
      </w:r>
      <w:r>
        <w:rPr>
          <w:rFonts w:ascii="Times New Roman" w:cs="Times New Roman" w:eastAsia="Times New Roman" w:hAnsi="Times New Roman"/>
          <w:sz w:val="14"/>
          <w:szCs w:val="14"/>
          <w:color w:val="auto"/>
        </w:rPr>
        <w:t>2,373,583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65417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4175" cy="2540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5380" w:space="720"/>
            <w:col w:w="2919"/>
          </w:cols>
          <w:pgMar w:left="1440" w:top="51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9"/>
          <w:szCs w:val="9"/>
          <w:b w:val="1"/>
          <w:bCs w:val="1"/>
          <w:color w:val="auto"/>
        </w:rPr>
        <w:t>Xcel Brands, Inc. and Subsidiaries</w:t>
      </w:r>
    </w:p>
    <w:p>
      <w:pPr>
        <w:jc w:val="center"/>
        <w:ind w:right="19"/>
        <w:spacing w:after="0" w:line="226" w:lineRule="auto"/>
        <w:rPr>
          <w:sz w:val="20"/>
          <w:szCs w:val="20"/>
          <w:color w:val="auto"/>
        </w:rPr>
      </w:pPr>
      <w:r>
        <w:rPr>
          <w:rFonts w:ascii="Times New Roman" w:cs="Times New Roman" w:eastAsia="Times New Roman" w:hAnsi="Times New Roman"/>
          <w:sz w:val="9"/>
          <w:szCs w:val="9"/>
          <w:b w:val="1"/>
          <w:bCs w:val="1"/>
          <w:color w:val="auto"/>
        </w:rPr>
        <w:t>Unaudited Condensed Consolidated Statements of Stockholders’ Equity</w:t>
      </w:r>
    </w:p>
    <w:p>
      <w:pPr>
        <w:jc w:val="center"/>
        <w:ind w:right="19"/>
        <w:spacing w:after="0"/>
        <w:rPr>
          <w:sz w:val="20"/>
          <w:szCs w:val="20"/>
          <w:color w:val="auto"/>
        </w:rPr>
      </w:pPr>
      <w:r>
        <w:rPr>
          <w:rFonts w:ascii="Times New Roman" w:cs="Times New Roman" w:eastAsia="Times New Roman" w:hAnsi="Times New Roman"/>
          <w:sz w:val="9"/>
          <w:szCs w:val="9"/>
          <w:b w:val="1"/>
          <w:bCs w:val="1"/>
          <w:color w:val="auto"/>
        </w:rPr>
        <w:t>(in thousands, except share data)</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3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Xcel Brands, Inc. Stockholders</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402"/>
              <w:spacing w:after="0" w:line="129"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00" w:type="dxa"/>
            <w:vAlign w:val="bottom"/>
          </w:tcPr>
          <w:p>
            <w:pPr>
              <w:spacing w:after="0"/>
              <w:rPr>
                <w:sz w:val="11"/>
                <w:szCs w:val="11"/>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20" w:type="dxa"/>
            <w:vAlign w:val="bottom"/>
            <w:gridSpan w:val="2"/>
          </w:tcPr>
          <w:p>
            <w:pPr>
              <w:ind w:left="33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4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8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3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Balance as of December 31, 2024</w:t>
            </w:r>
          </w:p>
        </w:tc>
        <w:tc>
          <w:tcPr>
            <w:tcW w:w="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2,368,072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106,666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(76,244)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28,398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42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Additional impact related to fractional shares from reverse stock</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split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Compensation expense related to stock options and restricted stock</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Contra-revenue related to warrants held by licensee</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2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Shares issued to executives for pro rata portion of base salaries, net</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withholding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(2,797)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(2,797)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38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38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Balance as of March 31, 2025</w:t>
            </w:r>
          </w:p>
        </w:tc>
        <w:tc>
          <w:tcPr>
            <w:tcW w:w="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2,386,325</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106,775</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(79,041)</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25,710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3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Balance as of December 31, 2025</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5,880,757</w:t>
            </w:r>
          </w:p>
        </w:tc>
        <w:tc>
          <w:tcPr>
            <w:tcW w:w="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260" w:type="dxa"/>
            <w:vAlign w:val="bottom"/>
            <w:gridSpan w:val="2"/>
            <w:shd w:val="clear" w:color="auto" w:fill="CCEEFF"/>
          </w:tcPr>
          <w:p>
            <w:pPr>
              <w:jc w:val="right"/>
              <w:ind w:right="27"/>
              <w:spacing w:after="0" w:line="135"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111,660</w:t>
            </w:r>
          </w:p>
        </w:tc>
        <w:tc>
          <w:tcPr>
            <w:tcW w:w="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(93,705)</w:t>
            </w:r>
          </w:p>
        </w:tc>
        <w:tc>
          <w:tcPr>
            <w:tcW w:w="240" w:type="dxa"/>
            <w:vAlign w:val="bottom"/>
            <w:gridSpan w:val="2"/>
            <w:shd w:val="clear" w:color="auto" w:fill="CCEEFF"/>
          </w:tcPr>
          <w:p>
            <w:pPr>
              <w:jc w:val="right"/>
              <w:ind w:right="26"/>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(2,137)</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15,824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Compensation expense related to stock options and restricted stock</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Contra-revenue related to warrants held by licensee</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2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Shares issued to executive for pro rata portion of base salary, net of</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withholding taxes</w:t>
            </w:r>
          </w:p>
        </w:tc>
        <w:tc>
          <w:tcPr>
            <w:tcW w:w="6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42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Costs incurred related to equity line facility</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(258)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(2,489)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(2,489)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38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Balance as of March 31, 2026</w:t>
            </w:r>
          </w:p>
        </w:tc>
        <w:tc>
          <w:tcPr>
            <w:tcW w:w="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5,913,492</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111,506</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(96,194)</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(2,137)</w:t>
            </w: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13,181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3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9"/>
          <w:szCs w:val="9"/>
          <w:color w:val="auto"/>
        </w:rPr>
        <w:t>See accompanying Notes to Unaudited Condensed Consolidated Financial Statements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Xcel Brands, Inc.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Statements of Cash Flows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280" w:type="dxa"/>
            <w:vAlign w:val="bottom"/>
            <w:vMerge w:val="restart"/>
          </w:tcPr>
          <w:p>
            <w:pPr>
              <w:ind w:left="6160"/>
              <w:spacing w:after="0"/>
              <w:rPr>
                <w:sz w:val="20"/>
                <w:szCs w:val="20"/>
                <w:color w:val="auto"/>
              </w:rPr>
            </w:pPr>
            <w:r>
              <w:rPr>
                <w:rFonts w:ascii="Times New Roman" w:cs="Times New Roman" w:eastAsia="Times New Roman" w:hAnsi="Times New Roman"/>
                <w:sz w:val="13"/>
                <w:szCs w:val="13"/>
                <w:color w:val="auto"/>
              </w:rPr>
              <w:t>​​​</w:t>
            </w:r>
          </w:p>
        </w:tc>
        <w:tc>
          <w:tcPr>
            <w:tcW w:w="2660" w:type="dxa"/>
            <w:vAlign w:val="bottom"/>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Asset impairment charge</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Paid in-kind interest expense</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finance costs and other non-cash interest expense</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Stock-based compensation and cost of licensee warrants</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from equity investments</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and non-current assets</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 accrued expenses, accrued income taxes payable, and other current liabilities</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Lease-related assets and liabilities</w:t>
            </w:r>
          </w:p>
        </w:tc>
        <w:tc>
          <w:tcPr>
            <w:tcW w:w="7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(877)</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7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costs associated with equity line facility</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Shares repurchased including vested restricted stock in exchange for withholding taxes</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Payment of long-term debt</w:t>
            </w: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7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(754)</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7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7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29"/>
        </w:trPr>
        <w:tc>
          <w:tcPr>
            <w:tcW w:w="6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to amounts on condensed consolidated balance sheets:</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8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(reported in other non-current assets)</w:t>
            </w:r>
          </w:p>
        </w:tc>
        <w:tc>
          <w:tcPr>
            <w:tcW w:w="7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78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1,258</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during the period for interest</w:t>
            </w:r>
          </w:p>
        </w:tc>
        <w:tc>
          <w:tcPr>
            <w:tcW w:w="78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Borders>
              <w:top w:val="single" w:sz="8" w:color="CCEEFF"/>
              <w:bottom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paid during the period for income taxes</w:t>
            </w:r>
          </w:p>
        </w:tc>
        <w:tc>
          <w:tcPr>
            <w:tcW w:w="780" w:type="dxa"/>
            <w:vAlign w:val="bottom"/>
            <w:tcBorders>
              <w:top w:val="single" w:sz="8" w:color="auto"/>
              <w:bottom w:val="single" w:sz="8" w:color="auto"/>
            </w:tcBorders>
            <w:shd w:val="clear" w:color="auto" w:fill="CCEEFF"/>
          </w:tcPr>
          <w:p>
            <w:pPr>
              <w:jc w:val="right"/>
              <w:ind w:right="63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Xcel Brands, Inc. (“Xcel” and, together with its subsidiaries, the “Company”) is a media and consumer products company engaged in the design, licensing, marketing, live streaming, and social commerce sales of branded apparel, footwear, accessories, fine jewelry, home goods and other consumer products, and the development of influencer led brands and the acquisition of dynamic consumer lifestyle brands. The Company primarily generates revenue through the licensing of its brands through contractual arrangements with manufacturers and retailers. The Company, through its licensees, distributes through an omni-channel and social commerce sales strategy which includes the promotion and sale of products under its brands through interactive television, digital live-stream shopping, social commerce, brick-and-mortar retailers, and e-commerce channels.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Brand Portfolio</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Currently, the Company’s brand portfolio consists of the following:</w:t>
      </w:r>
    </w:p>
    <w:p>
      <w:pPr>
        <w:spacing w:after="0" w:line="225"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and C Wonder brands, which are wholly owned by Xcel;</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by Shannon Doherty brand, which Xcel manages through its 50% ownership interest in Longaberger Licensing, LLC; the Company consolidates Longaberger Licensing, LLC and recognizes noncontrolling interest for the remaining ownership interest held by a third party (see Note 2 for additional details)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TowerHill by Christie Brinkley brand, which is a co-branded collaboration between Xcel and Christie Brinkley that launched in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Trust.Respect.Love by Cesar Millan brand, which is a new co-branded collaboration between Xcel and Cesar Millan that is planned to launch in Fall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GemmaMade by Gemma Stafford brand, which is a new co-branded collaboration between Xcel and Gemma Stafford that launched in April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Off/Duty by Coco Rocha brand, which is a new co-branded collaboration between Xcel and Coco Rocha, which is planned to launch in Fall 2026;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Mesa Mia by Jenny Martinez, which is a brand owned by Mexican home influencer Jenny Martinez, and for which Xcel holds the television rights through a long-term license agreement, that launched in April 2026.</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Also, as of March 31, 2026, and through April 27, 2026, the Company’s brand portfolio also included the Judith Ripka brand, which was wholly owned by Xcel; this brand was sold to a third party in April 2026 (see Note 12 for additional details).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Additionally, through October 1, 2025, the Company held a noncontrolling ownership interest in the Isaac Mizrahi brand.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2025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2025, as filed with the SEC on April 15,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assuming that the Company will continue as a going concern. The Company has incurred recurring losses, a history of cash flows used in operating activities, and an accumulated deficit. Although the Company has undertaken significant restructuring and cost reduction efforts, obtained additional funding through a combination of equity and debt financing transactions, and continues to explore strategic financing alternatives and operational efficiencies to improve liquidity (see Note 12 for information regarding financing transactions entered into subsequent to quarter-end), management has determined that there is nonetheless substantial doubt about the Company’s ability to meet its financial obligations as they become due within twelve months from the date these financial statements are issued. The unaudited condensed consolidated financial statements do not include any adjustments that might result from the outcome of this uncertainty.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Restricted cash at March 31, 2026 consisted of $1.08 million of cash deposited as collateral for a standby letter of credit associated with a real estate lease (reported in other non-current assets).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cash at December 31, 2025 consisted of $0.74 million of cash deposited as collateral for a standby letter of credit associated with a real estate lease (reported in other non-current assets) and $1.00 million of cash deposited in a bank account to satisfy a liquidity covenant in the Company’s term loan debt agreement (reported in other current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 single reportable segment, which generates revenue from the design and licensing of branded apparel, jewelry, and similar consumer products. The Company derives revenue in North America and manages its business activities on a consolidated basis. The accounting policies of the Company’s single reportable segment are the same as those for the Company as a whole.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as such term is defined under GAAP, is its Chief Executive Officer. The chief operating decision maker assesses performance for the single reportable segment and decides how to allocate resources based on net income that also is reported on the income statement as consolidated net income. The chief operating decision maker analyzes and reviews business performance based on available sales data from key licensees and quarterly sales and royalty reports provided by its licensees in addition to assessing the overall operating results on a monthly basis. The measure of segment assets is reported on the balance sheet as total consolidated assets, and, as the Company has a single reportable segment, the Company’s resources are applicable to the business as a whole. The Company does not have intra-entity sales or transfers.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Affiliates and Variable Interest Entities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IM Topco, LLC</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From May 31, 2022 through October 1, 2025, the Company held a noncontrolling equity ownership interest IM Topco, LLC (“IM Topco”), a former subsidiary which holds the trademarks and other intellectual property rights relating to the Isaac Mizrahi brand.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June 1, 2022 through April 15, 2025, the Company accounted for its noncontrolling interest in the ongoing operations of IM Topco as a component of other operating costs and expenses (income) under the equity method of accounting, using the distribution provisions set forth in the governing business venture agreement. On April 15, 2025, the Company discontinued the application of the equity method of accounting, and from April 15, 2025 through October 1, 2025, the Company measured its investment in IM Topco at adjusted cost, less impairment, plus or minus observable price changes of an identical or similar investment of the same issuer.</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and effective September 26, 2025, the Company, IM Topco, and the other owners of IM Topco entered into a settlement agreement, pursuant to which the Company agreed to transfer all of its remaining equity interests in IM Topco to the other owners, in exchange for (i.) the release of the Company’s liability under certain agreements with IM Topco and (ii.) a capital appreciation right for the Company to receive 15% of the net consideration received by IM Topco and/or the other owners in excess of $46 million in connection with any potential future capital transaction involving IM Topco which occurs on or before September 1, 2032. All remaining IM Topco equity interests were transferred to WHP on October 1, 2025.</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recognized a $0.34 million loss related to its investment in IM Topco, comprised of (i) a $0.18 million equity method loss, (ii) a $0.40 million charge to adjust the carrying value of the investment in IM Topco to its estimated fair value as of March 31, 2025, and (iii) a $(0.24) million adjustment to the carrying value of a contingent contractual obligation related to IM Topco.</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Longaberger Licensing, LLC Variable Interest Entity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2019, Xcel has been party to a limited liability company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amount of LL's losses attributed to Hilco Global's non-controlling interest for the three months ended March 31, 2026 and 2025 was $0 for each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Trademarks and Other Intangibles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3"/>
                <w:szCs w:val="13"/>
                <w:color w:val="auto"/>
              </w:rPr>
            </w:pP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spacing w:after="0"/>
              <w:rPr>
                <w:sz w:val="13"/>
                <w:szCs w:val="13"/>
                <w:color w:val="auto"/>
              </w:rPr>
            </w:pPr>
          </w:p>
        </w:tc>
      </w:t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31"/>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
              <w:spacing w:after="0" w:line="13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w:t>
            </w:r>
          </w:p>
        </w:tc>
      </w:tr>
      <w:tr>
        <w:trPr>
          <w:trHeight w:val="216"/>
        </w:trPr>
        <w:tc>
          <w:tcPr>
            <w:tcW w:w="4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27,747</w:t>
            </w: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24"/>
                <w:szCs w:val="24"/>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spacing w:after="0"/>
              <w:rPr>
                <w:sz w:val="24"/>
                <w:szCs w:val="24"/>
                <w:color w:val="auto"/>
              </w:rPr>
            </w:pPr>
          </w:p>
        </w:tc>
      </w:t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4"/>
        </w:trPr>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right="1"/>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10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w:t>
            </w:r>
          </w:p>
        </w:tc>
      </w:tr>
      <w:tr>
        <w:trPr>
          <w:trHeight w:val="216"/>
        </w:trPr>
        <w:tc>
          <w:tcPr>
            <w:tcW w:w="4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31,229</w:t>
            </w: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$0.88 million for the three-month period ended March 31, 2026 (the "current quarter") and approximately $0.88 million for the three-month period ended March 31, 2025 (the "prior year quarter").</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March 31, 2026, the intangible assets related to the Judith Ripka brand were reclassified to “assets held for sale” in the condensed consolidated balance sheet. This included trademarks with a gross carrying value of approximately $4.17 million and accumulated amortization of $1.57 million, and copyrights with a gross carrying value of $0.19 million and accumulated amortization of $0.19 million. Additionally, upon reclassification to “assets held for sale,” the assets were remeasured at the lower of (i) their carrying amount or (ii) estimated fair value less cost to sell; accordingly, the Company recognized an impairment charge during the current quarter of approximately $0.06 million, such that the net carrying value of these assets classified as “assets held for sale” at March 31, 2026 was approximately $2.54 million. These assets were subsequently sold to a third party in April 2026 (see Note 12 for additional details).</w:t>
      </w:r>
    </w:p>
    <w:p>
      <w:pPr>
        <w:spacing w:after="0" w:line="228"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 and Concentrations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15, 2023, the Company, through its wholly owned subsidiaries, H Halston, LLC and H Heritage Licensing, LLC (collectively, the “Licensor”), entered into a master license agreement relating to the Halston brand (the “Halston Master License”) with G-III Apparel Group (“G-III”), an industry-leading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in accordance with the terms of the Halston Master License. The Licensor granted G-III a security interest in the Halston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trademarks to secure the Licensor’s obligations under the Halston Master License, including to honor the obligations under the purchase option.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under this agreement, the Company has recognized $2.87 million and $3.09 million of deferred revenue contract liabilities on its condensed consolidated balance sheets as of March 31, 2026 and December 31, 2025, respectively. As of December 31, 2025, approximately $1.31 million of the contract liability balance was classified as a current liability and approximately $1.78 million was classified as a long-term liability. As of March 31, 2026, approximately $1.31 million of the contract liability balance was classified as a current liability and approximately $1.56 million was classified as a long-term liability; the balance of the deferred revenue contract liabilities will be recognized ratably as revenue over the next 2.75 years.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recognized from the Halston Master License was $0.64 million for both the current quarter and prior year quarter, representing approximately 56% and 48% of the Company’s total net revenue for the current quarter and prior year quarter,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Company’s agreements with Qurate Retail Group (“Qurate”), collectively referred to as the Qurate Agreements, Qurate is obligated to make payments to the Company on a quarterly basis, based primarily upon a percentage of net retail sales of certain specified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from the Qurate Agreements totaled $0.19 million and $0.33 million for the current quarter and prior year quarter, respectively, representing approximately 16% and 25% of the Company’s total net revenue for the current quarter and prior year quarter,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receivables from Qurate of $0.20 million and $0.21 million, respectively, representing approximately 31% and 22% of the Company’s total net accounts receivable,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JTV / America’s Collectibles Network,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a license agreement with America’s Collectibles Network, Inc. (d/b/a JTV) (“JTV”) that obligates JTV to pay the Company royalties based on product sales of Judith Ripka brand merchandise. In addition, the Company has outstanding receivables from prior product sales of fine jewelry made to JTV. As of March 31, 2026 and December 31, 2025, the Company had receivables from JTV of $0.10 million and $0.41 million, respectively, representing approximately 16% and 42% of the Company’s total net accounts receivable, respectively.</w:t>
      </w:r>
    </w:p>
    <w:p>
      <w:pPr>
        <w:spacing w:after="0" w:line="179"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is party to operating leases for real estate, and for certain equipment and storage space with a term of 12 months or less. The Company is currently not a party to any finance leases. As of March 31, 2026, the Company’s real estate leases have a weighted-average remaining lease term of approximately 3.96 years, and the lease liabilities are measured using a weighted-average discount rate of 8.22%.</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lease expense (net of sublease income) included in selling, general and administrative expenses on the Company’s unaudited condensed consolidated statements of operations was approximately $0.2 million for the current quarter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$0.2 million for the prior year quarter. Cash paid for amounts included in the measurement of operating lease liabilities was approximately $0.5 million for the current quarter and $0.4 million for the prior year quarter.</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the maturities of future lease obligations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6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(April 1 through December 31)</w:t>
            </w: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 (through 2032)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 to present value</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 (April 1, 2026 through March 31, 2027)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gridSpan w:val="2"/>
          </w:tcPr>
          <w:p>
            <w:pPr>
              <w:jc w:val="right"/>
              <w:ind w:right="96"/>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20" w:type="dxa"/>
            <w:vAlign w:val="bottom"/>
            <w:gridSpan w:val="3"/>
          </w:tcPr>
          <w:p>
            <w:pPr>
              <w:jc w:val="right"/>
              <w:ind w:right="116"/>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debt (including accumulated unpaid PIK interest)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other reductions to carrying value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Term Loan Debt and Amendments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and certain of its subsidiaries entered into a loan and security agreement with FEAC Agent, LLC (“FEAC”),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subsequently made in March 2025. A portion of the proceeds from the Delayed Draw Term Loan were deposited in a bank account to satisfy a liquidity covenant in the loan agreement.</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21, 2025, the Company and certain of its subsidiaries and its lenders and FEAC Agent, LLC entered into an amendment of the December 12, 2024 loan and security agreement, which provided for a $1.5 million repayment of the $3.95 million Term Loan A and an additional Term Loan B in the amount of $5.12 million. The term loans outstanding after giving effect to the April 21, 2025 amendment and the application of the proceeds of the additional Term Loan B were as follows: (1) Term Loan A in the amount of $4.50 million, and (2) Term Loan B in the amount of $9.12 million.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April 21, 2025 amendment and refinancing transaction, UTG Capital, Inc., a Delaware corporation (UTG”), purchased a 100% undivided, participation interest in Term Loan B for a purchase price of $9.12 million. Also in connection with the refinancing, the Company issued certain warrants to UTG and Restore, and amended certain warrants that had been previously issued on December 12,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15, 2025, the Company repaid $0.50 million of the outstanding principal amount of Term Loan A.</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7, 2025, the Company and certain of its subsidiaries and its lenders and FEAC Agent, LLC entered into a further amendment of the December 12, 2024 loan and security agreement, pursuant to which (i) the agents and lenders (as defined in the loan and security agreement) consented to the transfer and the release of the agents’ liens on the equity interests of IM Topco, LLC; (ii) the liquid asset covenant requirement was reduced to $1,000,000; and (iii) Xcel made a prepayment of $0.25 million against the outstanding principal amount of Term Loan A, of which $0.14 million was paid from the blocked account.</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November 18, 2025, the Company and certain of its subsidiaries and its lenders and FEAC Agent, LLC entered into the fourth amendment of the December 12,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 million on Term Loan A by February 20, 2026, along with the payment of an amendment fee of $0.45 million (of which $0.125 million was payable on December 5, 2025 and the remaining $0.325 million would be due only if the $3.25 million principal amount of Term Loan A was not repaid on or prior to February 20, 2026); and (iii) the payment of the remaining principal balance on Term Loan A of $0.5 million was changed to be due on December 31, 2026 which shall be held by IPX Capital, LLC, a related party. In addition, upon the repayment of the $3.25 million of Term Loan A, the Company will have revised financial covenants. The minimum revenue requirement for the rolling 12 months ending December 31, 2025 will be $3.9 million and $1.7 million for the Included Subsidiaries and Halston, respectively, each as defined in the loan agreements. Further, after the Term Loan A payment is made, the minimum revenue requirement covenants shall remain at these levels for the duration of the loans and the minimum liquidity requirement shall be zero, which includes the lenders’ release of $1.0 million of restricted cash within the blocked account back to the Company.</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20, 2026 and March 20, 2026, the Company entered into the fifth and sixth amendments to the loan and security agreement with the term loan debt lenders and FEAC Agent, LLC. Pursuant to such amendments, (i) the Company prepaid $0.50 million on Term Loan A (paid from the blocked account, as defined in the loan and security agreement) in connection with the fifth amendment and irrevocably authorized FAEC Agent, LLC, as the administrative agent to transfer up to $0.50 million (the “Sixth Amendment Cash Collateral”) from the blocked account to an account maintained by the Administrative Agent to be held as cash collateral securing the Obligations (as defined in the loan and security agreement);</w:t>
      </w:r>
    </w:p>
    <w:p>
      <w:pPr>
        <w:spacing w:after="0" w:line="5" w:lineRule="exact"/>
        <w:rPr>
          <w:sz w:val="20"/>
          <w:szCs w:val="20"/>
          <w:color w:val="auto"/>
        </w:rPr>
      </w:pPr>
    </w:p>
    <w:p>
      <w:pPr>
        <w:jc w:val="both"/>
        <w:ind w:left="60" w:right="59" w:hanging="10"/>
        <w:spacing w:after="0" w:line="251" w:lineRule="auto"/>
        <w:tabs>
          <w:tab w:leader="none" w:pos="3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irrevocably authorized the administrative agent to: (a) apply all or any portion of the Sixth Amendment Cash Collateral to repay the Term Loan A, or (b) return all or any portion of the Sixth Amendment Cash Collateral to the Company, in each case at the lenders’ sole discretion; (iii) the liquid asset covenant requirement was reduced to: (a) at all times prior to the repayment in full of the First Out Obligations (as defined in the loan and security agreement), $0.50 million minus that amount of Sixth Amendment Cash Collateral used to repay Term Loan A, and (b) at all times after the repayment in full of the First Out Obligations, $0; and (iv) the transaction closing date was extended to March 24, 2026. The $0.50 million of Sixth Amendment Cash Collateral was reported in other current assets on the condensed consolidated balance sheet as of March 31, 2026.</w:t>
      </w:r>
    </w:p>
    <w:p>
      <w:pPr>
        <w:spacing w:after="0" w:line="19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loan and security agreement with the term loan debt lenders and FEAC Agent, LLC was subsequently further amended in April 2026; see Note 12 for additional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Term Loans are guaranteed by certain direct and indirect subsidiaries of the Company, and are secured by all of the assets of the Company and such subsidiaries. The loan agreement contains various customary financial covenants and reporting requirements, as specified and defined therein. The Company was in compliance with all applicable covenants under the loan agreement, or if not in compliance with certain covenants had obtained a waiver from the lenders with respect to such covenants, as of and for all periods presented in the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$3.25 million of the principal amount on Term Loan A was due and payable (and was repaid as part of the April 2026 debt refinancing transaction described in Note 12), with the remaining $0.50 million of the principal amount on Term Loan A due on September 20, 2027. The principal amount on Term Loan B is due at the maturity date of December 12, 2028 along with all accumulated paid in-kind (“PIK”) interest (as discussed below).</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Thus, the aggregate future principal payments under the Term Loans (inclusive of accumulated unpaid PIK interest of $0.96 million as of March 31, 2026) at March 31, 2026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62"/>
        </w:trPr>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(April 1 through December 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0" w:type="dxa"/>
            <w:vAlign w:val="bottom"/>
          </w:tcPr>
          <w:p>
            <w:pPr>
              <w:spacing w:after="0"/>
              <w:rPr>
                <w:sz w:val="1"/>
                <w:szCs w:val="1"/>
                <w:color w:val="auto"/>
              </w:rPr>
            </w:pPr>
          </w:p>
        </w:tc>
      </w:tr>
      <w:tr>
        <w:trPr>
          <w:trHeight w:val="209"/>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December 12, 2024 through April 20, 2025, interest on Term Loans accrued at an annual rate equal to the secured overnight financing rate as administered by the Federal Reserve Bank of New York for an interest period equal to three months (the “3-month SOFR rate”), subject to a 2.0% floor, plus (i) 8.5% for Term Loan A and Delayed Draw Term Loan and (ii) 13.5% for Term Loan B. From and after April 21, 2025, interest on the Term Loans accrues at an annual rate equal to the 3-month SOFR rate, subject to a 2.0% floor, plus (i) 8.5% for Term Loan A and (ii) 6.5% for Term Loan 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Interest on amounts outstanding under the Term Loans accrues daily and is payable at the end of each calendar month, except that from April 21, 2025 through March 31, 2027, interest on the Term Loan B will be paid in-kind (“PIK”) by being capitalized and added to the principal amount of the Term Loan B at the end of each calendar month. For the current quarter, the Company recognized approximately $0.25 million of PIK interest. The accumulated PIK interest at March 31, 2026 and December 31, 2025 was $0.96 million and $0.71 million, respectively, and is reported within the carrying value of long-term debt on the condensed consolidated balance sheets.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the current quarter, the Company incurred interest expense related to term loan debt (including interest paid in cash, PIK, and the amortization of deferred finance costs) related to term loan debt of approximately $0.56 million, respectively, reflecting an effective interest rate of approximately 13.1%.</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prior year quarter and prior year nine months, the Company incurred interest expense (including both interest paid in cash and the amortization of deferred finance costs) related to term loan debt of approximately $0.47 million, reflecting an effective interest rate of approximately 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Exit Fees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amended loan agreement also requires that the Company pay an exit fee of $0.175 million to FEAC related to Term Loan A and an exit fee of $0.40 million to Restore related to Term Loan B upon the maturity or full payment of the Term Loans. The Company recognized the cost of the Term Loan A exit fee over the remaining term of the related debt, while the net present value of the Term Loan B exit fee on April 21, 2025 was recognized as part of the loss on early extinguishment of debt recorded in the second quarter of 2025. As of March 31, 2026, the amount of accrued exit fees with respect to Term Loan A was $0.17 million, while the amount of accrued exit fees with respect to Term Loan B was $0.30 million; both amounts are presented within Other long-term liabilities on the condensed consolidated balance sheet as of March 31, 2026.</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Costs and Other Reductions to Carrying Value of Debt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entering into the Term Loans in December 2024, the Company incurred loan origination fees, plus various legal and other fees; these fees and costs totaling $0.92 million were deferred on the Company’s balance sheet as a reduction of the carrying value of the term loan debt. Also in connection with entering into the Term Loans in December 2024, the Company issued certain warrants to the lenders to purchase shares of the Company’s common stock. In accordance with applicable GAAP, the Company allocated the value of the total proceeds of $10.0 million between the term loan debt and the warrants, based on the relative fair values of each; as a result, the Company recognized a $0.48 million increase to stockholders’ equity as additional paid-in capital for the allocated fair value of the warrants, and an offsetting decrease to the net carrying value of the term loan debt. From December 12, 2024, and through April 20, 2025, these reductions to the carrying value of the term loan debt totaling $1.40 million were being amortized to interest expense over the term of the debt using the effective interest method. The $1.26 million remaining unamortized balance of such amounts was written-off as part of the loss on early extinguishment of debt upon the closing of the April 21, 2025 debt refinancing.</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debt refinancing transaction on April 21, 2025, the Company incurred certain legal costs and other fees; these fees and costs totaling $0.53 million were deferred on the Company’s balance sheet as a reduction of the carrying value of the term loan debt. Also in connection with the April 21, 2025 debt refinancing transaction, the Company issued certain warrants to UTG to purchase shares of the Company’s common stock. In accordance with GAAP, the Company allocated the value of the total proceeds of $13.62 million between the term loan debt and the warrants, based on the relative fair values of each; as a result, the Company recognized a $0.58 million increase to stockholders’ equity as additional paid-in capital for the allocated fair value of the warrants, and an offsetting decrease to the net carrying value of the term loan debt. These reductions to the carrying value of the term loan debt totaling $1.11 million are being amortized to interest expense over the term of the debt using the effective interest method.</w:t>
      </w:r>
    </w:p>
    <w:p>
      <w:pPr>
        <w:spacing w:after="0" w:line="184"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Line Facility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21, 2026, the Company entered into a common stock purchase agreement with White Lion Capital, LLC (“White Lion”), pursuant to which White Lion has committed to purchase up to $15.0 million of the Company’s common stock. Under the terms and conditions of this agreement, the Company has the right, but not the obligation, to sell to White Lion, and White Lion is obligated to purchase, up to $15.0 million of the Company’s common stock. The actual amount and timing of any sales of Common Stock will be determined by the Company at its discretion.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aggregate number of shares that the Company can sell White Lion under this agreement is limited to and may not exceed 1,178,173 shares (subject to adjustment for any reorganization, recapitalization, non-cash dividend, stock split, reverse stock split, or other similar transaction), which is equal to 19.99% of the total shares of the Company’s common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stock outstanding immediately prior to the execution of the agreement, unless (i.) the Company obtains stockholder approval to issue additional shares in excess of this amount, or (ii.) the average price paid for all shares of Common Stock issued under the agreement equals or exceeds certain levels as specified in the agreement.</w:t>
      </w:r>
    </w:p>
    <w:p>
      <w:pPr>
        <w:spacing w:after="0" w:line="176"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In consideration for White Lion’s execution and entry into such arrangement, the Company agreed to issue White Lion $37,500 worth of common stock, with the number of shares issued determined based on the closing price of the Company’s stock on the business day immediately preceding the day on which the related registration statement is declared effective by the SEC; these shares have not yet been issued as of March 31, 2026. Additionally, pursuant to the terms of an advisory agreement between the Company and Maxim Group LLC, the Company agreed to pay Maxim Group LLC a cash fee equal to 4.0% of the gross proceeds received from any sales of securities to White Lion under this arrangement.</w:t>
      </w:r>
    </w:p>
    <w:p>
      <w:pPr>
        <w:spacing w:after="0" w:line="17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March 31, 2026, no shares have been issued under the equity line facility arrangement. The Company incurred approximately $0.26 million of fees and expenses (consisting of legal and accounting fees) associated with the equity line arrangement and related registration statement, which were recorded as a reduction to additional paid-in capital during the current quarter.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total of 1,150,000 shares of common stock are eligible for issuance under the Company’s 2021 Equity Incentive Plan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 In addition, 20,000 stock options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Stock-based compensation expense is recorded as a component of Other selling, general and administrative expenses in the condensed consolidated statements of operations. Total expense recognized for all forms of stock-based compensation was approximately $0.14 million and $0.16 million for the current quarter and prior year quarter, respectively. Of the current quarter expense amount, </w:t>
      </w:r>
      <w:r>
        <w:rPr>
          <w:rFonts w:ascii="Times New Roman" w:cs="Times New Roman" w:eastAsia="Times New Roman" w:hAnsi="Times New Roman"/>
          <w:sz w:val="18"/>
          <w:szCs w:val="18"/>
          <w:color w:val="212529"/>
        </w:rPr>
        <w:t>approximately $0.10 million related to employees and approximately $0.04 million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directors</w:t>
      </w:r>
      <w:r>
        <w:rPr>
          <w:rFonts w:ascii="Times New Roman" w:cs="Times New Roman" w:eastAsia="Times New Roman" w:hAnsi="Times New Roman"/>
          <w:sz w:val="18"/>
          <w:szCs w:val="18"/>
          <w:color w:val="000000"/>
        </w:rPr>
        <w:t>. Of the prior year quarter expense amount, approximately $0.13 million related to employees and approximately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$0.03 million related to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options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gridSpan w:val="2"/>
          </w:tcPr>
          <w:p>
            <w:pPr>
              <w:ind w:left="5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(in Years)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977,695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(362,494)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 and expected to vest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185,000</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tcBorders>
              <w:bottom w:val="single" w:sz="8" w:color="auto"/>
            </w:tcBorders>
          </w:tcPr>
          <w:p>
            <w:pPr>
              <w:ind w:left="40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Effective January 21, 2026, certain stock options originally issued in 2019 to executive management (including the Company’s Chief Executive Officer, Chief Financial Officer, and Executive Vice President of Business Development and Treasury) to purchase an aggregate of 350,000 shares of common stock, were cancelled through mutual agreement between the Company and the respective executives. None of these options had vested, and no compensation was paid to the executives in exchange for such cancellation.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both the current quarter and the prior year quarter was approximately $0.02 million for each respective period. Total unrecognized compensation expense related to unvested stock options at March 31, 2026 was approximately $0.16 million and is expected to be recognized over a weighted average period of approximately 4.27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non-vested stock options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ind w:left="67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Canceled</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non-vested stock options outstanding at March 31, 2026, the vesting of 340,201 options is contingent upon the Company’s common stock achieving certain target prices, the vesting of 20,000 options is contingent upon the achievement of certain revenue targets, the vesting of 60,000 options is contingent upon the Company’s common stock achieving certain target prices or the Company achieving certain financial performance targets, and the vesting of 10,000 options is subject to service-based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ind w:left="67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accordance with the amended employment agreement with Mr. D’Loren, the Company is paying 40% of each such executive officer’s base salary via the issuance of shares of the Company’s common stock. Mr. D’Loren is permitted to pay the withholding tax through the exchange of a portion of the shares. Under the terms of this amended agreement, the Company issued an aggregate of 32,735 shares of common stock (net of shares exchanged for withholding taxes) to Mr. D’Loren for the current quarter, which vested immediately.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awards was approximately $0.12 million for the current quarter and approximately $0.14 million for the prior year quarter. Total unrecognized compensation expense related to unvested restricted stock grants at March 31, 2026 was approximately $0.01 million and is expected to be recognized over a weighted average period of approximately 1.00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restricted stock units outstanding as of March 31, 2026 and December 31, 2025, and no restricted stock units have been issued since the inception of the 2021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Equity Incentive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2026, there were 159,268 shares of common stock available for future award grants under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there were 774,469 shares of common stock reserved for issuance under the Company’s Equity Incentive Plans, including 20,000 shares reserved pursuant to unexercised stock options previously granted under the 2011 Plan, 595,201 shares reserved pursuant to unexercised stock options granted under the 2021 Plan, and 159,268 shares available for issuance under the 2021 Plan.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there were also 3,152,209 shares of common stock reserved for issuance that were unrelated to the Company’s Equity Incentive Plans, including 100,000 shares reserved pursuant to unexercised warrants related to the Halston Master License (as described below), and 3,052,209 shares reserved pursuant to unexercised warrants issued through various corporate transactions in 2024 and 2025, including equity offerings and debt financing transactions.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Subsequent to March 31, 2026, due to the conversion feature contained within the terms of the new Senior Secured Notes issued on April 13, 2026 (see Note 12 for additional details), the number of shares of common stock reserved for issuance increased by 7,712,199.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warrants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ind w:left="5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gridSpan w:val="2"/>
            <w:vMerge w:val="continue"/>
          </w:tcPr>
          <w:p>
            <w:pPr>
              <w:spacing w:after="0"/>
              <w:rPr>
                <w:sz w:val="15"/>
                <w:szCs w:val="15"/>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gridSpan w:val="2"/>
            <w:vMerge w:val="continue"/>
          </w:tcPr>
          <w:p>
            <w:pPr>
              <w:spacing w:after="0"/>
              <w:rPr>
                <w:sz w:val="15"/>
                <w:szCs w:val="15"/>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 Years)</w:t>
            </w:r>
          </w:p>
        </w:tc>
        <w:tc>
          <w:tcPr>
            <w:tcW w:w="260" w:type="dxa"/>
            <w:vAlign w:val="bottom"/>
            <w:gridSpan w:val="2"/>
            <w:vMerge w:val="continue"/>
          </w:tcPr>
          <w:p>
            <w:pPr>
              <w:spacing w:after="0"/>
              <w:rPr>
                <w:sz w:val="15"/>
                <w:szCs w:val="15"/>
                <w:color w:val="auto"/>
              </w:rPr>
            </w:pPr>
          </w:p>
        </w:tc>
        <w:tc>
          <w:tcPr>
            <w:tcW w:w="6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3,152,209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3,152,209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3,052,209</w:t>
            </w:r>
          </w:p>
        </w:tc>
        <w:tc>
          <w:tcPr>
            <w:tcW w:w="16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5.40</w:t>
            </w:r>
          </w:p>
        </w:tc>
        <w:tc>
          <w:tcPr>
            <w:tcW w:w="160" w:type="dxa"/>
            <w:vAlign w:val="bottom"/>
            <w:vMerge w:val="continue"/>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6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entrance into the Halston Master License in 2023 (see Note 4), the Company issued to G-III a ten-year warrant to purchase up to 100,000 shares of the Company’s common stock at an exercise price of $15.00 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The amount of contra-revenue recognized related to this warrant during the current quarter and prior year quarter was approximately $0.01 million in each period. As of March 31, 2026, no portion of this warrant had vested.</w:t>
      </w:r>
    </w:p>
    <w:p>
      <w:pPr>
        <w:spacing w:after="0" w:line="185"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available to common stockholders by the weighted average number of common shares outstanding during the period, excluding the effects of any potentially dilutive securities. Diluted EPS reflects, in periods in which they have a dilutive effect, the effect of common shares issuable upon the exercise of stock options and warrants, using the treasury stock method. Diluted EPS excludes all potentially dilutive shares of common stock if their effect is anti-dilutive.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 and denominator of the basic and diluted earnings (loss) per share computations for the three months ended March 31, 2026 and 2025:</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5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 (in thousands)</w:t>
            </w:r>
          </w:p>
        </w:tc>
        <w:tc>
          <w:tcPr>
            <w:tcW w:w="94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(2,489)</w:t>
            </w:r>
          </w:p>
        </w:tc>
        <w:tc>
          <w:tcPr>
            <w:tcW w:w="8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5,903,599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warrants</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Effect of stock options</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5,903,599</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2,373,583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8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940" w:type="dxa"/>
            <w:vAlign w:val="bottom"/>
            <w:tcBorders>
              <w:top w:val="single" w:sz="8" w:color="auto"/>
              <w:bottom w:val="single" w:sz="8" w:color="auto"/>
            </w:tcBorders>
            <w:shd w:val="clear" w:color="auto" w:fill="CCEEFF"/>
          </w:tcPr>
          <w:p>
            <w:pPr>
              <w:jc w:val="right"/>
              <w:ind w:right="7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net loss for all periods presented, the Company calculated diluted EPS using basic weighted average shares outstanding for all such periods, as utilizing diluted shares would be anti-dilutive to loss per share. The computation of diluted EPS excludes the following potentially dilutive securities because their inclusion would be anti-dilutive:</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32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vMerge w:val="restart"/>
          </w:tcPr>
          <w:p>
            <w:pPr>
              <w:ind w:left="5460"/>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vMerge w:val="continue"/>
          </w:tcPr>
          <w:p>
            <w:pPr>
              <w:spacing w:after="0"/>
              <w:rPr>
                <w:sz w:val="13"/>
                <w:szCs w:val="13"/>
                <w:color w:val="auto"/>
              </w:rPr>
            </w:pPr>
          </w:p>
        </w:tc>
        <w:tc>
          <w:tcPr>
            <w:tcW w:w="1460" w:type="dxa"/>
            <w:vAlign w:val="bottom"/>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gridSpan w:val="2"/>
          </w:tcPr>
          <w:p>
            <w:pPr>
              <w:jc w:val="center"/>
              <w:ind w:right="5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449,392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3,152,209</w:t>
            </w:r>
          </w:p>
        </w:tc>
        <w:tc>
          <w:tcPr>
            <w:tcW w:w="2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263,957</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3,767,410</w:t>
            </w: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713,349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annual effective income tax rate was for the current quarter and the prior year quarter was approximately</w:t>
      </w:r>
    </w:p>
    <w:p>
      <w:pPr>
        <w:spacing w:after="0" w:line="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-0.5% and -1.8%, resulting in an income tax provision (benefit) of $0.01 million and $0.05 million, respectively. For both periods,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85" w:lineRule="exact"/>
        <w:rPr>
          <w:sz w:val="20"/>
          <w:szCs w:val="20"/>
          <w:color w:val="auto"/>
        </w:rPr>
      </w:pPr>
    </w:p>
    <w:p>
      <w:pPr>
        <w:ind w:left="460" w:hanging="410"/>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October 2024, in connection with a required standby letter of credit associated with the Company’s real estate lease for offices located at 1333 Broadway (see Note 5), Mr. D’Loren has provided and continues to provide a personal guarantee to the financial institution providing such letter of credit, in order to satisfy a portion of the associated collateral requirements for the letter of credit.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both March 31, 2026 and December 31, 2025, IPX Capital, LLC (“IPX”), a company controlled by Robert W. D’Loren, Chairman and Chief Executive Officer of the Company, held a $0.50 million undivided, last-out, subordinated participation interest in Term Loan A (see Note 6).</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April 2026, a $0.50 million portion of Term Loan A was sold and assigned to IPX in connection with the refinancing of the Company’s term loan debt. In addition, IPX purchased a portion of the new 12.5% Senior Secured Notes due April 13, 2027 that were issued in April 2026. See Note 12 for additional details related to these subsequent events.</w:t>
      </w:r>
    </w:p>
    <w:p>
      <w:pPr>
        <w:spacing w:after="0" w:line="172" w:lineRule="exact"/>
        <w:rPr>
          <w:sz w:val="20"/>
          <w:szCs w:val="20"/>
          <w:color w:val="auto"/>
        </w:rPr>
      </w:pPr>
    </w:p>
    <w:p>
      <w:pPr>
        <w:ind w:left="440" w:hanging="390"/>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terms of the May 31, 2022 transaction related to the sale of a majority interest in the Isaac Mizrahi brand (as subsequently amended in 2023 and 2024), the Company had agreed with WHP (the buyer) that, in the event that the aggregate royalties received by IM Topco were less than $13.5 million for the twelve-month period ending March 31, 2025 or less than $18.0 million for the year ending December 31, 2025, Xcel was obligated to transfer equity interests in IM Topco to WHP equal to 12.5% of the total outstanding equity interests of IM Topco, such that Xcel’s ownership interest in IM Topco would decrease from 30% to 17.5%, and WHP’s ownership interest in IM Topco would increase from 70%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82.5%. During 2024, management concluded that it was virtually certain that the Company would be required to make such transfer of equity interests to WHP in 2025. As such, the Company recognized a contingent obligation of approximately $4.21 million as of December 31, 2024.</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March 31, 2025, in accordance with the terms of the amended membership purchase agreement between Xcel and WHP, WHP became contractually entitled to receive from Xcel equity interests in IM Topco equal to 12.5% of the total outstanding equity interests of IM Topco. Also during the three months ended March 31, 2025, the Company adjusted the carrying value of the contingent obligation to its estimated fair value of $3.97 million as of March 31, 2025 in the condensed consolidated balance sheets, and recognized a $(0.24) million credit in the condensed consolidated statement of operations.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and effective April 15, 2025, such equity interests were transferred to WHP in full satisfaction and settlement of this contractual obligation, and the previously recorded liability was de-recognized by reducing the value of the asset for the investment in IM Topco.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spacing w:after="0" w:line="210" w:lineRule="exact"/>
        <w:rPr>
          <w:sz w:val="20"/>
          <w:szCs w:val="20"/>
          <w:color w:val="auto"/>
        </w:rPr>
      </w:pPr>
    </w:p>
    <w:p>
      <w:pPr>
        <w:ind w:left="460" w:hanging="410"/>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Chief Executive Officer</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amended employment agreement with Mr. D’Loren (see Note 7 for details), the Company issued 6,413 and 6,862 shares of common stock to Mr. D’Loren on April 20, 2026 and April 30, 2026,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Amendments and Refinancing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13, 2026, the Company entered into the seventh amendment to the loan and security agreement with the term loan debt lenders and FEAC Agent, LLC, which provided for, among other things: the ability of the Company to consummate the issuance of certain senior secured notes (as described below); the ability for IPX to convert its $500,000 Term Loan A to common shares of the Company at the price per share equal to $1.435, subject to adjustment; modifications to certain payment terms; modifications to certain financial covenants; modifications to certain financial reporting requirements; and the amendment of the FEAC Agent, LLC’s role to include certain limitations. In connection with the seventh amendment, FEAC Agent LLC’s affiliated lenders entered into agreements whereby a $500,000 portion of Term Loan A was sold and assigned to IPX, and the entirety of Term Loan B was sold and assigned to UTG. Additionally, the Company was relieved of its obligation to pay the remaining $325,000 amendment fee as specified in the fourth amendment.</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on April 13, 2026, the Company entered into certain agreements with Smithline Family Trust II (“SFT”), Quick Capital, LLC (“Quick”), and IPX (collectively, the “Purchasers”), pursuant to which the Company issued and sold to the Purchasers 12.5% Senior Secured Notes due April 13, 2027 in the original principal amount of $3,005,780 (the “Secured Notes”) and 100,579 shares of the Company’s common stock. The Secured Notes were issued with an original issue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discount, such that the cash proceeds received by the Company were $2,600,000. The Company is required to make $100,000 monthly payments on the Secured Notes commencing October 13, 2026, with the balance due at maturity. The Company’s obligations under the Secured Notes are guaranteed by certain direct and indirect subsidiaries of the Company pursuant to a subsidiary guarantee, and are secured by the assets of the Company and the subsidiary guarantors pursuant to a security agreement.</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after the occurrence of an event of default under the Secured Notes and for so long as such event of default is continuing, the Secured Notes are convertible into shares of common stock of the Company (i) initially at a fixed conversion price equal to $1.165 per share and (ii) after May 17, 2026, at a price equal to the lesser of (a) 85% multiplied by the lowest volume weighted average price of the common stock during the 10-trading day period prior to conversion and (b) $1.165. In addition, to the extent that Company is listed on the Nasdaq Capital Market, the aggregate number of shares of common stock issuable to the Purchasers and any subsequent holder of the Secured Note shall not exceed 19.9% of the total number of shares of common stock outstanding or of the voting power of the common stock as of April 13, 2026 less the shares issued pursuant to the securities purchase agreement unless the Company has obtained stockholder approval in compliance with Nasdaq Listing Rule 5635(d) to authorize the issuance of shares of common stock in connection with the conversion or exchange of all Secured Notes.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granted the Purchasers certain piggyback registration rights with respect to the shares of common stock issuable upon conversion of the Secured Notes.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Fees incurred in connection with the transactions described above were approximately $0.1 million.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part of the transactions described above, IPX purchased $57,803 original principal amount of the Secured Notes and purchased 1,742 shares of common stock, on the same terms as the other Purchasers, except that the shares of common stock purchased by IPX were priced at current market value.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net proceeds received from the April 13, 2026 issuance of the Secured Notes and shares as described above were used to repay $2.25 million of the Term Loan A debt, and an additional $1 million of the Term Loan A debt was paid with the Company’s restricted cash. As such, following the funding and completion of the transactions described above, the Company’s debt obligations will be as follows: (1) Senior Secured Notes in the principal amount of $2.6 million, with payments commencing October 13, 2026 and a maturity date of April 13, 2027, (2) Term Loan A in the principal amount of $0.5 million, payable on the maturity date of September 20, 2027, and (3) Term Loan B in the amount of $9.9 million, payable on the maturity date of December 12, 2028.</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of Judith Ripka Brand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24, 2026, the Company and certain of its wholly owned subsidiaries entered into an asset purchase agreement with a third-party buyer (“the Buyer”), pursuant to which the Company sold to the Buyer substantially all of the assets of the Judith Ripka brand, including the “Judith Ripka” brand name and trademarks, and assigned all licenses associated with the trademarks to the Buyer. As consideration for the sale, the asset purchase agreement provided for a $2.30 million cash payment to the Company at closing, plus additional earn-out contingent consideration. The earn-out contingent consideration is payable to the Company if certain specified license agreements related to the Judith Ripka brand are renewed following the expiration of their current term for a period of 5 years; in such event, the Buyer shall be obligated to make quarterly payments to the Company over a three-year period in the amount of 50% of the revenue earned by the Buyer from such licenses, subject to such payments not being less than $250,000 per year.</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This transaction closed on April 27, 2026. Costs associated with the transaction were $0.40 million, of which $0.30 million was paid at closing and $0.10 million will be paid in future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2024, as filed with the SEC on May 28, 2025.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Xcel Brands, Inc. (“Xcel,” the “Company,” “we,” “us,” or “our”) is a media and consumer products company engaged in the design, licensing, marketing, live streaming, and social commerce sales of branded apparel, footwear, accessories, fine jewelry, home goods and other consumer products, and the development of influencer led brands and the acquisition of dynamic consumer lifestyle brands. Xcel was founded in 2011 with a vision to reimagine shopping, entertainment, and social media as social commerce.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owns the Halston and C Wonder brands, as well as the co-branded collaboration brands Tower Hill by Christie Brinkley, Trust. Respect. Love by Cesar Millan, GemmaMade by Gemma Stafford, and Off/Duty by Coco Rocha brand, and holds the television rights through a long-term license agreement with Mesa Mia by Jenny Martinez. Xcel also owns and manages the Longaberger by Shannon Doherty brand through its controlling interest in Longaberger Licensing, LLC.</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as of March 31, 2026, our brand portfolio also included the Judith Ripka brand, which was wholly owned by Xcel; this brand was sold to a third party as of April 27, 2026. Additionally, through October 1, 2025, we held a noncontrolling ownership interest in the Isaac Mizrahi brand.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Xcel is pioneering a modern consumer products sales strategy which includes the promotion and sale of products under its brands through interactive television, digital live-stream shopping, social commerce, brick-and-mortar retailers, and e-commerce channels to be everywhere its customers shop. The Company’s previously owned and current brands have generated more than $5 billion in retail sales via livestreaming in interactive television and digital channels alone and have over 20,000 hours of content production time in live-stream and social commerce. The Company’s brand portfolio reaches more than 46 million social media followers with broadcast reaching 200 million households.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Xcel currently operates in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 have a direct impact on us, but do impact us indirectly as our royalty revenues are typically based on the net sales and success of our licensees.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for sale through interactive television (e.g., QVC, HSN, etc.);</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live streaming, and traditional brick-and-mortar retail channels;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internet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(the “current quarter”) compared with the three months ended March 31, 2025 (the “prior year quarter”)</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Current quarter net revenue decreased by $0.19 million to $1.14 million from $1.33 million for the prior year quarter. This decrease was primarily driven by Qurate’s transition to a new apparel supplier for the C Wonder brand in December 2025, which negatively impacted Qurate sales for this brand and our associated licensing revenues during the current quarter.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Costs and Expenses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Direct operating costs and expenses decreased approximately $0.21 million, from $2.28 million in the prior year quarter to $2.07 million in the current quarter. This decrease was primarily attributable to cost reduction actions taken by management in 2025, which reduced the Company’s payroll and benefits costs. Other selling, general, and administrative expenses for the current quarter were essentially flat compared to the prior year quarter.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Costs and Expenses (Income)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reasonably consistent with the prior year, approximating $0.89 million in the current quarter and $0.90 million in the prior year quarter.</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current quarter, we recognized a $0.06 million impairment charge to write down the intangible assets related to the Judith Ripka brand to their estimated fair value less cost to sell. These assets were subsequently sold in April 2026.</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we recognized a $0.34 million loss related to our investment in IM Topco, comprised of (i) a $0.18 million equity method loss, (ii) a $0.40 million charge to adjust the carrying value of the investment in IM Topco to its estimated fair value as of March 31, 2025, and (iii) a $(0.24) million adjustment to the carrying value of a contingent contractual obligation related to IM Topco. As all remaining IM Topco equity interests were transferred to WHP on October 1, 2025, there were no earnings or losses from equity investments for the three months ended March 31,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and finance expense was approximately $0.59 million for the current quarter, compared with approximately $0.56 million for the prior year quarter. This increase was primarily attributable to the higher principal balance on outstanding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term loan debt in the current quarter as compared to the prior year quarter, partially offset by lower interest rates on outstanding term loan debt in the current quarter as compared to the prior year quarter.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estimated annual effective income tax rate for the current quarter and the prior year quarter was approximately -0.5% and -1.8% respectively, resulting in an income tax provision (benefit) of $0.01 million and $0.05 million, respectively.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Xcel Brands, Inc. Stockholders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had a net loss of $2.49 million for the current quarter, compared with a net loss of $2.80 million for the prior year quarter, due to the combination of the factors outlined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Diluted EPS, and Adjusted EBITDA</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a non-GAAP net loss of approximately $1.39 million, or $(0.24) per diluted share (“non-GAAP diluted EPS”), for the current quarter and a non-GAAP net loss of $1.37 million, or $(0.58) per diluted share, for the prior year quarter. Non-GAAP net income (loss) is a non-GAAP unaudited term, which we define as net income (loss) attributable to Xcel Brands, Inc. stockholders, exclusive of amortization of trademarks, income (loss) from equity investments, stock-based compensation and cost of licensee warrants, loss on early extinguishment of debt (if any), gains on sales of assets and investments (if any), asset impairment charges (if any), and income taxes (if any). Non-GAAP net income (loss) and non-GAAP diluted EPS measures do not include the tax effect of the aforementioned adjusting items, due to the nature of these items and the Company’s tax strategy.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had Adjusted EBITDA of approximately $(0.70) million for the current quarter, compared with approximately $(0.70) million for the prior year quarter. Adjusted EBITDA is a non-GAAP unaudited measure, which we define as net income (loss) attributable to Xcel Brands, Inc. stockholders before interest and finance expense (including loss on extinguishment of debt, if any), accretion of lease liability for exited leases, income taxes, other state and local franchise taxes, depreciation and amortization, income (loss) from equity investments, asset impairment charges (if any), stock-based compensation and cost of licensee warrants, gains on sales of assets and investments (if any), and costs associated with restructuring of operations.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uses non-GAAP net income (loss), non-GAAP diluted EPS, and Adjusted EBITDA as measures of operating performance to assist in comparing performance from period to period on a consistent basis and to identify business trends relating to the Company’s results of operations. Management believes non-GAAP net income (loss),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(loss), non-GAAP diluted EPS, and Adjusted EBITDA should not be considered in isolation or as alternatives to net income, earnings per share, or any other measure of financial performance calculated and presented in accordance with GAAP. Given that non-GAAP net income (loss), non-GAAP diluted EPS, and Adjusted EBITDA are financial measures not deemed to be in accordance with GAAP and are susceptible to varying calculations, our non-GAAP net income (loss), non-GAAP diluted EPS, and Adjusted EBITDA may not be comparable to similarly titled measures of other companies, including companies in our industry, because other companies may calculate non-GAAP net income (loss), non-GAAP diluted EPS, and Adjusted EBITDA in a different manner than we calculate these measures.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evaluating non-GAAP net income (loss), non-GAAP diluted EPS, and Adjusted EBITDA, you should be aware that in the future we may or may not incur expenses similar to some of the adjustments in this report. Our presentation of non-GAAP net income (loss), non-GAAP diluted EPS, and Adjusted EBITDA does not imply that our future results will be unaffected by these expenses or any other unusual or non-recurring items. When evaluating our performance, you should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consider non-GAAP net income (loss), non-GAAP diluted EPS, and Adjusted EBITDA alongside other financial performance measures, including our net income and other GAAP results, and not rely on any single financial measure.</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loss: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560" w:type="dxa"/>
            <w:vAlign w:val="bottom"/>
            <w:gridSpan w:val="2"/>
          </w:tcPr>
          <w:p>
            <w:pPr>
              <w:jc w:val="center"/>
              <w:ind w:right="2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investments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diluted loss per share (our most directly comparable financial measure presented in accordance with GAAP) to non-GAAP diluted EPS: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of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from equity investments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Stock-based compensation and cost of licensee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 impairment charges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provision (benefit)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1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91"/>
        </w:trPr>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(0.42)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r>
      <w:tr>
        <w:trPr>
          <w:trHeight w:val="232"/>
        </w:trPr>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5280" w:space="720"/>
            <w:col w:w="30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1"/>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EPS</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5,903,599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2,373,583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780" w:type="dxa"/>
            <w:vAlign w:val="bottom"/>
            <w:gridSpan w:val="2"/>
          </w:tcPr>
          <w:p>
            <w:pPr>
              <w:jc w:val="center"/>
              <w:ind w:right="5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lease liability for exited lease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investments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restructuring of operations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our unrestricted cash and cash equivalents were approximately $0.18 million and $1.15 million,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Subsequently, in April 2026, we sold the intangible assets of the Judith Ripka brand in exchange for $2.30 million of cash at closing, plus up to an additional $0.75 million of potential future contingent consideration.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cash at March 31, 2026 consisted of $1.08 million of cash deposited as collateral for a standby letter of credit associated with a real estate lease. Restricted cash at December 31, 2025 consisted of $0.74 million of cash deposited as collateral for a standby letter of credit associated with a real estate lease and $1.00 million of cash deposited in a bank account to satisfy a liquidity covenant in the Company’s term loan debt agreement.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principal capital requirements have generally been to fund working capital needs and acquire new brands. Our current “licensing plus” operating model is a working capital light business model, and generally does not require material capital expenditures. As of March 31, 2026, we have no significant commitments for future capital expenditures.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working capital (which we calculate in a non-GAAP manner as current assets less current liabilities, excluding the current portions of lease obligations, deferred revenue, and any contingent obligations payable in shares or via other non-cash means) surplus/(deficit) was approximately $(0.17) million and $(0.80) million as of March 31, 2026 and December 31, 2025, respectively. These working capital deficit amounts notably included the current portion of Term Loan A debt ($2.75 million as of March 31, 2026 and $3.25 million as of December 31, 2025), which was subsequently refinanced in April 2026 (see below for additional details related to this refinancing transaction).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that the Company will continue as a going concern. As of March 31, 2026 we have incurred recurring losses, a history of cash flows used in operating activities, and an accumulated deficit. While we have undertaken significant restructuring and cost reduction efforts, obtained additional funding through a combination of equity issuances and debt financing, and continue to explore strategic financing alternatives and operational efficiencies to improve liquidity, management has determined that there is nonetheless substantial doubt about the Company’s ability to meet its financial obligations as they become due within twelve months from the date these financial statements are issued.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April 2026, we refinanced a portion of our term loan debt, and also sold intangible assets related to one of our brands in exchange for cash. While these transactions have significantly improved our liquidity position, the proceeds received may still be insufficient to fully address our liquidity needs.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Management intends to continue exploring strategic financing alternatives and operational efficiencies to improve liquidity. The unaudited condensed consolidated financial statements do not include any adjustments that might result from the outcome of this uncertainty.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Commentary on the components of our cash flows for the current quarter as compared with the prior year quarter is set forth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approximately $0.88 million in the current quarter, compared with approximately $1.43 million in the prior year quarter.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current quarter net cash used in operating activities was primarily attributable to the combination of the net loss of $(2.49) million plus non-cash items of approximately $1.51 million and the net change in operating assets and liabilities of approximately $0.10 million. Non-cash items were primarily comprised of $0.89 million of depreciation and amortization expense, and $0.45 million of aggregate non-cash interest expenses. The net change in operating assets and liabilities was primarily driven by approximately $0.85 million of net increases in accounts payable, accrued expenses, accrued income taxes payable, and other current liabilities, and a decrease in accounts receivable of approximately $0.30 million, partially offset by an increase in prepaid expenses and other current and non-current assets of $(0.60) million, a decrease in deferred revenue of $(0.23) million and a decrease in lease-related assets and liabilities of $(0.21) million.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prior year quarter net cash used in operating activities was primarily attributable to the combination of the net loss of $(2.80) million plus non-cash items of approximately $1.45 million and the net change in operating assets and liabilities of approximately $(0.08) million. Non-cash items were comprised of approximately $0.90 million of depreciation and amortization expense, $0.34 million of losses related to our equity investments, $0.11 million of stock-based compensation and cost of licensee warrants, and $0.10 million of amortization of deferred finance costs. The net change in operating assets and liabilities was primarily comprised of a decrease in deferred revenue of $(0.21) million and a decrease in lease-related assets and liabilities of $(0.08) million, partially offset by a decrease in accounts receivable of approximately $0.16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was no net cash used in investing activities in the current quarter. Net cash used in investing activities in the prior year quarter was comprised of purchases of equipment totaling approximately $0.01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 the current quarter was primarily attributable to (i) $0.50 million of cash used to make a prepayment on the Term Loan A in advance of the April 2026 refinancing of our term loan debt (as described further below) and (ii) $0.21 million of fees and expenses (consisting of legal and accounting fees) associated with our equity line facility (as described further below).</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prior year quarter was primarily attributable to $2.05 million of proceeds received from the delayed draw portion of the Company’s December 2024 term loan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Line Facility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21, 2026, the Company entered into a common stock purchase agreement with White Lion Capital, LLC (“White Lion”), pursuant to which White Lion has committed to purchase up to $15.0 million of the Company’s common stock. Under the terms and conditions of this agreement, the Company has the right, but not the obligation, to sell to White Lion, and White Lion is obligated to purchase, up to $15.0 million of the Company’s common stock. The actual amount and timing of any sales of Common Stock will be determined by the Company at its discretion.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aggregate number of shares that the Company can sell White Lion under this agreement is limited to and may not exceed 1,178,173 shares (subject to adjustment for any reorganization, recapitalization, non-cash dividend, stock split, reverse stock split, or other similar transaction), which is equal to 19.99% of the total shares of the Company’s common stock outstanding immediately prior to the execution of the agreement, unless (i.) the Company obtains stockholder approval to issue additional shares in excess of this amount, or (ii.) the average price paid for all shares of Common Stock issued under the agreement equals or exceeds certain levels as specified in the agreement.</w:t>
      </w:r>
    </w:p>
    <w:p>
      <w:pPr>
        <w:spacing w:after="0" w:line="187"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In consideration for White Lion’s execution and entry into such arrangement, the Company agreed to issue White Lion $37,500 worth of common stock, with the number of shares issued determined based on the closing price of the Company’s stock on the business day immediately preceding the day on which the related registration statement is declared effective by the SEC; on May 6, 2026, the Company issued 16,094 shares of common stock to White Lion in full satisfaction of this condition. Additionally, pursuant to the terms of an advisory agreement between the Company and Maxim Group LLC,</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agreed to pay Maxim Group LLC a cash fee equal to 4.0% of the gross proceeds received from any sales of securities to White Lion under this arrangement.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no shares have been issued under the equity line facility arrangement.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 and Refinancings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and certain of its subsidiaries entered into a loan and security agreement with FEAC Agent, LLC (“FEAC”),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subsequently made in March 2025. A portion of the proceeds from the Delayed Draw Term Loan were deposited in a bank account to satisfy a liquidity covenant in the loan agreement.</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April 21, 2025, the Company and its lenders and FEAC Agent, LLC entered into an amendment of the December 12, 2024 loan and security agreement, which provided for $1.5 million repayment of the $3.95 million Term Loan A and an additional Term Loan B in the amount of $5.12 million. The term loans outstanding after giving effect to the April 21, 2025 amendment and the application of the proceeds of the additional Term Loan B are as follows: (1) Term Loan A in the amount of $4.50 million, and (2) Term Loan B in the amount of $9.12 million. The proceeds from the additional Term Loan B were used to repay a portion of Term Loan A, as well as to pay fees, costs, and expenses incurred in connection with entering into the April 21, 2025 amendment, and the balance will be used for working capital purposes.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April 21, 2025 amendment and refinancing transaction, UTG Capital, Inc., a Delaware corporation (“UTG”), purchased a 100% undivided, participation interest in Term Loan B for a purchase price of $9.12 million. Also in connection with this refinancing transaction, IPX’s participation in Term Loan B was repaid and IPX purchased a $0.50 million undivided, last-out, subordinated participation interest in Term Loan A.</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15, 2025, the Company repaid $0.50 million of the outstanding principal amount of Term Loan A.</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7, 2025, the Company and certain of its subsidiaries and its lenders and FEAC Agent, LLC entered into a further amendment of the December 12, 2024 loan and security agreement, pursuant to which the (i) the agents and lenders (as defined in the loan and security agreement) consented to the transfer and the release of the termination of the pledge agreement and the release of the agents’ liens on the equity interests of IM Topco, LLC; (ii) the liquid asset covenant requirement was reduced to $1.00 million; and (iii) Xcel made a prepayment of $0.25 million against the outstanding principal amount of Term Loan A, of which $0.14 million was paid from the blocked account.</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November 18, 2025, the Company and certain of its subsidiaries and its lenders and FEAC Agent, LLC entered into the fourth amendment of the December 12,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 million on Term Loan A by February 20, 2026, along with the payment of an amendment fee of $0.45 million (of which $0.125 million was payable on December 5, 2025 and the remaining $0.325 million would be due only if the $3.25 million principal amount of Term Loan A was not repaid on or prior to February 20, 2026); and (iii) the payment of the remaining principal balance on Term Loan A of $0.5 million was changed to be due on December 31, 2026 which shall be held by a related party. In addition, upon the repayment of the $3.25 million of Term Loan A, the Company would have revised financial covenants.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February 20, 2026 and March 20, 2026, the Company entered into the fifth and sixth amendments to the loan and security agreement with the term loan debt lenders and FEAC Agent, LLC. Pursuant to such amendments, (i) the Company prepaid $0.50 million on Term Loan A (paid from the blocked account, as defined in the loan and security agreement)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connection with the fifth amendment and irrevocably authorized FAEC Agent, LLC, as the administrative agent to transfer up to $0.50 million (the “Sixth Amendment Cash Collateral”) from the blocked account to an account maintained by the Administrative Agent to be held as cash collateral securing the Obligations (as defined in the loan and security agreement);</w:t>
      </w:r>
    </w:p>
    <w:p>
      <w:pPr>
        <w:spacing w:after="0" w:line="1" w:lineRule="exact"/>
        <w:rPr>
          <w:sz w:val="20"/>
          <w:szCs w:val="20"/>
          <w:color w:val="auto"/>
        </w:rPr>
      </w:pPr>
    </w:p>
    <w:p>
      <w:pPr>
        <w:jc w:val="both"/>
        <w:ind w:left="60" w:right="59" w:hanging="10"/>
        <w:spacing w:after="0" w:line="252" w:lineRule="auto"/>
        <w:tabs>
          <w:tab w:leader="none" w:pos="3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irrevocably authorized the administrative agent to: (a) apply all or any portion of the Sixth Amendment Cash Collateral to repay the Term Loan A, or (b) return all or any portion of the Sixth Amendment Cash Collateral to the Company, in each case at the lenders’ sole discretion; (iii) the liquid asset covenant requirement was reduced to: (a) at all times prior to the repayment in full of the First Out Obligations (as defined in the loan and security agreement), $0.50 million minus that amount of Sixth Amendment Cash Collateral used to repay Term Loan A, and (b) at all times after the repayment in full of the First Out Obligations, $0; and (iv) the transaction closing date was extended to March 24, 2026.</w:t>
      </w:r>
    </w:p>
    <w:p>
      <w:pPr>
        <w:spacing w:after="0" w:line="190"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On April 13, 2026, the Company entered into the seventh amendment to the loan and security agreement with the term loan debt lenders and FEAC Agent, LLC, which provided for, among other things: the ability of the Company to consummate the issuance of certain senior secured notes (as described below); the ability for IPX to convert its $0.50 million Term Loan A to common shares of the Company at the price per share equal to $1.435, subject to adjustment; modifications to certain payment terms; modifications to certain financial covenants; modifications to certain financial reporting requirements; and the amendment of the FEAC Agent, LLC’s role to include certain limitations. In connection with the seventh amendment, FEAC Agent LLC’s affiliated lenders entered into agreements whereby a $0.50 million portion of Term Loan A was sold and assigned to IPX, and the entirety of Term Loan B was sold and assigned to UTG. Additionally, the Company was relieved of its obligation to pay the remaining $325,000 amendment fee as specified in the fourth amendment.</w:t>
      </w:r>
    </w:p>
    <w:p>
      <w:pPr>
        <w:spacing w:after="0" w:line="17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Also on April 13, 2026, the Company entered into certain agreements with Smithline Family Trust II (“SFT”), Quick Capital, LLC (“Quick”), and IPX (collectively, the “Purchasers”), pursuant to which the Company issued and sold to the Purchasers 12.5% Senior Secured Notes due April 13, 2027 in the original principal amount of $3,005,780 (the “Secured Notes”) and 100,579 shares of the Company’s common stock. The Secured Notes were issued with an original issue discount, such that the cash proceeds received by the Company were $2,600,000. The Company is required to make $100,000 monthly payments on the Secured Notes commencing October 13, 2026, with the balance due at maturity. The Company’s obligations under the Secured Notes are guaranteed by certain direct and indirect subsidiaries of the Company pursuant to a subsidiary guarantee, and are secured by the assets of the Company and the subsidiary guarantors pursuant to a security agreement.</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after the occurrence of an event of default under the Secured Notes and for so long as such event of default is continuing, the Secured Notes are convertible into shares of common stock of the Company (i) initially at a fixed conversion price equal to $1.165 per share and (ii) after May 17, 2026, at a price equal to the lesser of (a) 85% multiplied by the lowest volume weighted average price of the common stock during the 10-trading day period prior to conversion and (b) $1.165. In addition, to the extent that Company is listed on the Nasdaq Capital Market, the aggregate number of shares of common stock issuable to the Purchasers and any subsequent holder of the Secured Note shall not exceed 19.9% of the total number of shares of common stock outstanding or of the voting power of the common stock as of April 13, 2026 less the shares issued pursuant to the securities purchase agreement unless the Company has obtained stockholder approval in compliance with Nasdaq Listing Rule 5635(d) to authorize the issuance of shares of common stock in connection with the conversion or exchange of all Secured Notes.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granted the Purchasers certain piggyback registration rights with respect to the shares of common stock issuable upon conversion of the Secured Notes.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part of the transactions described above, IPX purchased $57,803 original principal amount of the Secured Notes and purchased 1,742 shares of common stock, on the same terms as the other Purchasers, except that the shares of common stock purchased by IPX were priced at current market value.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net proceeds received from the April 13, 2026 issuance of the Secured Notes and shares as described above were used to repay $2.25 million of the Term Loan A debt, and an additional $0.50 million of the Term Loan A debt was paid with the Company’s restricted cash. As such, following the funding and completion of the transactions described above, the Company’s debt obligations will be as follows: (1) Senior Secured Notes in the principal amount of $2.6 million, with payments commencing October 13, 2026 and a maturity date of April 13, 2027, (2) Term Loan A in the principal amount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$0.5 million, payable on the maturity date of September 20, 2027, and (3) Term Loan B in the amount of $9.9 million, payable on the maturity date of December 12, 2028.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Halston brand, C Wonder brand, and TowerHill by Christie Brinkley brand, which together currently represent a majority of our revenues, have a core business in fashion apparel and accessories, as will the Off/Duty by Coco Rocha brand when it launches later this year. Our other brands – including the Longaberger by Shannon Doherty brand, which focuses on home good products; GemmaMade by Gemma Stafford and Mesa Mia by Jenny Martinez, which focus on cooking and baking related products; and Trust.Respect.Love by Cesar Millan brand, which focuses on pet-related products – help to diversify our industry focus while at the same time complement our business operations and relationships.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While the 2022 sale of a majority interest in the Isaac Mizrahi brand and the 2024 divestiture of the LOGO by Lori Goldstein brand resulted in significant decreases in our licensing revenues, we have taken and continue to take actions to replace those revenues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The successful launch of the TowerHill by Christie Brinkley brand in 2024 is an example of this. We recently launched two new cobranded collaborations in April 2026, and plan to launch two more before the end of the year.</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during 2023 and 2024, we restructured our business by shifting from a wholesale/licensing hybrid model to a “licensing plus” business model, divesting certain brands, and undertaking various cost-cutting measures to more efficiently operate our business and reduce and better manage our exposure to operating risks. During 2025, we continued to implement additional measures to further optimize our cost structure. As a result, we have reduced our direct operating expenses to an expected run rate of less than $10 million per annum, which represents approximately $21 million of cost savings on an annualized basis compared to our cost structure in 2022.</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Nonetheless, we continue to face a number of headwinds in the current macroeconomic environment. Poor economic and market conditions, including the cumulative impacts of inflation and rising consumer debt levels, along with the impact of tariffs on goods imported into the U.S., may negatively impact consumer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these conditions and/or a potential recession, our business, financial condition, and results of operations could be adversely affected.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attract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and other factors noted in Item 1A of our most recent Annual Report on Form 10-K could adversely affect our licensees’ ability to meet and/or exceed their contractual commitments to us and thereby adversely affect our future operating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2025, filed with the SEC on April 15, 2026, for a discussion of our critical accounting policies and estimates. During the three months ended March 31, 2026, there were no material changes to our critical accounting policies or estimates.</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2026, the end of the period covered by this report.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Based on, and as of the date of such evaluation, the Chief Executive Officer and the Chief Financial Officer have concluded that our disclosure controls and procedures were effective as of March 31, 2026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during the fiscal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2025 are not the only risks we face. Additional risks and uncertainties not currently known to us or that we currently deem to be immaterial also may materially adversely affect our financial condition and/or operating results.</w:t>
      </w:r>
    </w:p>
    <w:p>
      <w:pPr>
        <w:spacing w:after="0" w:line="17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stock purchased and retired by the Company during the three months ended March 31, 2026.</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3"/>
                <w:szCs w:val="13"/>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Number of Shares</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Common</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 May Yet</w:t>
            </w:r>
          </w:p>
        </w:tc>
        <w:tc>
          <w:tcPr>
            <w:tcW w:w="0" w:type="dxa"/>
            <w:vAlign w:val="bottom"/>
          </w:tcPr>
          <w:p>
            <w:pPr>
              <w:spacing w:after="0"/>
              <w:rPr>
                <w:sz w:val="1"/>
                <w:szCs w:val="1"/>
                <w:color w:val="auto"/>
              </w:rPr>
            </w:pPr>
          </w:p>
        </w:tc>
      </w:tr>
      <w:tr>
        <w:trPr>
          <w:trHeight w:val="148"/>
        </w:trPr>
        <w:tc>
          <w:tcPr>
            <w:tcW w:w="324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3"/>
        </w:trPr>
        <w:tc>
          <w:tcPr>
            <w:tcW w:w="32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or Program</w:t>
            </w:r>
          </w:p>
        </w:tc>
        <w:tc>
          <w:tcPr>
            <w:tcW w:w="1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 or Program</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to January 30, 2025 (i)</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to February 28, 2025 (i)</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to March 31, 2025 (i)</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15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hanging="10"/>
        <w:spacing w:after="0" w:line="266" w:lineRule="auto"/>
        <w:tabs>
          <w:tab w:leader="none" w:pos="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executives in connection with the income tax withholding obligations on behalf of such executives from the receipt of stock awards. The 2011 Plan and 2021 Plan allow for award holders to surrender vested shares to cover withholding tax liabilities.</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31.1 Rule 13a-14(a)/15d-14(a) Certification (CEO)</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31.2 Rule 13a-14(a)/15d-14(a) Certification (CFO)</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32.1 Section 1350 Certification (CEO)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32.2 Section 1350 Certification (CFO)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8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Robert W. D’Loren</w:t>
            </w:r>
          </w:p>
        </w:tc>
      </w:tr>
      <w:tr>
        <w:trPr>
          <w:trHeight w:val="191"/>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020" w:type="dxa"/>
            <w:vAlign w:val="bottom"/>
          </w:tcPr>
          <w:p>
            <w:pPr>
              <w:spacing w:after="0"/>
              <w:rPr>
                <w:sz w:val="24"/>
                <w:szCs w:val="24"/>
                <w:color w:val="auto"/>
              </w:rPr>
            </w:pPr>
          </w:p>
        </w:tc>
        <w:tc>
          <w:tcPr>
            <w:tcW w:w="58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James F. Haran</w:t>
            </w:r>
          </w:p>
        </w:tc>
      </w:tr>
      <w:tr>
        <w:trPr>
          <w:trHeight w:val="191"/>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James F. Haran</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Xcel Brands, Inc. (the “Company”).</w:t>
      </w:r>
    </w:p>
    <w:p>
      <w:pPr>
        <w:spacing w:after="0" w:line="184"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80" w:hanging="248"/>
        <w:spacing w:after="0" w:line="282" w:lineRule="auto"/>
        <w:tabs>
          <w:tab w:leader="none" w:pos="5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7"/>
          <w:szCs w:val="17"/>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2571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Haran, certify that:</w:t>
      </w:r>
    </w:p>
    <w:p>
      <w:pPr>
        <w:spacing w:after="0" w:line="158"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Xcel Brands, Inc. (the “Company”).</w:t>
      </w:r>
    </w:p>
    <w:p>
      <w:pPr>
        <w:spacing w:after="0" w:line="184"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2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80" w:hanging="248"/>
        <w:spacing w:after="0" w:line="282" w:lineRule="auto"/>
        <w:tabs>
          <w:tab w:leader="none" w:pos="53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  /s/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26035</wp:posOffset>
            </wp:positionV>
            <wp:extent cx="25114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2026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right="260" w:hanging="252"/>
        <w:spacing w:after="0" w:line="282"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340" w:val="left"/>
          <w:tab w:leader="none" w:pos="5860" w:val="left"/>
        </w:tabs>
        <w:rPr>
          <w:sz w:val="20"/>
          <w:szCs w:val="20"/>
          <w:color w:val="auto"/>
        </w:rPr>
      </w:pP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24345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2026 as filed with the Securities and Exchange Commission on the date hereof (the “Report”), I, James F.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right="260" w:hanging="252"/>
        <w:spacing w:after="0" w:line="282"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520" w:val="left"/>
          <w:tab w:leader="none" w:pos="3960" w:val="left"/>
        </w:tabs>
        <w:rPr>
          <w:sz w:val="20"/>
          <w:szCs w:val="20"/>
          <w:color w:val="auto"/>
        </w:rPr>
      </w:pP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26035</wp:posOffset>
            </wp:positionV>
            <wp:extent cx="2571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emdash "/>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lowerRoman"/>
      <w:start w:val="2"/>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1)"/>
      <w:numFmt w:val="lowerRoman"/>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2026-05-14T15:30:11Z</dcterms:created>
  <dcterms:modified xsi:type="dcterms:W3CDTF">2026-05-14T15:30:11Z</dcterms:modified>
</cp:coreProperties>
</file>