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4640" w:right="2180" w:hanging="2247"/>
        <w:spacing w:after="0" w:line="286" w:lineRule="auto"/>
        <w:tabs>
          <w:tab w:leader="none" w:pos="267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UNDER SECTION 13 OR 15 (D) OF THE SECURITIES EXCHANGE ACT OF 1934</w:t>
      </w:r>
    </w:p>
    <w:p>
      <w:pPr>
        <w:spacing w:after="0" w:line="15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2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COMMISSION FILE NUMBER: 0-21419</w:t>
      </w:r>
    </w:p>
    <w:p>
      <w:pPr>
        <w:spacing w:after="0" w:line="2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240" w:top="441" w:right="439" w:bottom="1440" w:gutter="0" w:footer="0" w:header="0"/>
        </w:sectPr>
      </w:pPr>
    </w:p>
    <w:p>
      <w:pPr>
        <w:spacing w:after="0" w:line="20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76-0307819</w:t>
      </w:r>
    </w:p>
    <w:p>
      <w:pPr>
        <w:spacing w:after="0" w:line="2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720" w:space="720"/>
            <w:col w:w="3780"/>
          </w:cols>
          <w:pgMar w:left="240" w:top="441" w:right="439" w:bottom="1440" w:gutter="0" w:footer="0" w:header="0"/>
          <w:type w:val="continuous"/>
        </w:sectPr>
      </w:pPr>
    </w:p>
    <w:p>
      <w:pPr>
        <w:spacing w:after="0" w:line="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475 Tenth Ave, 4th Floor</w:t>
      </w:r>
    </w:p>
    <w:p>
      <w:pPr>
        <w:spacing w:after="0" w:line="2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0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41" w:right="439" w:bottom="1440" w:gutter="0" w:footer="0" w:header="0"/>
          <w:type w:val="continuous"/>
        </w:sectPr>
      </w:pPr>
    </w:p>
    <w:p>
      <w:pPr>
        <w:spacing w:after="0" w:line="19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41" w:right="4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 reporting company x</w:t>
      </w:r>
    </w:p>
    <w:p>
      <w:pPr>
        <w:spacing w:after="0" w:line="200" w:lineRule="exact"/>
        <w:rPr>
          <w:sz w:val="24"/>
          <w:szCs w:val="24"/>
          <w:color w:val="auto"/>
        </w:rPr>
      </w:pPr>
    </w:p>
    <w:p>
      <w:pPr>
        <w:sectPr>
          <w:pgSz w:w="11900" w:h="16838" w:orient="portrait"/>
          <w:cols w:equalWidth="0" w:num="2">
            <w:col w:w="7280" w:space="720"/>
            <w:col w:w="3220"/>
          </w:cols>
          <w:pgMar w:left="240" w:top="441" w:right="439" w:bottom="1440" w:gutter="0" w:footer="0" w:header="0"/>
          <w:type w:val="continuous"/>
        </w:sectPr>
      </w:pPr>
    </w:p>
    <w:p>
      <w:pPr>
        <w:spacing w:after="0" w:line="8" w:lineRule="exact"/>
        <w:rPr>
          <w:sz w:val="24"/>
          <w:szCs w:val="24"/>
          <w:color w:val="auto"/>
        </w:r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31, 2013, 7,339,979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41"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 I.</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 II.</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Exhibits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Signatures</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See 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gridSpan w:val="2"/>
            <w:shd w:val="clear" w:color="auto" w:fill="CCFFC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FFCC"/>
          </w:tcPr>
          <w:p>
            <w:pPr>
              <w:spacing w:after="0"/>
              <w:rPr>
                <w:sz w:val="15"/>
                <w:szCs w:val="15"/>
                <w:color w:val="auto"/>
              </w:rPr>
            </w:pPr>
          </w:p>
        </w:tc>
        <w:tc>
          <w:tcPr>
            <w:tcW w:w="15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69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7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FF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3,730,000</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8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7,351,000</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Leasehold improvements, furniture and equipment</w:t>
            </w: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489,000</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8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403,000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ectPr>
          <w:pgSz w:w="11900" w:h="16838" w:orient="portrait"/>
          <w:cols w:equalWidth="0" w:num="1">
            <w:col w:w="11420"/>
          </w:cols>
          <w:pgMar w:left="240" w:top="873" w:right="239" w:bottom="1440" w:gutter="0" w:footer="0" w:header="0"/>
        </w:sectPr>
      </w:pP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Trademarks and other intangibles, net</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finance costs,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45,704,000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45,835,000</w:t>
            </w:r>
          </w:p>
        </w:tc>
      </w:tr>
      <w:tr>
        <w:trPr>
          <w:trHeight w:val="216"/>
        </w:trPr>
        <w:tc>
          <w:tcPr>
            <w:tcW w:w="5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12,371,000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12,371,000</w:t>
            </w:r>
          </w:p>
        </w:tc>
      </w:tr>
      <w:tr>
        <w:trPr>
          <w:trHeight w:val="230"/>
        </w:trPr>
        <w:tc>
          <w:tcPr>
            <w:tcW w:w="5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420,000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34"/>
        </w:trPr>
        <w:tc>
          <w:tcPr>
            <w:tcW w:w="5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323,000</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r>
      <w:tr>
        <w:trPr>
          <w:trHeight w:val="210"/>
        </w:trPr>
        <w:tc>
          <w:tcPr>
            <w:tcW w:w="5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58,818,000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59,005,000</w:t>
            </w:r>
          </w:p>
        </w:tc>
      </w:tr>
      <w:tr>
        <w:trPr>
          <w:trHeight w:val="223"/>
        </w:trPr>
        <w:tc>
          <w:tcPr>
            <w:tcW w:w="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67,247,000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67,804,000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-745490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-471170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-179705</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720" w:space="720"/>
            <w:col w:w="398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760" w:type="dxa"/>
            <w:vAlign w:val="bottom"/>
            <w:tcBorders>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4660" w:type="dxa"/>
            <w:vAlign w:val="bottom"/>
            <w:tcBorders>
              <w:bottom w:val="single" w:sz="8" w:color="CCFFCC"/>
            </w:tcBorders>
            <w:shd w:val="clear" w:color="auto" w:fill="CCFFCC"/>
          </w:tcPr>
          <w:p>
            <w:pPr>
              <w:spacing w:after="0"/>
              <w:rPr>
                <w:sz w:val="19"/>
                <w:szCs w:val="19"/>
                <w:color w:val="auto"/>
              </w:rPr>
            </w:pPr>
          </w:p>
        </w:tc>
        <w:tc>
          <w:tcPr>
            <w:tcW w:w="50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600" w:type="dxa"/>
            <w:vAlign w:val="bottom"/>
            <w:tcBorders>
              <w:bottom w:val="single" w:sz="8" w:color="CCFFCC"/>
            </w:tcBorders>
            <w:shd w:val="clear" w:color="auto" w:fill="CCFFCC"/>
          </w:tcPr>
          <w:p>
            <w:pPr>
              <w:spacing w:after="0"/>
              <w:rPr>
                <w:sz w:val="19"/>
                <w:szCs w:val="19"/>
                <w:color w:val="auto"/>
              </w:rPr>
            </w:pPr>
          </w:p>
        </w:tc>
        <w:tc>
          <w:tcPr>
            <w:tcW w:w="134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shd w:val="clear" w:color="auto" w:fill="CCFFC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928,000</w:t>
            </w:r>
          </w:p>
        </w:tc>
        <w:tc>
          <w:tcPr>
            <w:tcW w:w="600" w:type="dxa"/>
            <w:vAlign w:val="bottom"/>
            <w:shd w:val="clear" w:color="auto" w:fill="CCFFC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1,421,000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revenue, net of long-term portion</w:t>
            </w:r>
          </w:p>
        </w:tc>
        <w:tc>
          <w:tcPr>
            <w:tcW w:w="5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205,000</w:t>
            </w:r>
          </w:p>
        </w:tc>
        <w:tc>
          <w:tcPr>
            <w:tcW w:w="6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210,000</w:t>
            </w:r>
          </w:p>
        </w:tc>
        <w:tc>
          <w:tcPr>
            <w:tcW w:w="6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144,000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5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1,519,000</w:t>
            </w:r>
          </w:p>
        </w:tc>
        <w:tc>
          <w:tcPr>
            <w:tcW w:w="6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Borders>
              <w:top w:val="single" w:sz="8" w:color="auto"/>
              <w:bottom w:val="single" w:sz="8" w:color="auto"/>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2,862,000</w:t>
            </w:r>
          </w:p>
        </w:tc>
        <w:tc>
          <w:tcPr>
            <w:tcW w:w="220" w:type="dxa"/>
            <w:vAlign w:val="bottom"/>
            <w:tcBorders>
              <w:top w:val="single" w:sz="8" w:color="CCFFCC"/>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3,136,000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Long-term liabilities, less current portion</w:t>
            </w:r>
          </w:p>
        </w:tc>
        <w:tc>
          <w:tcPr>
            <w:tcW w:w="5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28,748,000</w:t>
            </w:r>
          </w:p>
        </w:tc>
        <w:tc>
          <w:tcPr>
            <w:tcW w:w="6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29,046,000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10,127,000</w:t>
            </w:r>
          </w:p>
        </w:tc>
        <w:tc>
          <w:tcPr>
            <w:tcW w:w="6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Deferred revenue, net of short-term portion</w:t>
            </w:r>
          </w:p>
        </w:tc>
        <w:tc>
          <w:tcPr>
            <w:tcW w:w="5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467,000</w:t>
            </w:r>
          </w:p>
        </w:tc>
        <w:tc>
          <w:tcPr>
            <w:tcW w:w="6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5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39,342,000</w:t>
            </w:r>
          </w:p>
        </w:tc>
        <w:tc>
          <w:tcPr>
            <w:tcW w:w="220" w:type="dxa"/>
            <w:vAlign w:val="bottom"/>
            <w:tcBorders>
              <w:bottom w:val="single" w:sz="8" w:color="CCFFC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39,703,000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42,204,000</w:t>
            </w:r>
          </w:p>
        </w:tc>
        <w:tc>
          <w:tcPr>
            <w:tcW w:w="220" w:type="dxa"/>
            <w:vAlign w:val="bottom"/>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42,839,000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5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gridSpan w:val="2"/>
            <w:shd w:val="clear" w:color="auto" w:fill="CCFFC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 shares authorized, 7,339,979 issued and outstanding</w:t>
            </w:r>
          </w:p>
        </w:tc>
        <w:tc>
          <w:tcPr>
            <w:tcW w:w="5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at March 31, 2013 and December 31, 2012.</w:t>
            </w:r>
          </w:p>
        </w:tc>
        <w:tc>
          <w:tcPr>
            <w:tcW w:w="50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6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5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22,031,000</w:t>
            </w:r>
          </w:p>
        </w:tc>
        <w:tc>
          <w:tcPr>
            <w:tcW w:w="6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21,966,000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5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3,005,000</w:t>
            </w:r>
          </w:p>
        </w:tc>
        <w:tc>
          <w:tcPr>
            <w:tcW w:w="6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2,992,000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FFCC"/>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25,043,000</w:t>
            </w:r>
          </w:p>
        </w:tc>
        <w:tc>
          <w:tcPr>
            <w:tcW w:w="220" w:type="dxa"/>
            <w:vAlign w:val="bottom"/>
            <w:tcBorders>
              <w:bottom w:val="single" w:sz="8" w:color="CCFFC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24,965,000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67,247,000</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67,804,000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8"/>
        </w:trPr>
        <w:tc>
          <w:tcPr>
            <w:tcW w:w="76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7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0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2,972,000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2,628,000</w:t>
            </w:r>
          </w:p>
        </w:tc>
        <w:tc>
          <w:tcPr>
            <w:tcW w:w="100" w:type="dxa"/>
            <w:vAlign w:val="bottom"/>
            <w:shd w:val="clear" w:color="auto" w:fill="CCFFCC"/>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Design and service fee income</w:t>
            </w:r>
          </w:p>
        </w:tc>
        <w:tc>
          <w:tcPr>
            <w:tcW w:w="20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286,000</w:t>
            </w:r>
          </w:p>
        </w:tc>
      </w:tr>
      <w:tr>
        <w:trPr>
          <w:trHeight w:val="210"/>
        </w:trPr>
        <w:tc>
          <w:tcPr>
            <w:tcW w:w="766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3,257,000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2,914,000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licensing costs</w:t>
            </w:r>
          </w:p>
        </w:tc>
        <w:tc>
          <w:tcPr>
            <w:tcW w:w="20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34,000</w:t>
            </w:r>
          </w:p>
        </w:tc>
      </w:tr>
      <w:tr>
        <w:trPr>
          <w:trHeight w:val="210"/>
        </w:trPr>
        <w:tc>
          <w:tcPr>
            <w:tcW w:w="766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licensing, design and service fee revenue</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3,188,000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2,880,000</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Salaries, benefits and employment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design and marketing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general and administrative expenses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finance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 term loan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interest and finance charges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interest and finance expense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1,565,000</w:t>
            </w: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1,226,000</w:t>
            </w:r>
          </w:p>
        </w:tc>
        <w:tc>
          <w:tcPr>
            <w:tcW w:w="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198,000</w:t>
            </w: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604,000</w:t>
            </w: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6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60" w:type="dxa"/>
            <w:vAlign w:val="bottom"/>
          </w:tcPr>
          <w:p>
            <w:pPr>
              <w:spacing w:after="0"/>
              <w:rPr>
                <w:sz w:val="19"/>
                <w:szCs w:val="19"/>
                <w:color w:val="auto"/>
              </w:rPr>
            </w:pPr>
          </w:p>
        </w:tc>
      </w:tr>
      <w:tr>
        <w:trPr>
          <w:trHeight w:val="234"/>
        </w:trPr>
        <w:tc>
          <w:tcPr>
            <w:tcW w:w="5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60" w:type="dxa"/>
            <w:vAlign w:val="bottom"/>
          </w:tcPr>
          <w:p>
            <w:pPr>
              <w:spacing w:after="0"/>
              <w:rPr>
                <w:sz w:val="20"/>
                <w:szCs w:val="20"/>
                <w:color w:val="auto"/>
              </w:rPr>
            </w:pPr>
          </w:p>
        </w:tc>
      </w:tr>
      <w:tr>
        <w:trPr>
          <w:trHeight w:val="210"/>
        </w:trPr>
        <w:tc>
          <w:tcPr>
            <w:tcW w:w="5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2,649,000</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2,192,000</w:t>
            </w:r>
          </w:p>
        </w:tc>
        <w:tc>
          <w:tcPr>
            <w:tcW w:w="60" w:type="dxa"/>
            <w:vAlign w:val="bottom"/>
          </w:tcPr>
          <w:p>
            <w:pPr>
              <w:spacing w:after="0"/>
              <w:rPr>
                <w:sz w:val="18"/>
                <w:szCs w:val="18"/>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539,000</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688,000</w:t>
            </w:r>
          </w:p>
        </w:tc>
        <w:tc>
          <w:tcPr>
            <w:tcW w:w="60" w:type="dxa"/>
            <w:vAlign w:val="bottom"/>
          </w:tcPr>
          <w:p>
            <w:pPr>
              <w:spacing w:after="0"/>
              <w:rPr>
                <w:sz w:val="24"/>
                <w:szCs w:val="24"/>
                <w:color w:val="auto"/>
              </w:rPr>
            </w:pPr>
          </w:p>
        </w:tc>
      </w:tr>
      <w:tr>
        <w:trPr>
          <w:trHeight w:val="637"/>
        </w:trPr>
        <w:tc>
          <w:tcPr>
            <w:tcW w:w="5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276,000</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6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242,000</w:t>
            </w: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60" w:type="dxa"/>
            <w:vAlign w:val="bottom"/>
          </w:tcPr>
          <w:p>
            <w:pPr>
              <w:spacing w:after="0"/>
              <w:rPr>
                <w:sz w:val="20"/>
                <w:szCs w:val="20"/>
                <w:color w:val="auto"/>
              </w:rPr>
            </w:pPr>
          </w:p>
        </w:tc>
      </w:tr>
      <w:tr>
        <w:trPr>
          <w:trHeight w:val="210"/>
        </w:trPr>
        <w:tc>
          <w:tcPr>
            <w:tcW w:w="5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518,000</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60" w:type="dxa"/>
            <w:vAlign w:val="bottom"/>
          </w:tcPr>
          <w:p>
            <w:pPr>
              <w:spacing w:after="0"/>
              <w:rPr>
                <w:sz w:val="18"/>
                <w:szCs w:val="18"/>
                <w:color w:val="auto"/>
              </w:rPr>
            </w:pPr>
          </w:p>
        </w:tc>
      </w:tr>
      <w:tr>
        <w:trPr>
          <w:trHeight w:val="426"/>
        </w:trPr>
        <w:tc>
          <w:tcPr>
            <w:tcW w:w="5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60" w:type="dxa"/>
            <w:vAlign w:val="bottom"/>
          </w:tcPr>
          <w:p>
            <w:pPr>
              <w:spacing w:after="0"/>
              <w:rPr>
                <w:sz w:val="24"/>
                <w:szCs w:val="24"/>
                <w:color w:val="auto"/>
              </w:rPr>
            </w:pPr>
          </w:p>
        </w:tc>
      </w:tr>
      <w:tr>
        <w:trPr>
          <w:trHeight w:val="446"/>
        </w:trPr>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453"/>
        </w:trPr>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60" w:type="dxa"/>
            <w:vAlign w:val="bottom"/>
          </w:tcPr>
          <w:p>
            <w:pPr>
              <w:spacing w:after="0"/>
              <w:rPr>
                <w:sz w:val="24"/>
                <w:szCs w:val="24"/>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-2872105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-2597785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-2323465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-2040255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-1748790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-1457325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-1183005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-891540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-608330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-16510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13" w:lineRule="exact"/>
        <w:rPr>
          <w:sz w:val="20"/>
          <w:szCs w:val="20"/>
          <w:color w:val="auto"/>
        </w:rPr>
      </w:pPr>
    </w:p>
    <w:p>
      <w:pPr>
        <w:sectPr>
          <w:pgSz w:w="11900" w:h="16838" w:orient="portrait"/>
          <w:cols w:equalWidth="0" w:num="2">
            <w:col w:w="6940" w:space="720"/>
            <w:col w:w="3760"/>
          </w:cols>
          <w:pgMar w:left="240" w:top="873"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FFC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shd w:val="clear" w:color="auto" w:fill="CCFFCC"/>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FFCC"/>
              <w:bottom w:val="single" w:sz="8" w:color="CCFFC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120" w:type="dxa"/>
            <w:vAlign w:val="bottom"/>
            <w:tcBorders>
              <w:top w:val="single" w:sz="8" w:color="CCFFCC"/>
              <w:bottom w:val="single" w:sz="8" w:color="CCFFCC"/>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FFCC"/>
            </w:tcBorders>
            <w:vMerge w:val="continue"/>
          </w:tcPr>
          <w:p>
            <w:pPr>
              <w:spacing w:after="0"/>
              <w:rPr>
                <w:sz w:val="20"/>
                <w:szCs w:val="20"/>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FFCC"/>
            </w:tcBorders>
            <w:vMerge w:val="continue"/>
          </w:tcPr>
          <w:p>
            <w:pPr>
              <w:spacing w:after="0"/>
              <w:rPr>
                <w:sz w:val="20"/>
                <w:szCs w:val="20"/>
                <w:color w:val="auto"/>
              </w:rPr>
            </w:pPr>
          </w:p>
        </w:tc>
        <w:tc>
          <w:tcPr>
            <w:tcW w:w="120" w:type="dxa"/>
            <w:vAlign w:val="bottom"/>
            <w:tcBorders>
              <w:bottom w:val="single" w:sz="8" w:color="CCFFCC"/>
            </w:tcBorders>
            <w:vMerge w:val="continue"/>
          </w:tcPr>
          <w:p>
            <w:pPr>
              <w:spacing w:after="0"/>
              <w:rPr>
                <w:sz w:val="20"/>
                <w:szCs w:val="20"/>
                <w:color w:val="auto"/>
              </w:rPr>
            </w:pPr>
          </w:p>
        </w:tc>
        <w:tc>
          <w:tcPr>
            <w:tcW w:w="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64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7,339,979</w:t>
            </w:r>
          </w:p>
        </w:tc>
        <w:tc>
          <w:tcPr>
            <w:tcW w:w="12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5,810,180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FFCC"/>
              <w:bottom w:val="single" w:sz="8" w:color="CCFFCC"/>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7,922,529</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6,553,777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FFCC"/>
          </w:tcPr>
          <w:p>
            <w:pPr>
              <w:spacing w:after="0"/>
              <w:rPr>
                <w:sz w:val="21"/>
                <w:szCs w:val="21"/>
                <w:color w:val="auto"/>
              </w:rPr>
            </w:pPr>
          </w:p>
        </w:tc>
        <w:tc>
          <w:tcPr>
            <w:tcW w:w="15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13,000</w:t>
            </w:r>
          </w:p>
        </w:tc>
        <w:tc>
          <w:tcPr>
            <w:tcW w:w="4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seller note discount</w:t>
            </w: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Amortization of senior note discount</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59,000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Increase in long-term security deposit</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 of restricted cash for security deposit</w:t>
            </w:r>
          </w:p>
        </w:tc>
        <w:tc>
          <w:tcPr>
            <w:tcW w:w="2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40" w:type="dxa"/>
            <w:vAlign w:val="bottom"/>
            <w:tcBorders>
              <w:top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Borders>
              <w:top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Payment of expenses related to equity and recapitalization</w:t>
            </w:r>
          </w:p>
        </w:tc>
        <w:tc>
          <w:tcPr>
            <w:tcW w:w="20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lease obligation</w:t>
            </w: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Repayment of installment debt obligation</w:t>
            </w:r>
          </w:p>
        </w:tc>
        <w:tc>
          <w:tcPr>
            <w:tcW w:w="200" w:type="dxa"/>
            <w:vAlign w:val="bottom"/>
            <w:shd w:val="clear" w:color="auto" w:fill="CCFFCC"/>
          </w:tcPr>
          <w:p>
            <w:pPr>
              <w:spacing w:after="0"/>
              <w:rPr>
                <w:sz w:val="19"/>
                <w:szCs w:val="19"/>
                <w:color w:val="auto"/>
              </w:rPr>
            </w:pPr>
          </w:p>
        </w:tc>
        <w:tc>
          <w:tcPr>
            <w:tcW w:w="16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14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3,929,000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3,730,000</w:t>
            </w:r>
          </w:p>
        </w:tc>
        <w:tc>
          <w:tcPr>
            <w:tcW w:w="4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2,946,000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5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380" w:type="dxa"/>
            <w:vAlign w:val="bottom"/>
            <w:tcBorders>
              <w:top w:val="single" w:sz="8" w:color="auto"/>
            </w:tcBorders>
            <w:shd w:val="clear" w:color="auto" w:fill="CCFFCC"/>
          </w:tcPr>
          <w:p>
            <w:pPr>
              <w:spacing w:after="0"/>
              <w:rPr>
                <w:sz w:val="17"/>
                <w:szCs w:val="17"/>
                <w:color w:val="auto"/>
              </w:rPr>
            </w:pPr>
          </w:p>
        </w:tc>
        <w:tc>
          <w:tcPr>
            <w:tcW w:w="13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Warrants issued to Licensee</w:t>
            </w:r>
          </w:p>
        </w:tc>
        <w:tc>
          <w:tcPr>
            <w:tcW w:w="200" w:type="dxa"/>
            <w:vAlign w:val="bottom"/>
            <w:shd w:val="clear" w:color="auto" w:fill="CCFFCC"/>
          </w:tcPr>
          <w:p>
            <w:pPr>
              <w:spacing w:after="0"/>
              <w:rPr>
                <w:sz w:val="21"/>
                <w:szCs w:val="21"/>
                <w:color w:val="auto"/>
              </w:rPr>
            </w:pPr>
          </w:p>
        </w:tc>
        <w:tc>
          <w:tcPr>
            <w:tcW w:w="15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5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155,000</w:t>
            </w:r>
          </w:p>
        </w:tc>
        <w:tc>
          <w:tcPr>
            <w:tcW w:w="4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top w:val="single" w:sz="8" w:color="CCFFCC"/>
              <w:bottom w:val="single" w:sz="8" w:color="CCFFCC"/>
            </w:tcBorders>
            <w:shd w:val="clear" w:color="auto" w:fill="CCFFCC"/>
          </w:tcPr>
          <w:p>
            <w:pPr>
              <w:ind w:left="160"/>
              <w:spacing w:after="0" w:line="195" w:lineRule="exact"/>
              <w:rPr>
                <w:sz w:val="20"/>
                <w:szCs w:val="20"/>
                <w:color w:val="auto"/>
              </w:rPr>
            </w:pPr>
            <w:r>
              <w:rPr>
                <w:rFonts w:ascii="Times New Roman" w:cs="Times New Roman" w:eastAsia="Times New Roman" w:hAnsi="Times New Roman"/>
                <w:sz w:val="18"/>
                <w:szCs w:val="18"/>
                <w:color w:val="auto"/>
              </w:rPr>
              <w:t>Cash paid during the period for interest</w:t>
            </w:r>
          </w:p>
        </w:tc>
        <w:tc>
          <w:tcPr>
            <w:tcW w:w="200" w:type="dxa"/>
            <w:vAlign w:val="bottom"/>
            <w:tcBorders>
              <w:top w:val="single" w:sz="8" w:color="auto"/>
              <w:bottom w:val="single" w:sz="8" w:color="auto"/>
            </w:tcBorders>
            <w:shd w:val="clear" w:color="auto" w:fill="CCFFC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286,000</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380" w:type="dxa"/>
            <w:vAlign w:val="bottom"/>
            <w:tcBorders>
              <w:top w:val="single" w:sz="8" w:color="auto"/>
              <w:bottom w:val="single" w:sz="8" w:color="auto"/>
            </w:tcBorders>
            <w:shd w:val="clear" w:color="auto" w:fill="CCFFC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316,000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700" w:hanging="341"/>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10-01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The Condensed Consolidated Balance Sheet as of December 31, 2012 has been derived from audited consolidated financial statements. Operating results for the three months ended March 31, 2013 (the “Current Quarter”) are not necessarily indicative of the results that may be expected for a full fiscal year.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engages in the design, licensing, and marketing of the Isaac Mizrahi Brand and certain rights of the Liz Claiborne New York Brand (“LCNY”) with a focus on a variety of product categories. The Company operates in a “working capital light” business model, licensing the Isaac Mizrahi Brand and LCNY through its wholly-owned subsidiary IM Brands, LLC (“IM Brands”) and generating royalty and design and service fee revenues through licensing and other agreements with wholesale manufacturers, sourcing and design companies, and retailers. On September 29, 2011 (the Closing Date”), the Company acquired the Isaac Mizrahi Brand, certain rights to the LCNY Brand and related assets and assumed liabilities (the “Isaac Mizrahi Business”).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Company's Annual Report on Form 10-K for the year ended December 31, 2012 (“2012”).</w:t>
      </w:r>
    </w:p>
    <w:p>
      <w:pPr>
        <w:spacing w:after="0" w:line="158" w:lineRule="exact"/>
        <w:rPr>
          <w:sz w:val="20"/>
          <w:szCs w:val="20"/>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Financial Accounting Standards Board (“FASB”) Accounting Standard Codification (“ASC”) for Intangibles, Goodwill and Other (“ASC Topic 350”). Under this standard, goodwill and indefinite lived assets are not amortized. The Company’s definite lived intangible assets are amortized over their estimated useful lives. No triggering events or indicators of impairment were noted in the Current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2012 and determined that no impairment charges were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Obligations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analyzes and quantifies the expected earn-out payments over the applicable pay-out period. Management assesses no less frequently than each reporting period the status of contingent obligations and any expected changes in the fair market value of such contingent obligations. Any change in the expected obligation will result in expense or income recognized in the period in which it is determined fair market value of the carrying value has changed. There was no change in the contingent obligation for the three months ended March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year. Actual results could be affected by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w:t>
      </w:r>
      <w:r>
        <w:rPr>
          <w:rFonts w:ascii="Times New Roman" w:cs="Times New Roman" w:eastAsia="Times New Roman" w:hAnsi="Times New Roman"/>
          <w:sz w:val="18"/>
          <w:szCs w:val="18"/>
          <w:color w:val="auto"/>
        </w:rPr>
        <w: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Subtopic 820-10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our assumptions that market participants would use in pricing assets or liabilities based on the best information available. The Company’s earn-out obligation (See Note 5) is based upon future net royalty revenues.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unrecognized tax benefits as of March 31, 2013 and December 31, 2012. The Company’s U.S. Federal and state and local income tax returns are closed prior to fiscal year 2009 and management continually evaluates expiring statutes of limitations, audits, proposed settlements, changes in tax law and new authoritative rulings.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applicable, the Company would recognize interest and penalties associated with tax matters as part of the income tax provision, and include accrued interest and penalties with accrued expenses in the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persuasive evidence of a sale arrangement exists, delivery has occurred and services have been rendered, the sales price is fixed and determinable, and collectability is reasonably assured. The Company has two primary types of revenues: (i) royalties based on the sale of products by its licensees or other contractual partners, and (ii) design and service fees based on services provided. Revenues from royalties are recognized when earned, which include guaranteed minimum royalties, if any, and additional revenues based on a percentage of defined sales by our licensees or other contractual partners for each period. Royalties exceeding the guaranteed minimum amounts are recognized as revenue during the period that corresponds to the licensees’ or partners’ sales.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Design and service fees are recorded and recognized in accordance with the terms and conditions of each service contract, including the Company meeting its obligations and providing the relevant services under each contract. Generally, we record on a straight line basis, each base fee as stated in each service agreement for the covered period and, if applicable, we recognize additional payments received that relate to a future period as deferred revenue, until service is provided or revenue is otherwise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represent amounts that are due to the Company by its licensees and other operating account debtors in the normal course of business. As of March 31, 2013 the Company has $3,314,000 of accounts receivables, net of allowance for doubtful accounts of $26,000. As of December 31, 2012 the Company had $3,428,000 of accounts receivable, net of allowance for doubtful accounts of $25,000. The accounts receivable balance includes $590,000 and $699,000 of earned revenue that has been accrued but not billed as of March 31, 2013 and December 31,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 Stock Compensation, by recognizing the fair value of stock-based compensation in the unaudited condensed consolidated statements of operations. Stock-based compensation can include stock options and restricted stock grants.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 Options - The fair value of the Company’s stock option awards are estimated using the Black-Scholes option valuation model. This model requires the input of highly subjective assumptions and elections including expected stock price volatility and the estimated life of each award.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Restricted Stock - Compensation cost for restricted stock is measured using the fair value of the Company’s common stock at the date the common stock is granted. The compensation cost is recognized over the period between the grant date and the date any restrictions lapse. For stock-based awards that vest based on performance conditions (e.g. achievement of certain milestones), expense is recognized when it is probable that the condition will be met.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of compensation costs requires that the Company estimate the number of awards that will be forfeited during the vesting period. The fair value of stock compensation is amortized over the service period of the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available to common stockholders by the weighted average number of common shares outstanding for the period. Diluted earnings per share reflect, in periods in which they have a dilutive effect, the effect of common shares issuable upon the exercise of stock options and warrants. The difference between basic and diluted weighted-average common shares results from the assumption that all dilutive stock options, warrants and restricted stock outstanding were exercised into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one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Trademarks, Goodwill and Other Intangibles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8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March 31, 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December 31, 2012</w:t>
            </w:r>
          </w:p>
        </w:tc>
      </w:tr>
      <w:tr>
        <w:trPr>
          <w:trHeight w:val="210"/>
        </w:trPr>
        <w:tc>
          <w:tcPr>
            <w:tcW w:w="880" w:type="dxa"/>
            <w:vAlign w:val="bottom"/>
          </w:tcPr>
          <w:p>
            <w:pPr>
              <w:spacing w:after="0"/>
              <w:rPr>
                <w:sz w:val="18"/>
                <w:szCs w:val="18"/>
                <w:color w:val="auto"/>
              </w:rPr>
            </w:pPr>
          </w:p>
        </w:tc>
        <w:tc>
          <w:tcPr>
            <w:tcW w:w="61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44,500,000</w:t>
            </w: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44,500,000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Accumulated amortization, licensing agreements</w:t>
            </w:r>
          </w:p>
        </w:tc>
        <w:tc>
          <w:tcPr>
            <w:tcW w:w="160" w:type="dxa"/>
            <w:vAlign w:val="bottom"/>
            <w:shd w:val="clear" w:color="auto" w:fill="CCFFCC"/>
          </w:tcPr>
          <w:p>
            <w:pPr>
              <w:spacing w:after="0"/>
              <w:rPr>
                <w:sz w:val="19"/>
                <w:szCs w:val="19"/>
                <w:color w:val="auto"/>
              </w:rPr>
            </w:pPr>
          </w:p>
        </w:tc>
        <w:tc>
          <w:tcPr>
            <w:tcW w:w="16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(796,000)</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(665,000)</w:t>
            </w:r>
          </w:p>
        </w:tc>
      </w:tr>
      <w:tr>
        <w:trPr>
          <w:trHeight w:val="223"/>
        </w:trPr>
        <w:tc>
          <w:tcPr>
            <w:tcW w:w="8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45,704,000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45,835,000</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for the Current Quarter and the quarter ended March 31, 2012 (the “Prior Year Quarter”) was $131,000 and $132,000, respectively. The trademarks of the Isaac Mizrahi Brand and related goodwill have been determined to have an indefinite useful life and accordingly, consistent with ASC Topic 350, no amortization has been recorded in the Company's unaudited consolidated statement of operations.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$12,371,000 of goodwill that represents the excess of the purchase price over the fair value of net assets acquired accounted for under the acquisition method of accounting relating to the acquisition of the Isaac Mizrahi Business. There was no change in goodwill during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agreement with QVC, Inc. (“QVC”), QVC is required to pay fees based primarily on a percentage of its net sales of Isaac Mizrahi branded merchandise. QVC royalty revenue represents a significant portion of the Company’s total revenues. Royalties from QVC totaled $1,992,000 and $1,900,000 for the Current Quarter and the Prior Year Quarter, respectively, representing 61% and 65% of the Company’s total revenues, respectively. As of March 31, 2013 and December 31, 2012, the Company had a receivable from QVC for each period in the amount of $1,901,000, representing 57% and 55% of the Company’s receivables,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LCNY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agreement with Fifth &amp; Pacific Companies, Inc. (formerly Liz Claiborne, Inc.) (“FNP”) (the “LCNY Agreement”) FNP is required to pay the Company royalties based primarily on a percentage of royalties FNP receives from QVC under a separate license agreement between FNP and QVC. Revenues from the LCNY Agreement totaled $500,000 and $375,000 for the Current Quarter and the Prior Year Quarter, respectively, representing 15% and 13% of the Company’s total revenues, respectively. As of March 31, 2013 and December 31, 2012, the Company had a receivable from FNP in the amount of $1,090,000 and $699,000, representing 33% and 20% of the Company’s receivables,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Debt</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80" w:type="dxa"/>
            <w:vAlign w:val="bottom"/>
          </w:tcPr>
          <w:p>
            <w:pPr>
              <w:spacing w:after="0"/>
              <w:rPr>
                <w:sz w:val="20"/>
                <w:szCs w:val="20"/>
                <w:color w:val="auto"/>
              </w:rPr>
            </w:pPr>
          </w:p>
        </w:tc>
        <w:tc>
          <w:tcPr>
            <w:tcW w:w="5860" w:type="dxa"/>
            <w:vAlign w:val="bottom"/>
            <w:tcBorders>
              <w:bottom w:val="single" w:sz="8" w:color="CCFFCC"/>
            </w:tcBorders>
          </w:tcPr>
          <w:p>
            <w:pPr>
              <w:spacing w:after="0"/>
              <w:rPr>
                <w:sz w:val="20"/>
                <w:szCs w:val="20"/>
                <w:color w:val="auto"/>
              </w:rPr>
            </w:pPr>
          </w:p>
        </w:tc>
        <w:tc>
          <w:tcPr>
            <w:tcW w:w="104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Term Loan</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12,301,000</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12,579,000</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Seller Note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Contingent obligation – Seller</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11,466,000</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11,466,000</w:t>
            </w:r>
          </w:p>
        </w:tc>
        <w:tc>
          <w:tcPr>
            <w:tcW w:w="100" w:type="dxa"/>
            <w:vAlign w:val="bottom"/>
            <w:shd w:val="clear" w:color="auto" w:fill="CCFFC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86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4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2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CFFCC"/>
            </w:tcBorders>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586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30,267,000</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30,396,000</w:t>
            </w:r>
          </w:p>
        </w:tc>
        <w:tc>
          <w:tcPr>
            <w:tcW w:w="100" w:type="dxa"/>
            <w:vAlign w:val="bottom"/>
            <w:shd w:val="clear" w:color="auto" w:fill="CCFFC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86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04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1,519,000</w:t>
            </w:r>
          </w:p>
        </w:tc>
        <w:tc>
          <w:tcPr>
            <w:tcW w:w="22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Borders>
              <w:bottom w:val="single" w:sz="8" w:color="CCFFC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8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04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28,748,000</w:t>
            </w: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29,046,000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2011, IM Brands, a wholly-owned subsidiary of the Company, entered into a five-year senior secured facility (the “Loan”) with MidMarket Capital Partners, LLC (“MidMarket”) and Noteholders in the aggregate principal amount of $13,500,000. The Loan is secured by all of the assets of IM Brands and the Company’s membership interests in IM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amount of the Loan is payable quarterly as follows: 2.5% on January 5, 2013 through October 5, 2013; 3.75% on January 5, 2014 through October 5, 2014; 6.25% on January 5, 2015 through October 5, 2015; 12.5% on January 5, 2016 through the maturity date, which is the date that is 5 years after the closing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remaining principal obligations are as follows:</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7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Ending December 31,</w:t>
            </w:r>
          </w:p>
        </w:tc>
      </w:tr>
      <w:tr>
        <w:trPr>
          <w:trHeight w:val="210"/>
        </w:trPr>
        <w:tc>
          <w:tcPr>
            <w:tcW w:w="1720" w:type="dxa"/>
            <w:vAlign w:val="bottom"/>
          </w:tcPr>
          <w:p>
            <w:pPr>
              <w:spacing w:after="0"/>
              <w:rPr>
                <w:sz w:val="18"/>
                <w:szCs w:val="18"/>
                <w:color w:val="auto"/>
              </w:rPr>
            </w:pPr>
          </w:p>
        </w:tc>
        <w:tc>
          <w:tcPr>
            <w:tcW w:w="596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2013 (Period from April 1, 2013 to December 31, 2013)</w:t>
            </w:r>
          </w:p>
        </w:tc>
        <w:tc>
          <w:tcPr>
            <w:tcW w:w="62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1,013,000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2,025,000</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2015</w:t>
            </w:r>
          </w:p>
        </w:tc>
        <w:tc>
          <w:tcPr>
            <w:tcW w:w="6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3,375,000</w:t>
            </w:r>
          </w:p>
        </w:tc>
        <w:tc>
          <w:tcPr>
            <w:tcW w:w="60" w:type="dxa"/>
            <w:vAlign w:val="bottom"/>
            <w:shd w:val="clear" w:color="auto" w:fill="CCFFCC"/>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96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2016</w:t>
            </w: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60" w:type="dxa"/>
            <w:vAlign w:val="bottom"/>
            <w:tcBorders>
              <w:bottom w:val="single" w:sz="8" w:color="CCFFC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9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13,163,000</w:t>
            </w:r>
          </w:p>
        </w:tc>
        <w:tc>
          <w:tcPr>
            <w:tcW w:w="60" w:type="dxa"/>
            <w:vAlign w:val="bottom"/>
            <w:tcBorders>
              <w:bottom w:val="single" w:sz="8" w:color="CCFFCC"/>
            </w:tcBorders>
            <w:shd w:val="clear" w:color="auto" w:fill="CCFFC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loan is a fixed rate of 8.5%, payable in cash.</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Optional Prepayment</w:t>
      </w:r>
      <w:r>
        <w:rPr>
          <w:rFonts w:ascii="Times New Roman" w:cs="Times New Roman" w:eastAsia="Times New Roman" w:hAnsi="Times New Roman"/>
          <w:sz w:val="18"/>
          <w:szCs w:val="18"/>
          <w:color w:val="auto"/>
        </w:rPr>
        <w:t>. IM Brands may prepay the Loan in whole or in part in increments of $500,000, provided that IM Brands pay the following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prepayment:</w:t>
      </w:r>
    </w:p>
    <w:p>
      <w:pPr>
        <w:spacing w:after="0" w:line="174"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Applicable Premium</w:t>
            </w:r>
          </w:p>
        </w:tc>
        <w:tc>
          <w:tcPr>
            <w:tcW w:w="0" w:type="dxa"/>
            <w:vAlign w:val="bottom"/>
          </w:tcPr>
          <w:p>
            <w:pPr>
              <w:spacing w:after="0"/>
              <w:rPr>
                <w:sz w:val="1"/>
                <w:szCs w:val="1"/>
                <w:color w:val="auto"/>
              </w:rPr>
            </w:pPr>
          </w:p>
        </w:tc>
      </w:tr>
      <w:tr>
        <w:trPr>
          <w:trHeight w:val="20"/>
        </w:trPr>
        <w:tc>
          <w:tcPr>
            <w:tcW w:w="5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Prior to September 29, 2013</w:t>
            </w:r>
          </w:p>
        </w:tc>
        <w:tc>
          <w:tcPr>
            <w:tcW w:w="80" w:type="dxa"/>
            <w:vAlign w:val="bottom"/>
            <w:vMerge w:val="continue"/>
            <w:shd w:val="clear" w:color="auto" w:fill="CCFFCC"/>
          </w:tcPr>
          <w:p>
            <w:pPr>
              <w:spacing w:after="0"/>
              <w:rPr>
                <w:sz w:val="18"/>
                <w:szCs w:val="18"/>
                <w:color w:val="auto"/>
              </w:rPr>
            </w:pPr>
          </w:p>
        </w:tc>
        <w:tc>
          <w:tcPr>
            <w:tcW w:w="16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to September 29, 2014</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On or After September 29, 2014</w:t>
            </w:r>
          </w:p>
        </w:tc>
        <w:tc>
          <w:tcPr>
            <w:tcW w:w="16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i w:val="1"/>
          <w:iCs w:val="1"/>
          <w:color w:val="auto"/>
        </w:rPr>
        <w:t>Mandatory Prepayments.</w:t>
      </w:r>
      <w:r>
        <w:rPr>
          <w:sz w:val="20"/>
          <w:szCs w:val="20"/>
          <w:color w:val="auto"/>
        </w:rPr>
        <w:tab/>
      </w:r>
      <w:r>
        <w:rPr>
          <w:rFonts w:ascii="Times New Roman" w:cs="Times New Roman" w:eastAsia="Times New Roman" w:hAnsi="Times New Roman"/>
          <w:sz w:val="18"/>
          <w:szCs w:val="18"/>
          <w:color w:val="auto"/>
        </w:rPr>
        <w:t>IM Brands is required to prepay the Loan under the following conditions: (1) if certain indebtedness is incurred by the Company;</w:t>
      </w:r>
    </w:p>
    <w:p>
      <w:pPr>
        <w:spacing w:after="0" w:line="29" w:lineRule="exact"/>
        <w:rPr>
          <w:sz w:val="20"/>
          <w:szCs w:val="20"/>
          <w:color w:val="auto"/>
        </w:rPr>
      </w:pPr>
    </w:p>
    <w:p>
      <w:pPr>
        <w:ind w:firstLine="8"/>
        <w:spacing w:after="0" w:line="261"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Excess Cash Flow Sweep. </w:t>
      </w:r>
      <w:r>
        <w:rPr>
          <w:rFonts w:ascii="Times New Roman" w:cs="Times New Roman" w:eastAsia="Times New Roman" w:hAnsi="Times New Roman"/>
          <w:sz w:val="18"/>
          <w:szCs w:val="18"/>
          <w:color w:val="auto"/>
        </w:rPr>
        <w:t>In addition to the Mandatory Prepayments described above, if for any fiscal year ending on or subsequent to December 31,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 For the period ended March 31, 2013, there was no Excess Cash Flow Sweep payment due.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Lender Warrants. </w:t>
      </w:r>
      <w:r>
        <w:rPr>
          <w:rFonts w:ascii="Times New Roman" w:cs="Times New Roman" w:eastAsia="Times New Roman" w:hAnsi="Times New Roman"/>
          <w:sz w:val="18"/>
          <w:szCs w:val="18"/>
          <w:color w:val="auto"/>
        </w:rPr>
        <w:t>On September 29, 2011, the Company issued warrants to purchase 364,428 shares of the Company’s Common Stock, valued at $1,214,000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“Loan Discount”) to the Noteholders of the Loan. The Company used the Black-Scholes method to determine the value of the Loan Discount and discounted the carrying value of the Loan by this amount, resulting in an initial net loan balance of $12,286,000. The Loan Discount is being amortized over the term of Loan and recorded as other interest and finance charges on the Company’s Unaudited Condensed Consolidated Statements of Operations. The Loan balance as of March 31, 2013 and December 31, 2012 was $12,301,000 and $12,579,000, net of debt discount of $862,000 and $921,000, respectively.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 minimum EBITDA, fixed charge ratio, and liquidity covenants, a maximum leverage ratio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 and other non-monetary covenants, including reporting requirements and trademark preservation in accordance with the terms and conditions of the Loan. As of March 31, 2013, the Company and IM Brands were in full compliance with all of the covenants under the Loan.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103"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Seller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2011, as part of the consideration for the purchase of the Isaac Mizrahi Business, the Company issued to IM Ready-Made, LLC (the “Seller”) a promissory note (the “Seller Note”) in the principal amount of $7,377,000. The stated interest rate of the Seller Note is 0.25%. Management has determined that this rate was below the Company’s expected borrowing rate, which was estimated at 9.25%. Therefore, the Company discounted the Seller Note by $1,740,000 using a 9.0% imputed annual interest rate, resulting in an initial value of $5,637,000. Also on September 29, 2011, the Company prepaid $123,000 of interest on the Seller Note. The imputed interest amount is being amortized over the term of the Seller Note and recorded as other interest expense on the Company’s Unaudited Condensed Consolidated Statements of Operations. The Seller Note balance at March 31, 2013 and December 31, 2012 was $6,449,000 and $6,306,000, net of debt discount of $928,000 and $1,071,000, respectively.</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Seller Note initially matures three years from the Closing Date (the “Seller Maturity Date”) subject to extension as described below (the date to which the maturity date of the Seller Note is extended is referred to as the “Subsequent Seller Maturity Date”). The Company has the right to pay the Seller Note at the Seller Maturity Date in cash or, subject to the following conditions, in shares of Common Stock. If the Company elects to repay the outstanding principal amount of the Seller Note on the Seller Maturity Date by issuing shares of Common Stock, the number of shares issuable will be obtained by dividing the principal amount of the Seller Note then outstanding by the greater of (i) the fair market value of the Common Stock on the Seller Maturity Date and (ii) $4.50 subject to certain adjustments; provided, however, that if the fair market value of the Common Stock is less than $4.50 as adjusted, the Seller will have the option to extend the maturity of the Seller Note to the Subsequent Seller Maturity Date. If the maturity date of the Seller Note is so extended, the Seller will have the option to convert the Seller Note into Common Shares based on the greater of (i) the fair market value of the Common Stock on the Subsequent Seller Maturity Date and (ii) $4.50, subject to certain adjustments. If the maturity date of the Seller Note is extended, we will also have the option to repay the outstanding principal amount of the Seller Note on the Subsequent Seller Maturity Date in cash or by issuing the number of shares of Common Stock obtained by dividing the principal amount of the Note outstanding on the Subsequent Seller Maturity Date by the fair market value of the Common Stock on the Seller Maturity Date. In addition, at any time the Seller Note is outstanding, the Company has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Earn-out obligation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Seller is eligible to earn additional consideration for the sale of the Isaac Mizrahi Business contingent upon the Isaac Mizrahi Brand achieving net royalty income targets set forth below during the twelve month periods ending September 30, 2013, 2014 and 2015. The Seller was eligible to earn additional consideration for the fiscal year ended September 30, 2012, but did not meet the minimum net royalty income target. This consideration is payable with shares of Common Stock by the greater of (i) the fair market value of the Common Stock for the average stock price for the last twenty days in such period and (ii) $4.50 up to $7,500,000 (the “Earn-Out Value”). The Seller will receive a percentage of the Earn-Out Value based upon the percentage of the actual net royalty income of the Isaac Mizrahi Business to the royalty target as set forth below. The fair value of the percentage of the Earn-Out Value was based primarily on projected future net royalty income related to the Isaac Mizrahi Brand (the “Earn-Out Obligation”). Any future change in the Earn-Out Obligation will result in an expense or income in the period in which it is determined that the fair market value of the carrying value has changed. The royalty targets and percentage of the potential Earn-Out Value are as follows: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26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EARN-OUT</w:t>
            </w: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ROYALTY TARGET PERIODS</w:t>
            </w:r>
          </w:p>
        </w:tc>
        <w:tc>
          <w:tcPr>
            <w:tcW w:w="144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6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0"/>
        </w:trPr>
        <w:tc>
          <w:tcPr>
            <w:tcW w:w="6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Second Royalty Target Period (October 1, 2012 to September 30, 2013)</w:t>
            </w: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20,000,000</w:t>
            </w:r>
          </w:p>
        </w:tc>
        <w:tc>
          <w:tcPr>
            <w:tcW w:w="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Third Royalty Target Period (October 1, 2013 to September 30, 2014)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22,000,000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6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Fourth Royalty Target Period (October 1, 2014 to September 30, 2015)</w:t>
            </w: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24,000,000</w:t>
            </w:r>
          </w:p>
        </w:tc>
        <w:tc>
          <w:tcPr>
            <w:tcW w:w="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7,500,000</w:t>
            </w: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4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OF EARN-OUT</w:t>
            </w:r>
          </w:p>
        </w:tc>
      </w:t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4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 EARNED</w:t>
            </w:r>
          </w:p>
        </w:tc>
      </w:tr>
      <w:tr>
        <w:trPr>
          <w:trHeight w:val="230"/>
        </w:trPr>
        <w:tc>
          <w:tcPr>
            <w:tcW w:w="20" w:type="dxa"/>
            <w:vAlign w:val="bottom"/>
          </w:tcPr>
          <w:p>
            <w:pPr>
              <w:spacing w:after="0"/>
              <w:rPr>
                <w:sz w:val="19"/>
                <w:szCs w:val="19"/>
                <w:color w:val="auto"/>
              </w:rPr>
            </w:pPr>
          </w:p>
        </w:tc>
        <w:tc>
          <w:tcPr>
            <w:tcW w:w="4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than 76%</w:t>
            </w:r>
          </w:p>
        </w:tc>
        <w:tc>
          <w:tcPr>
            <w:tcW w:w="4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76% up to 80%</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80% up to 90%</w:t>
            </w:r>
          </w:p>
        </w:tc>
        <w:tc>
          <w:tcPr>
            <w:tcW w:w="4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90% up to 95%</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95% up to 100%</w:t>
            </w:r>
          </w:p>
        </w:tc>
        <w:tc>
          <w:tcPr>
            <w:tcW w:w="4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100% or greater</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Topic 480 "Distinguishing Liabilities from Equity", the Earn-Out Obligation is treated as a liability in the accompanying Condensed Consolidated Balance Sheets because of the variable number of shares payable under the agreement. The Earn-Out Obligation fair value at March 31, 2013 and December 31, 2012 was $8.7 million for each year and recorded as long term liabilities on the Company’s Condensed Consolidated Balance Sheets. There was no expense or income recognized for the Current Quarter or the Prior Year Quarter.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QVC Earn-out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required to pay the Seller $2.766 million, payable in cash or Common Stock, at the Company’s option, contingent upon the Company receiving aggregate net royalty income of at least $2.5 million from QVC for the Isaac Mizrahi Brand in the twelve-month period ending September 30, 2015 with such stock based upon the greater of (x) $4.50 per share, and (y) the average stock price for the last twenty days prior to the time of such issuance (the “QVC Earn-Out’). The current term of the QVC Agreement runs through September 30, 2015. Management has determined that it is probable that the $2.5 million in net royalty income from QVC will be met. In accordance with ASC Topic 480 "Distinguishing Liabilities from Equity", the QVC Earn-Out obligation is treated as a liability in the accompanying Condensed Consolidated Balance Sheets because of the variable number of shares payable under the agreement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Obligation of $8.7 million and the QVC Earn-Out of $2.766 million, which combined is equal to $11.466 million and represents the total contingent obligation to the Seller as of March 31, 2013 and December 31, 2012 is reported as long term debt on the Company’s Condensed Consolidated Balance Sheets.</w:t>
      </w:r>
    </w:p>
    <w:p>
      <w:pPr>
        <w:spacing w:after="0" w:line="172" w:lineRule="exact"/>
        <w:rPr>
          <w:sz w:val="20"/>
          <w:szCs w:val="20"/>
          <w:color w:val="auto"/>
        </w:rPr>
      </w:pPr>
    </w:p>
    <w:p>
      <w:pPr>
        <w:ind w:left="980" w:hanging="630"/>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17, 2012, the Company issued to management an aggregate of 1,100,000 shares of restricted stock. The vesting date of 1,025,000 shares of restricted stock was November 15, 2012, provided, however, that each such grantee has the right to extend the vesting date by six-month increments in his or her sole discretion, prior to the date the restrictions would lapse. The vesting date of 37,500 shares of restricted stock is May 15, 2013, provided however, the executive has the right to extend the vesting date by six-month increments in his sole discretion, prior to the date the restrictions would lapse. The vesting date of 37,500 shares of restricted stock is May 15, 2014, provided however, the executive has the right to extend the vesting date by six-month increments in his sole discretion, prior to the date the restrictions would lapse. As of March 31, 2013, restrictions on 509,488 shares have lapsed. On November 15, 2012, the Company repurchased 209,623 shares upon vesting of restricted stock in satisfying the grantees tax withholding obligation.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April 17, 2012, the Company issued 50,000 shares of restricted stock to a non-executive employee. The vesting date of the 50,000 shares of restricted stock was November 15, 2012, provided however, the employee has the right to extend the vesting date by nine-month increments in her sole discretion, prior to the date the restrictions would lapse. As of March 31, 2013, restrictions on 24,916 shares have lapsed. On November 15, 2012 the Company repurchased 8,540 shares upon vesting of restricted stock in satisfying the grantees tax withholding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2012, the Company granted options to purchase an aggregate of 105,500 shares of Common Stock to non-executive employees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share of the options is $3.00 per share, and 50% of the options will vest on each of the first and second anniversaries of the grant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awards, 26,750 options were forfeited, and reverted to, and are eligible for re-grant under the Plan.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2012, the Company issued to non-management directors 138,335 shares of restricted stock. The vesting date of 138,335 shares of restricted stock was December 1, 2012, provided, however, that each such grantee has the right to extend the vesting date by six-month increments in his sole discretion, prior to the date the restrictions would lapse. As of March 31, 2013, restrictions on 53,995 shares have lapsed. On November 15, 2012 the Company repurchased 18,870 shares on vesting of restricted stock in satisfying the grantees tax withholding obligation.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 2012, the Company issued to management 242,775 shares of restricted stock. The vesting date of 242,775 shares of restricted stock was December 1, 2012, provided, however, that each such grantee has the right to extend the vesting date by six-month increments in his sole discretion, prior to the date the restrictions would lapse. As of March 31, 2013, none of these shares have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for all options and warrants was estimated at the date of grant using a Black-Scholes option-pricing model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Volatility (i)</w:t>
            </w:r>
          </w:p>
        </w:tc>
        <w:tc>
          <w:tcPr>
            <w:tcW w:w="5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Life (Term) (ii)</w:t>
            </w:r>
          </w:p>
        </w:tc>
        <w:tc>
          <w:tcPr>
            <w:tcW w:w="538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3 – 5.75 years</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- 0.98%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options that the Company granted under its plans expire at various times, either five, seven or ten years from the date of grant, depending on the particular grant.</w:t>
      </w:r>
    </w:p>
    <w:p>
      <w:pPr>
        <w:spacing w:after="0" w:line="162" w:lineRule="exact"/>
        <w:rPr>
          <w:sz w:val="20"/>
          <w:szCs w:val="20"/>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trading activity, the Company used the average volatility of similar companies in its industry.</w:t>
      </w:r>
    </w:p>
    <w:p>
      <w:pPr>
        <w:spacing w:after="0" w:line="27" w:lineRule="exact"/>
        <w:rPr>
          <w:rFonts w:ascii="Times New Roman" w:cs="Times New Roman" w:eastAsia="Times New Roman" w:hAnsi="Times New Roman"/>
          <w:sz w:val="18"/>
          <w:szCs w:val="18"/>
          <w:color w:val="auto"/>
        </w:rPr>
      </w:pPr>
    </w:p>
    <w:p>
      <w:pPr>
        <w:ind w:left="980" w:right="620" w:hanging="648"/>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history, the expected life of options was calculated using the ‘simplified method’ in accordance with Staff accounting bulletin (“SAB”) Topic 14.02 in accordance with SAB no. 110.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7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Weighted-Average</w:t>
            </w:r>
          </w:p>
        </w:tc>
      </w:tr>
      <w:tr>
        <w:trPr>
          <w:trHeight w:val="234"/>
        </w:trPr>
        <w:tc>
          <w:tcPr>
            <w:tcW w:w="762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0"/>
        </w:trPr>
        <w:tc>
          <w:tcPr>
            <w:tcW w:w="76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2013</w:t>
            </w:r>
          </w:p>
        </w:tc>
        <w:tc>
          <w:tcPr>
            <w:tcW w:w="14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6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r>
      <w:tr>
        <w:trPr>
          <w:trHeight w:val="263"/>
        </w:trPr>
        <w:tc>
          <w:tcPr>
            <w:tcW w:w="762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22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FFCC"/>
            </w:tcBorders>
          </w:tcPr>
          <w:p>
            <w:pPr>
              <w:spacing w:after="0"/>
              <w:rPr>
                <w:sz w:val="22"/>
                <w:szCs w:val="22"/>
                <w:color w:val="auto"/>
              </w:rPr>
            </w:pPr>
          </w:p>
        </w:tc>
      </w:tr>
      <w:tr>
        <w:trPr>
          <w:trHeight w:val="197"/>
        </w:trPr>
        <w:tc>
          <w:tcPr>
            <w:tcW w:w="7620" w:type="dxa"/>
            <w:vAlign w:val="bottom"/>
            <w:tcBorders>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2013</w:t>
            </w:r>
          </w:p>
        </w:tc>
        <w:tc>
          <w:tcPr>
            <w:tcW w:w="140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174,858</w:t>
            </w:r>
          </w:p>
        </w:tc>
        <w:tc>
          <w:tcPr>
            <w:tcW w:w="2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related to stock option grants for the Current Quarter and the Prior Year Quarter was $20,000 and $10,000, respectively and is reported as stock-based compensation under operating expenses in the Unaudited Condensed Consolidated Statements of Operations. An additional amount of $64,000 is expected to be expensed over a period of 13 months from April 1, 2013 through April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table does not include options to purchase 576 shares of Common Stock for $728 per share issued under the Company’s former equity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issue any equity awards under this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warrants for the Current Quarter is as follows: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Weighted-Average</w:t>
            </w:r>
          </w:p>
        </w:tc>
      </w:tr>
      <w:tr>
        <w:trPr>
          <w:trHeight w:val="234"/>
        </w:trPr>
        <w:tc>
          <w:tcPr>
            <w:tcW w:w="762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6"/>
        </w:trPr>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2013</w:t>
            </w:r>
          </w:p>
        </w:tc>
        <w:tc>
          <w:tcPr>
            <w:tcW w:w="15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1,132,043</w:t>
            </w:r>
          </w:p>
        </w:tc>
        <w:tc>
          <w:tcPr>
            <w:tcW w:w="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5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r>
      <w:tr>
        <w:trPr>
          <w:trHeight w:val="263"/>
        </w:trPr>
        <w:tc>
          <w:tcPr>
            <w:tcW w:w="762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Outstanding at March 31, 2013 and expected to vest.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1,132,043</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FFCC"/>
            </w:tcBorders>
          </w:tcPr>
          <w:p>
            <w:pPr>
              <w:spacing w:after="0"/>
              <w:rPr>
                <w:sz w:val="22"/>
                <w:szCs w:val="22"/>
                <w:color w:val="auto"/>
              </w:rPr>
            </w:pPr>
          </w:p>
        </w:tc>
      </w:tr>
      <w:tr>
        <w:trPr>
          <w:trHeight w:val="197"/>
        </w:trPr>
        <w:tc>
          <w:tcPr>
            <w:tcW w:w="7620" w:type="dxa"/>
            <w:vAlign w:val="bottom"/>
            <w:tcBorders>
              <w:bottom w:val="single" w:sz="8" w:color="CCFFCC"/>
            </w:tcBorders>
            <w:shd w:val="clear" w:color="auto" w:fill="CCFFCC"/>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2013</w:t>
            </w:r>
          </w:p>
        </w:tc>
        <w:tc>
          <w:tcPr>
            <w:tcW w:w="140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1,082,043</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related to warrants for the Current Quarter and the Prior Year Quarter was $11,000 and $11,000, respectively, and is reported as stock-based compensation under operating expenses in the Unaudited Condensed Consolidated Statements of Operations. An additional amount of $22,000 is expected to be expensed over a period of 6 months from April 1, 2013 through September 30, 2013.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to a licensee warrants to purchase 75,000 shares of common stock with an exercise price of $5.50 per share and a term of 5-years. Compensation expense related to warrants in connection with the licensing agreement is amortized over the 5-year initial term of the license agreement and is recorded as a discount to licensing revenues. The stock-based licensing revenue-discount for the Current Quarter and the Prior Year Quarter was $1,000 and $1,000, respectively. An additional amount of $16,000 is expected to be amortized over a period of 42 months from April 1, 2013 through September 30, 2016.</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restricted stock for the Current Quarter is as follows: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16"/>
        </w:trPr>
        <w:tc>
          <w:tcPr>
            <w:tcW w:w="7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Restricted</w:t>
            </w:r>
          </w:p>
        </w:tc>
        <w:tc>
          <w:tcPr>
            <w:tcW w:w="20" w:type="dxa"/>
            <w:vAlign w:val="bottom"/>
          </w:tcPr>
          <w:p>
            <w:pPr>
              <w:spacing w:after="0"/>
              <w:rPr>
                <w:sz w:val="18"/>
                <w:szCs w:val="18"/>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Grant Date Fair</w:t>
            </w:r>
          </w:p>
        </w:tc>
      </w:tr>
      <w:tr>
        <w:trPr>
          <w:trHeight w:val="234"/>
        </w:trPr>
        <w:tc>
          <w:tcPr>
            <w:tcW w:w="7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700" w:type="dxa"/>
            <w:vAlign w:val="bottom"/>
          </w:tcPr>
          <w:p>
            <w:pPr>
              <w:spacing w:after="0"/>
              <w:rPr>
                <w:sz w:val="18"/>
                <w:szCs w:val="18"/>
                <w:color w:val="auto"/>
              </w:rPr>
            </w:pPr>
          </w:p>
        </w:tc>
        <w:tc>
          <w:tcPr>
            <w:tcW w:w="71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at January 1, 2013</w:t>
            </w:r>
          </w:p>
        </w:tc>
        <w:tc>
          <w:tcPr>
            <w:tcW w:w="13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964,607</w:t>
            </w: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Canceled</w:t>
            </w:r>
          </w:p>
        </w:tc>
        <w:tc>
          <w:tcPr>
            <w:tcW w:w="14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0" w:type="dxa"/>
            <w:vAlign w:val="bottom"/>
          </w:tcPr>
          <w:p>
            <w:pPr>
              <w:spacing w:after="0"/>
              <w:rPr>
                <w:sz w:val="19"/>
                <w:szCs w:val="19"/>
                <w:color w:val="auto"/>
              </w:rPr>
            </w:pPr>
          </w:p>
        </w:tc>
        <w:tc>
          <w:tcPr>
            <w:tcW w:w="7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4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Current Quarter and Prior Year Quarter was $35,000 and $7,000, respectively, and is reported as stock-based compensation under operating expenses in the Unaudited Condensed Consolidated Statements of Operations. An additional amount of $135,000 is expected to be expensed over a period of 13 months from April 1, 2013 through April 30,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2013, there were 3,330,840 common shares available for issuance under the Company’s 2011 Equity Incentive Plan. See Note 10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2013, there were 4,808,459 common shares reserved for issuance pursuant to warrants, stock options and availability for issuance under the Company’s 2011 Equity Incentive Plan. See Note 10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920" w:hanging="561"/>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includes no dilution and is computed by dividing net income available to common stockholders by the weighted average number of common shares outstanding for the period. Diluted earnings per share reflect, in periods in which they have a dilutive effect, the effect of restricted stock-based awards and common shares issuable upon exercise of stock options and warrants. The difference between basic and diluted weighted-average common shares, results from the assumption that all dilutive stock options and warrants outstanding were exercised and have been converted into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shares used in calculating basic and diluted earnings per share follows:</w:t>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exercise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exercise of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9"/>
                <w:szCs w:val="19"/>
                <w:color w:val="auto"/>
              </w:rPr>
            </w:pPr>
          </w:p>
        </w:tc>
      </w:tr>
      <w:tr>
        <w:trPr>
          <w:trHeight w:val="191"/>
        </w:trPr>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7,339,979</w:t>
            </w:r>
          </w:p>
        </w:tc>
        <w:tc>
          <w:tcPr>
            <w:tcW w:w="160" w:type="dxa"/>
            <w:vAlign w:val="bottom"/>
          </w:tcPr>
          <w:p>
            <w:pPr>
              <w:spacing w:after="0"/>
              <w:rPr>
                <w:sz w:val="16"/>
                <w:szCs w:val="16"/>
                <w:color w:val="auto"/>
              </w:rPr>
            </w:pP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5,810,180</w:t>
            </w:r>
          </w:p>
        </w:tc>
        <w:tc>
          <w:tcPr>
            <w:tcW w:w="20" w:type="dxa"/>
            <w:vAlign w:val="bottom"/>
          </w:tcPr>
          <w:p>
            <w:pPr>
              <w:spacing w:after="0"/>
              <w:rPr>
                <w:sz w:val="16"/>
                <w:szCs w:val="16"/>
                <w:color w:val="auto"/>
              </w:rPr>
            </w:pPr>
          </w:p>
        </w:tc>
      </w:tr>
      <w:tr>
        <w:trPr>
          <w:trHeight w:val="230"/>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582,075</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743,597</w:t>
            </w:r>
          </w:p>
        </w:tc>
      </w:tr>
      <w:tr>
        <w:trPr>
          <w:trHeight w:val="234"/>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7,922,529</w:t>
            </w:r>
          </w:p>
        </w:tc>
        <w:tc>
          <w:tcPr>
            <w:tcW w:w="16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6,553,777</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-608330</wp:posOffset>
            </wp:positionV>
            <wp:extent cx="50685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-325120</wp:posOffset>
            </wp:positionV>
            <wp:extent cx="50685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720"/>
            <w:col w:w="6700"/>
          </w:cols>
          <w:pgMar w:left="240" w:top="873"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13" w:name="page14"/>
    <w:bookmarkEnd w:id="13"/>
    <w:p>
      <w:pPr>
        <w:ind w:left="920" w:hanging="561"/>
        <w:spacing w:after="0"/>
        <w:tabs>
          <w:tab w:leader="none" w:pos="9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Current Quarter and the Prior Year Quarter was approximately 40% and (11)%, respectively. The Prior Year Quarters effective tax rate has been adjusted by a tax benefit from the effect of a state and local rate allocation change resulting in a (50)% adjustment to the effective tax rate by virtue of applying the rate differential to the opening net deferred tax liability.</w:t>
      </w:r>
    </w:p>
    <w:p>
      <w:pPr>
        <w:spacing w:after="0" w:line="172" w:lineRule="exact"/>
        <w:rPr>
          <w:sz w:val="20"/>
          <w:szCs w:val="20"/>
          <w:color w:val="auto"/>
        </w:rPr>
      </w:pPr>
    </w:p>
    <w:p>
      <w:pPr>
        <w:ind w:left="920" w:hanging="561"/>
        <w:spacing w:after="0"/>
        <w:tabs>
          <w:tab w:leader="none" w:pos="9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Todd Slater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12, 2011, Old XCel entered into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 upon.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direct licensing costs with Mr. Slater from amortization of the one-time payment stated above and fees paid for the Current Quarter and the Prior Year Quarter of $11,000 and $8,000,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2011, Old XCel entered into a licensing agent agreement with Adam Dweck (“AD”) who is an Executive Vice President of Earthbound, LLC (“Earthbound”) and the son of Jack Dweck, who is a principal of Earthbound and is on the Company’s board of directors, pursuant to which he is entitled to a five percent (5%) commission on any royalties we receive under any new license agreements that he procures for us during the initial term of such license agreements. AD earned $3,000 in fees for each of the Current Quarter and Prior Year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Jones Texas,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Edward Jones, III, a principal shareholder and chief executive officer of Jones Texas, Inc. (“JT”) is on the Company’s board of directors. The Company and JT entered into a consulting agreement on March 28, 2012 whereby JT shall pursue and introduce licensing opportunities for the Company. JT procured a license for the Company during 2012 which the Company agreed to remit 15% of the license revenues for the initial term of the license. JT earned $3,000 and $0 in fees for the Current Quarter and Prior Year Quarter,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Earthbound,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consideration for the acquisition of the Isaac Mizrahi Business, the Company assumed a $1.5 million non-interest obligation owed to Earthbound, payable over five years commencing on September 29, 2011. Jeff Cohen is a principal owner of Earthbound and was a director of the Company through December 2012. Jack Dweck, a current board member of the Company, is also a principal owner of Earthbound. The Company made a $37,500 payment in the Prior Year Quarter, of which $27,000 was recorded as interest expense. The Company extinguished this debt on November 21,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 Ready-Made,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Seller had balances owed between the companies relating to the transition of the Isaac Mizrahi Business and certain payments assigned to the Seller by QVC under the QVC Agreement. As of March 31, 2013 the Company owed the Seller $61,000 and as of March 31, 2012 the Seller owed the Company $157,000. The Company did not earn any revenue or incur any expenses with IM Ready-Made, LLC since the Closing Date.</w:t>
      </w:r>
    </w:p>
    <w:p>
      <w:pPr>
        <w:spacing w:after="0" w:line="172" w:lineRule="exact"/>
        <w:rPr>
          <w:sz w:val="20"/>
          <w:szCs w:val="20"/>
          <w:color w:val="auto"/>
        </w:rPr>
      </w:pPr>
    </w:p>
    <w:p>
      <w:pPr>
        <w:ind w:left="920" w:hanging="561"/>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The Company granted to executive officers, non-executive employees of the Company and directors of the Company an aggregate of 1,370,000 shares of restricted common stock of the Company with a grant date of April 1, 2013.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vesting date of 1,075,000 shares is September 30, 2013 and the 295,000 remaining shares of Restricted Stock will vest evenly over 2 years, whereby 50% shall vest on March 31, 2014 and 50% shall vest on March 31, 2015.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granted to non-executive employees of the Company 30,000 shares of restricted common stock of the Company with a grant date of May 1, 2013.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aggregate 1,400,000 shares of Restricted Stock is $6,300,000 based on an estimate of $4.50 per share. The Company expects to expense $5,152,000 during 2013. The remaining expense is expected to be recognized over a period of 16 months from January 1, 2014 through April 30, 2015.</w:t>
      </w:r>
    </w:p>
    <w:p>
      <w:pPr>
        <w:spacing w:after="0" w:line="39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7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Safe Harbor Statement under the Private Securities Litigation Reform Act of 1995</w:t>
      </w:r>
      <w:r>
        <w:rPr>
          <w:rFonts w:ascii="Times New Roman" w:cs="Times New Roman" w:eastAsia="Times New Roman" w:hAnsi="Times New Roman"/>
          <w:sz w:val="18"/>
          <w:szCs w:val="18"/>
          <w:color w:val="auto"/>
        </w:rPr>
        <w:t>. 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 looking statements. These risks are detailed in the Risk Section of our Form 10-K for the fiscal year ended December 31, 2012. The words “believe”, “anticipate,” “expect”, “confident”, “project”, “provide”, “plan”, “likely”, “future”, “ongoing”, “intend”, “may”, “should”, “would”, “could”, “guidance” and similar expressions identify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Xcel Brands, Inc. and its wholly-owned subsidiary (the “Company”) engages in the design, licensing, and marketing of the Isaac Mizrahi Brand and certain rights of the Liz Claiborne New York Brand (“LCNY”) with a focus on a variety of product categories. The Company operates in a “working capital light” business model, licensing the Isaac Mizrahi Brand and LCNY through its wholly-owned subsidiary IM Brands, LLC (“IM Brands”) and generating royalty and design and service fee revenues through licensing and other agreements with wholesale manufacturers, sourcing and design companies, and retailers.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growth strategy is focused on increasing licensing and design and service fee revenue through adding new product categories, expanding the retail penetration and optimizing the sales of our licensees. We will also seek new opportunities including opening our own retail stores and international expansion.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three months ended March 31, 2013 (the “Current Quarter”) compared to the three months ended March 31, 2012 (the “Prior Year Quarter”).</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Licensing, Design and Service Fee Revenue. </w:t>
      </w:r>
      <w:r>
        <w:rPr>
          <w:rFonts w:ascii="Times New Roman" w:cs="Times New Roman" w:eastAsia="Times New Roman" w:hAnsi="Times New Roman"/>
          <w:sz w:val="18"/>
          <w:szCs w:val="18"/>
          <w:color w:val="auto"/>
        </w:rPr>
        <w:t>Net licensing, design and service fee revenue (“Net Revenues”) for the Current Quarter totaled $3.2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 million for the Prior Year Quarter. This increase was primarily related to an increase in licensing revenues of $0.3 million.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totaled $2.6 million for the Current Quarter compared to $2.2 million for the Prior Year Quarter. This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the increase in compensation expense created by an increase in the interactive media business volume and expanded licensing business.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for the Current Quarter decreased to $539,000, or approximately 17% of Net Revenues, compared to $688,000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24% of Net Revenues in the Prior Year Quarter. The decrease was the result of a $457,000 increase in operating costs partially offset by a $308,000 increase in Net Revenues for the Current Quarter compared with the Prior Year Quarter.</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and Finance Expense. </w:t>
      </w:r>
      <w:r>
        <w:rPr>
          <w:rFonts w:ascii="Times New Roman" w:cs="Times New Roman" w:eastAsia="Times New Roman" w:hAnsi="Times New Roman"/>
          <w:sz w:val="18"/>
          <w:szCs w:val="18"/>
          <w:color w:val="auto"/>
        </w:rPr>
        <w:t>Interest and finance expenses for the Current Quarter decreased to $518,000 compared to $543,000 in the Prior Year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Quarter’s interest expense of $518,000 was attributable to interest expense of approximately $276,000 related to the Company’s term loan facility, $30,000 of deferred finance costs and approximately $153,000 and $59,000 of amortization of a seller note discount and term loan discount, respectively. The Prior Year Quarter’s interest expense of $543,000 was attributable to interest expense of approximately $286,000 related to the Company’s term loan facility, $30,000 related to an installment obligation (repaid November 2012), $30,000 of deferred finance costs and approximately $140,000 and $58,000 of amortization of a seller note discount and term loan discount,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effective income tax rate for the Current Quarter is approximately 40% resulting in the $8,000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an effective income tax rate of (11)% in the Prior Year Quarter which resulted in the $17,000 income tax benefit. The Prior Year Quarter included a tax benefit from the effect of a state and local rate allocation change resulting in a (50)% adjustment to the effective tax rate by virtue of applying the rate differential to the opening net deferred tax liability.</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Our net income was $13,000 in the Current Quarter, compared to net income of $162,000 in the Prior Year Quarter, as a result of the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above.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and to a lesser extent, capital expenditures. At March 31, 2013 our unrestricted cash and cash equivalents totaled $3,730,000.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term loan facility requires us to pay interest quarterly at 8.5% per annum. Principal payments of $337,500 are due for each of the next 3 quarters through October 5, 2013 and increase to $506,250 per quarter for the following twelve months. (See ITEM 1, Note 5 for full details on principal obligations under our term loan).</w:t>
      </w:r>
    </w:p>
    <w:p>
      <w:pPr>
        <w:spacing w:after="0" w:line="17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We expect that existing cash and operating cash flows will be adequate to meet our operating needs, debt service obligations and capital expenditure needs for the next twelve months. We are dependent on our licensees for most of our revenues, and there is no assurance that the licensees will perform as projected.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seller note and contingent obligations (See ITEM 1, Note 5 for additional details) are payable in stock and/or cash, at the Company’s discretion. Payment of these obligations in stock would not affect the Company’s liquidity.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model does not require significant capital expenditures. However, we are planning to open our first retail store in the spring of 2013. Although we are limited to $400,000 per year in capital expenditures under our term loan provisions, we estimate that capital expenditures for the next twelve months, including the retail store, will be less than this amount. Therefore, we do not believe that this covenant restricts our licensing and design operations. If we plan on expanding a retail business, we would require lender consent or amend our loan facility to accommodate additional capital expenditures.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both March 31, 2013 and December 31, 2012 the working capital ratio (current assets to current liabilities) was 2.57 to 1.00 and 2.45 to 1.00,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Commentary on components of our cash flows for the Current Quarter as compared to the Prior Year Quarter is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approximately $96,000, from $289,000 in the Prior Year Quarter to $193,000 in the Current Year Quarter. This net decrease in net cash provided by operating activities of approximately $96,000 was primarily due to a decrease in net income of approximately $149,000 from $162,000 in the Prior Year Quarter to approximately $13,000 in the Current Quarter for the reasons discussed above, and offset by an increase in non-cash components to net income of approximately $30,000 from $435,000 in the Prior Year Quarter to $465,000 in the Current Quarter, as well as an increase in aggregate net changes in operating assets and liabilities of $23,000.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Current Quarter increased approximately $7,000, from $44,000 in the Prior Year Quarter to $51,000 in the Current Quarter. This increase was due to purchased equipment and fixtures of $51,000 in the Current Quarter compared to $44,000 in the Prior Year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$324,000, from $17,000 of net cash used in financing activities in the Prior Year Quarter to net cash used in financing activities of $341,000 in the Current Quarter. The net increase of cash used in financing activities was primarily related to a $338,000 principal payment on our term loan in January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the Isaac Mizrahi Brand,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8%, the expected effect on net income would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our accounting policies involve management judgments and estimates that could be significant. The policies with the greatest potential effect on our consolidated results of operations and financial position include the estimate of the fair value contingent obligations to the Seller, based on our revenue performance. Due to our licensing model, we do not have any inventory risk and have reduced our operating risks, and can reasonably forecast revenues and plan expenditures based upon guaranteed royalty minimums and sales projections provided by our retail licensees.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our licensing model,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Financial Accounting Standards Board (“FASB”) Accounting Standard Codification (“ASC”) for Intangibles, Goodwill and Other (“ASC Topic 350”). Under this standard, goodwill and indefinite lived assets are not amortized. The Company’s definite lived intangible assets are amortized over their estimated useful lives.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standard, the Company annually has the option to first assess qualitatively whether it is more likely than not that there is an impairment. The Company completed its annual quanatative assessment of trademarks, goodwill and other intangibles at December 31, 2012 and determined that no impairment charges were required.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losses are recognized for long-lived assets, including certain intangibles, used in operations when indicators of impairment are present and the undiscounted cash flows estimated to be generated by those assets are not sufficient to recover the assets carrying amount. Impairment losses are measured by comparing the fair value of the assets to their carrying amount. For the Current Quarter there were no events which would trigger impairment considerations.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by recognizing the fair value of stock-based compensation in the Unaudited Condensed Consolidated Statements of Operations. The fair value of the Company’s stock option awards are estimated using a Black-Scholes option valuation model. This model requires the input of highly subjective assumptions including expected stock price volatility and the estimated life of each award. In addition, the calculation of compensation costs requires that the Company estimate the number of awards that will be forfeited during the vesting period. Compensation cost for restricted stock is measured using the fair value of the Company’s common stock at the date the common stock is granted. For stock-based awards that vest based on performance conditions (e.g. achievement of certain milestones), expense is recognized when it is probable that the condition will be met.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As of March 31, 2013,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2012 are not the only risks we face. Additional risks and uncertainties not currently known to us or that we currently deem to be immaterial also may materially adversely affect our financial condition and/or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32.2 Section 1350 Certification (CFO)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2013</w:t>
            </w: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7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4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CERTIFICATION PURSUANT TO 18 U.S.C. SECTION 1350, AS ADOPTED PURSUANT TO </w:t>
      </w:r>
      <w:r>
        <w:rPr>
          <w:rFonts w:ascii="Times New Roman" w:cs="Times New Roman" w:eastAsia="Times New Roman" w:hAnsi="Times New Roman"/>
          <w:sz w:val="18"/>
          <w:szCs w:val="18"/>
          <w:color w:val="auto"/>
        </w:rPr>
        <w:t>SECTION 302 OF THE SARBANES 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2013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8"/>
        <w:spacing w:after="0" w:line="266" w:lineRule="auto"/>
        <w:tabs>
          <w:tab w:leader="none" w:pos="1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800" w:val="left"/>
          <w:tab w:leader="none" w:pos="6260" w:val="left"/>
        </w:tabs>
        <w:rPr>
          <w:sz w:val="20"/>
          <w:szCs w:val="20"/>
          <w:color w:val="auto"/>
        </w:rPr>
      </w:pPr>
      <w:r>
        <w:rPr>
          <w:rFonts w:ascii="Times New Roman" w:cs="Times New Roman" w:eastAsia="Times New Roman" w:hAnsi="Times New Roman"/>
          <w:sz w:val="18"/>
          <w:szCs w:val="18"/>
          <w:color w:val="auto"/>
        </w:rPr>
        <w:t>May 14,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4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CERTIFICATION PURSUANT TO 18 U.S.C. SECTION 1350, AS ADOPTED PURSUANT TO </w:t>
      </w:r>
      <w:r>
        <w:rPr>
          <w:rFonts w:ascii="Times New Roman" w:cs="Times New Roman" w:eastAsia="Times New Roman" w:hAnsi="Times New Roman"/>
          <w:sz w:val="18"/>
          <w:szCs w:val="18"/>
          <w:color w:val="auto"/>
        </w:rPr>
        <w:t>SECTION 302 OF THE SARBANES 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2013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8"/>
        <w:spacing w:after="0" w:line="266" w:lineRule="auto"/>
        <w:tabs>
          <w:tab w:leader="none" w:pos="1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800" w:val="left"/>
          <w:tab w:leader="none" w:pos="6260" w:val="left"/>
        </w:tabs>
        <w:rPr>
          <w:sz w:val="20"/>
          <w:szCs w:val="20"/>
          <w:color w:val="auto"/>
        </w:rPr>
      </w:pPr>
      <w:r>
        <w:rPr>
          <w:rFonts w:ascii="Times New Roman" w:cs="Times New Roman" w:eastAsia="Times New Roman" w:hAnsi="Times New Roman"/>
          <w:sz w:val="18"/>
          <w:szCs w:val="18"/>
          <w:color w:val="auto"/>
        </w:rPr>
        <w:t>May 14,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Haran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2013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800" w:val="left"/>
          <w:tab w:leader="none" w:pos="6260" w:val="left"/>
        </w:tabs>
        <w:rPr>
          <w:sz w:val="20"/>
          <w:szCs w:val="20"/>
          <w:color w:val="auto"/>
        </w:rPr>
      </w:pPr>
      <w:r>
        <w:rPr>
          <w:rFonts w:ascii="Times New Roman" w:cs="Times New Roman" w:eastAsia="Times New Roman" w:hAnsi="Times New Roman"/>
          <w:sz w:val="18"/>
          <w:szCs w:val="18"/>
          <w:color w:val="auto"/>
        </w:rPr>
        <w:t>May 14,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2013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800" w:val="left"/>
          <w:tab w:leader="none" w:pos="6260" w:val="left"/>
        </w:tabs>
        <w:rPr>
          <w:sz w:val="20"/>
          <w:szCs w:val="20"/>
          <w:color w:val="auto"/>
        </w:rPr>
      </w:pPr>
      <w:r>
        <w:rPr>
          <w:rFonts w:ascii="Times New Roman" w:cs="Times New Roman" w:eastAsia="Times New Roman" w:hAnsi="Times New Roman"/>
          <w:sz w:val="18"/>
          <w:szCs w:val="18"/>
          <w:color w:val="auto"/>
        </w:rPr>
        <w:t>May 14,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Haran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6"/>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2019-12-06T22:16:00Z</dcterms:created>
  <dcterms:modified xsi:type="dcterms:W3CDTF">2019-12-06T22:16:00Z</dcterms:modified>
</cp:coreProperties>
</file>