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4640" w:right="2140" w:hanging="2283"/>
        <w:spacing w:after="0" w:line="286" w:lineRule="auto"/>
        <w:tabs>
          <w:tab w:leader="none" w:pos="27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UNDER SECTION 13 OR 15 (D) OF THE SECURITIES EXCHANGE ACT OF 1934</w:t>
      </w:r>
    </w:p>
    <w:p>
      <w:pPr>
        <w:spacing w:after="0" w:line="15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2014</w:t>
      </w:r>
    </w:p>
    <w:p>
      <w:pPr>
        <w:spacing w:after="0" w:line="22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COMMISSION FILE NUMBER: 0-31553</w:t>
      </w:r>
    </w:p>
    <w:p>
      <w:pPr>
        <w:spacing w:after="0" w:line="2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XCEL BRANDS, INC.</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240" w:top="657" w:right="439" w:bottom="1440" w:gutter="0" w:footer="0" w:header="0"/>
        </w:sectPr>
      </w:pPr>
    </w:p>
    <w:p>
      <w:pPr>
        <w:spacing w:after="0" w:line="207"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76-0307819</w:t>
      </w:r>
    </w:p>
    <w:p>
      <w:pPr>
        <w:spacing w:after="0" w:line="2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6" w:lineRule="exact"/>
        <w:rPr>
          <w:sz w:val="24"/>
          <w:szCs w:val="24"/>
          <w:color w:val="auto"/>
        </w:rPr>
      </w:pPr>
    </w:p>
    <w:p>
      <w:pPr>
        <w:sectPr>
          <w:pgSz w:w="11900" w:h="16838" w:orient="portrait"/>
          <w:cols w:equalWidth="0" w:num="2">
            <w:col w:w="6660" w:space="720"/>
            <w:col w:w="3840"/>
          </w:cols>
          <w:pgMar w:left="240" w:top="657" w:right="439" w:bottom="1440" w:gutter="0" w:footer="0" w:header="0"/>
          <w:type w:val="continuous"/>
        </w:sectPr>
      </w:pPr>
    </w:p>
    <w:p>
      <w:pPr>
        <w:spacing w:after="0" w:line="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color w:val="auto"/>
        </w:rPr>
        <w:t>475 Tenth Ave, 4th Floor</w:t>
      </w:r>
    </w:p>
    <w:p>
      <w:pPr>
        <w:spacing w:after="0" w:line="2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New York, NY 10018</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(347)-727-2474</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20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657" w:right="439" w:bottom="1440" w:gutter="0" w:footer="0" w:header="0"/>
          <w:type w:val="continuous"/>
        </w:sect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1620" w:space="100"/>
            <w:col w:w="3280" w:space="720"/>
            <w:col w:w="1200" w:space="100"/>
            <w:col w:w="4200"/>
          </w:cols>
          <w:pgMar w:left="240" w:top="657" w:right="4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97" w:lineRule="exact"/>
        <w:rPr>
          <w:sz w:val="24"/>
          <w:szCs w:val="24"/>
          <w:color w:val="auto"/>
        </w:rPr>
      </w:pPr>
    </w:p>
    <w:p>
      <w:pPr>
        <w:sectPr>
          <w:pgSz w:w="11900" w:h="16838" w:orient="portrait"/>
          <w:cols w:equalWidth="0" w:num="4">
            <w:col w:w="1580" w:space="80"/>
            <w:col w:w="3340" w:space="720"/>
            <w:col w:w="1840" w:space="120"/>
            <w:col w:w="3540"/>
          </w:cols>
          <w:pgMar w:left="240" w:top="657" w:right="439" w:bottom="1440" w:gutter="0" w:footer="0" w:header="0"/>
          <w:type w:val="continuous"/>
        </w:sectPr>
      </w:pPr>
    </w:p>
    <w:p>
      <w:pPr>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14, 2014 10,812,759 shares of common stock, $.001 par value per share, of the issuer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657"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700" w:type="dxa"/>
            <w:vAlign w:val="bottom"/>
            <w:gridSpan w:val="6"/>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9"/>
              </w:rPr>
              <w:t>XCEL BRANDS,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80" w:type="dxa"/>
            <w:vAlign w:val="bottom"/>
            <w:gridSpan w:val="5"/>
          </w:tcPr>
          <w:p>
            <w:pPr>
              <w:jc w:val="center"/>
              <w:ind w:right="4220"/>
              <w:spacing w:after="0"/>
              <w:rPr>
                <w:sz w:val="20"/>
                <w:szCs w:val="20"/>
                <w:color w:val="auto"/>
              </w:rPr>
            </w:pPr>
            <w:r>
              <w:rPr>
                <w:rFonts w:ascii="Times New Roman" w:cs="Times New Roman" w:eastAsia="Times New Roman" w:hAnsi="Times New Roman"/>
                <w:sz w:val="18"/>
                <w:szCs w:val="18"/>
                <w:color w:val="auto"/>
                <w:w w:val="99"/>
              </w:rPr>
              <w:t>INDEX</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PART I.</w:t>
            </w:r>
          </w:p>
        </w:tc>
        <w:tc>
          <w:tcPr>
            <w:tcW w:w="9600" w:type="dxa"/>
            <w:vAlign w:val="bottom"/>
            <w:gridSpan w:val="16"/>
            <w:shd w:val="clear" w:color="auto" w:fill="CCFFCC"/>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1.</w:t>
            </w:r>
          </w:p>
        </w:tc>
        <w:tc>
          <w:tcPr>
            <w:tcW w:w="9600" w:type="dxa"/>
            <w:vAlign w:val="bottom"/>
            <w:gridSpan w:val="16"/>
            <w:shd w:val="clear" w:color="auto" w:fill="CCFFCC"/>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9600" w:type="dxa"/>
            <w:vAlign w:val="bottom"/>
            <w:gridSpan w:val="16"/>
            <w:shd w:val="clear" w:color="auto" w:fill="CCFFCC"/>
          </w:tcPr>
          <w:p>
            <w:pPr>
              <w:ind w:left="16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Condensed Consolidated Balance Sheets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9600" w:type="dxa"/>
            <w:vAlign w:val="bottom"/>
            <w:gridSpan w:val="16"/>
            <w:shd w:val="clear" w:color="auto" w:fill="CCFFCC"/>
          </w:tcPr>
          <w:p>
            <w:pPr>
              <w:ind w:left="16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Statements of Operations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9600" w:type="dxa"/>
            <w:vAlign w:val="bottom"/>
            <w:gridSpan w:val="16"/>
            <w:shd w:val="clear" w:color="auto" w:fill="CCFFCC"/>
          </w:tcPr>
          <w:p>
            <w:pPr>
              <w:ind w:left="16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Cash Flows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9600" w:type="dxa"/>
            <w:vAlign w:val="bottom"/>
            <w:gridSpan w:val="16"/>
            <w:shd w:val="clear" w:color="auto" w:fill="CCFFCC"/>
          </w:tcPr>
          <w:p>
            <w:pPr>
              <w:ind w:left="16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Unaudited Condensed Consolidated Financial Statements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0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0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Controls and Procedures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66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60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OTHER INFORMATION</w:t>
              </w:r>
            </w:hyperlink>
          </w:p>
        </w:tc>
        <w:tc>
          <w:tcPr>
            <w:tcW w:w="90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66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0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Legal Proceedings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66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0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Risk Factors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66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0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Unregistered sales of equity securities and use of proceeds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0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Defaults upon senior securities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0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Mine Safety Disclosures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66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0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Other information</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66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FFCC"/>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0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Exhibits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66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960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Signatures</w:t>
              </w:r>
            </w:hyperlink>
          </w:p>
        </w:tc>
        <w:tc>
          <w:tcPr>
            <w:tcW w:w="900" w:type="dxa"/>
            <w:vAlign w:val="bottom"/>
            <w:shd w:val="clear" w:color="auto" w:fill="CCFFCC"/>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0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c>
          <w:tcPr>
            <w:tcW w:w="40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44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340" w:type="dxa"/>
            <w:vAlign w:val="bottom"/>
            <w:tcBorders>
              <w:top w:val="single" w:sz="8" w:color="CCFFCC"/>
              <w:bottom w:val="single" w:sz="8" w:color="auto"/>
            </w:tcBorders>
          </w:tcPr>
          <w:p>
            <w:pPr>
              <w:spacing w:after="0"/>
              <w:rPr>
                <w:sz w:val="24"/>
                <w:szCs w:val="24"/>
                <w:color w:val="auto"/>
              </w:rPr>
            </w:pPr>
          </w:p>
        </w:tc>
        <w:tc>
          <w:tcPr>
            <w:tcW w:w="1660" w:type="dxa"/>
            <w:vAlign w:val="bottom"/>
            <w:tcBorders>
              <w:top w:val="single" w:sz="8" w:color="CCFFCC"/>
              <w:bottom w:val="single" w:sz="8" w:color="auto"/>
            </w:tcBorders>
          </w:tcPr>
          <w:p>
            <w:pPr>
              <w:spacing w:after="0"/>
              <w:rPr>
                <w:sz w:val="24"/>
                <w:szCs w:val="24"/>
                <w:color w:val="auto"/>
              </w:rPr>
            </w:pPr>
          </w:p>
        </w:tc>
        <w:tc>
          <w:tcPr>
            <w:tcW w:w="320" w:type="dxa"/>
            <w:vAlign w:val="bottom"/>
            <w:tcBorders>
              <w:top w:val="single" w:sz="8" w:color="CCFFCC"/>
              <w:bottom w:val="single" w:sz="8" w:color="auto"/>
            </w:tcBorders>
          </w:tcPr>
          <w:p>
            <w:pPr>
              <w:spacing w:after="0"/>
              <w:rPr>
                <w:sz w:val="24"/>
                <w:szCs w:val="24"/>
                <w:color w:val="auto"/>
              </w:rPr>
            </w:pPr>
          </w:p>
        </w:tc>
        <w:tc>
          <w:tcPr>
            <w:tcW w:w="400" w:type="dxa"/>
            <w:vAlign w:val="bottom"/>
            <w:tcBorders>
              <w:top w:val="single" w:sz="8" w:color="CCFFCC"/>
              <w:bottom w:val="single" w:sz="8" w:color="auto"/>
            </w:tcBorders>
          </w:tcPr>
          <w:p>
            <w:pPr>
              <w:spacing w:after="0"/>
              <w:rPr>
                <w:sz w:val="24"/>
                <w:szCs w:val="24"/>
                <w:color w:val="auto"/>
              </w:rPr>
            </w:pPr>
          </w:p>
        </w:tc>
        <w:tc>
          <w:tcPr>
            <w:tcW w:w="60" w:type="dxa"/>
            <w:vAlign w:val="bottom"/>
            <w:tcBorders>
              <w:top w:val="single" w:sz="8" w:color="CCFFCC"/>
              <w:bottom w:val="single" w:sz="8" w:color="auto"/>
            </w:tcBorders>
          </w:tcPr>
          <w:p>
            <w:pPr>
              <w:spacing w:after="0"/>
              <w:rPr>
                <w:sz w:val="24"/>
                <w:szCs w:val="24"/>
                <w:color w:val="auto"/>
              </w:rPr>
            </w:pPr>
          </w:p>
        </w:tc>
        <w:tc>
          <w:tcPr>
            <w:tcW w:w="280" w:type="dxa"/>
            <w:vAlign w:val="bottom"/>
            <w:tcBorders>
              <w:top w:val="single" w:sz="8" w:color="CCFFCC"/>
              <w:bottom w:val="single" w:sz="8" w:color="auto"/>
            </w:tcBorders>
          </w:tcPr>
          <w:p>
            <w:pPr>
              <w:spacing w:after="0"/>
              <w:rPr>
                <w:sz w:val="24"/>
                <w:szCs w:val="24"/>
                <w:color w:val="auto"/>
              </w:rPr>
            </w:pPr>
          </w:p>
        </w:tc>
        <w:tc>
          <w:tcPr>
            <w:tcW w:w="1480" w:type="dxa"/>
            <w:vAlign w:val="bottom"/>
            <w:tcBorders>
              <w:top w:val="single" w:sz="8" w:color="CCFFCC"/>
              <w:bottom w:val="single" w:sz="8" w:color="auto"/>
            </w:tcBorders>
          </w:tcPr>
          <w:p>
            <w:pPr>
              <w:spacing w:after="0"/>
              <w:rPr>
                <w:sz w:val="24"/>
                <w:szCs w:val="24"/>
                <w:color w:val="auto"/>
              </w:rPr>
            </w:pPr>
          </w:p>
        </w:tc>
        <w:tc>
          <w:tcPr>
            <w:tcW w:w="3160" w:type="dxa"/>
            <w:vAlign w:val="bottom"/>
            <w:tcBorders>
              <w:top w:val="single" w:sz="8" w:color="CCFFCC"/>
              <w:bottom w:val="single" w:sz="8" w:color="auto"/>
            </w:tcBorders>
          </w:tcPr>
          <w:p>
            <w:pPr>
              <w:spacing w:after="0"/>
              <w:rPr>
                <w:sz w:val="24"/>
                <w:szCs w:val="24"/>
                <w:color w:val="auto"/>
              </w:rPr>
            </w:pPr>
          </w:p>
        </w:tc>
        <w:tc>
          <w:tcPr>
            <w:tcW w:w="900" w:type="dxa"/>
            <w:vAlign w:val="bottom"/>
            <w:tcBorders>
              <w:top w:val="single" w:sz="8" w:color="CCFFCC"/>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2014</w:t>
            </w: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0" w:type="dxa"/>
            <w:vAlign w:val="bottom"/>
          </w:tcPr>
          <w:p>
            <w:pPr>
              <w:spacing w:after="0"/>
              <w:rPr>
                <w:sz w:val="1"/>
                <w:szCs w:val="1"/>
                <w:color w:val="auto"/>
              </w:rPr>
            </w:pPr>
          </w:p>
        </w:tc>
      </w:tr>
      <w:tr>
        <w:trPr>
          <w:trHeight w:val="169"/>
        </w:trPr>
        <w:tc>
          <w:tcPr>
            <w:tcW w:w="80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90"/>
              <w:spacing w:after="0" w:line="170" w:lineRule="exact"/>
              <w:rPr>
                <w:sz w:val="20"/>
                <w:szCs w:val="20"/>
                <w:color w:val="auto"/>
              </w:rPr>
            </w:pPr>
            <w:r>
              <w:rPr>
                <w:rFonts w:ascii="Times New Roman" w:cs="Times New Roman" w:eastAsia="Times New Roman" w:hAnsi="Times New Roman"/>
                <w:sz w:val="18"/>
                <w:szCs w:val="18"/>
                <w:b w:val="1"/>
                <w:bCs w:val="1"/>
                <w:color w:val="auto"/>
              </w:rPr>
              <w:t>(See Note 1)</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6,468,000</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3,725,000</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3,541,000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594,000</w:t>
            </w:r>
          </w:p>
        </w:tc>
        <w:tc>
          <w:tcPr>
            <w:tcW w:w="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477,000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FFC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10,912,000</w:t>
            </w:r>
          </w:p>
        </w:tc>
        <w:tc>
          <w:tcPr>
            <w:tcW w:w="3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11,549,000</w:t>
            </w:r>
          </w:p>
        </w:tc>
        <w:tc>
          <w:tcPr>
            <w:tcW w:w="100" w:type="dxa"/>
            <w:vAlign w:val="bottom"/>
            <w:tcBorders>
              <w:bottom w:val="single" w:sz="8" w:color="CCFFC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Leasehold improvements, furniture and equipment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2,227,000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869,000</w:t>
            </w:r>
          </w:p>
        </w:tc>
        <w:tc>
          <w:tcPr>
            <w:tcW w:w="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769,000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FFC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1,358,000</w:t>
            </w:r>
          </w:p>
        </w:tc>
        <w:tc>
          <w:tcPr>
            <w:tcW w:w="3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1,153,000</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Trademarks and other intangibles,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45,176,000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45,308,000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12,371,000</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12,371,000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Deferred finance costs,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492,000</w:t>
            </w:r>
          </w:p>
        </w:tc>
        <w:tc>
          <w:tcPr>
            <w:tcW w:w="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344,000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FFC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58,262,000</w:t>
            </w:r>
          </w:p>
        </w:tc>
        <w:tc>
          <w:tcPr>
            <w:tcW w:w="3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58,222,000</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CCFFCC"/>
            </w:tcBorders>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70,532,000</w:t>
            </w:r>
          </w:p>
        </w:tc>
        <w:tc>
          <w:tcPr>
            <w:tcW w:w="320" w:type="dxa"/>
            <w:vAlign w:val="bottom"/>
            <w:tcBorders>
              <w:bottom w:val="single" w:sz="8" w:color="CCFFCC"/>
            </w:tcBorders>
            <w:shd w:val="clear" w:color="auto" w:fill="CCFFCC"/>
          </w:tcPr>
          <w:p>
            <w:pPr>
              <w:spacing w:after="0"/>
              <w:rPr>
                <w:sz w:val="19"/>
                <w:szCs w:val="19"/>
                <w:color w:val="auto"/>
              </w:rPr>
            </w:pPr>
          </w:p>
        </w:tc>
        <w:tc>
          <w:tcPr>
            <w:tcW w:w="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70,924,000</w:t>
            </w:r>
          </w:p>
        </w:tc>
        <w:tc>
          <w:tcPr>
            <w:tcW w:w="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auto"/>
            </w:tcBorders>
            <w:gridSpan w:val="2"/>
            <w:shd w:val="clear" w:color="auto" w:fill="CCFFC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53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120" w:type="dxa"/>
            <w:vAlign w:val="bottom"/>
            <w:tcBorders>
              <w:bottom w:val="single" w:sz="8" w:color="CCFFCC"/>
            </w:tcBorders>
            <w:shd w:val="clear" w:color="auto" w:fill="CCFFCC"/>
          </w:tcPr>
          <w:p>
            <w:pPr>
              <w:spacing w:after="0"/>
              <w:rPr>
                <w:sz w:val="17"/>
                <w:szCs w:val="17"/>
                <w:color w:val="auto"/>
              </w:rPr>
            </w:pPr>
          </w:p>
        </w:tc>
        <w:tc>
          <w:tcPr>
            <w:tcW w:w="32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128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1,292,000</w:t>
            </w:r>
          </w:p>
        </w:tc>
        <w:tc>
          <w:tcPr>
            <w:tcW w:w="1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1,289,000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36,000</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66,000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1,250,000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FFCC"/>
            </w:tcBorders>
            <w:gridSpan w:val="3"/>
            <w:shd w:val="clear" w:color="auto" w:fill="CCFFC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2,965,000</w:t>
            </w:r>
          </w:p>
        </w:tc>
        <w:tc>
          <w:tcPr>
            <w:tcW w:w="3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2,411,000</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23,240,000</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24,161,000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8,346,000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8,918,000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54,000</w:t>
            </w:r>
          </w:p>
        </w:tc>
        <w:tc>
          <w:tcPr>
            <w:tcW w:w="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57,000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FFC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31,640,000</w:t>
            </w:r>
          </w:p>
        </w:tc>
        <w:tc>
          <w:tcPr>
            <w:tcW w:w="3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33,136,000</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34,605,000</w:t>
            </w: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35,547,000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 and 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Common stock, $.001 par value, 25,000,000 shares authorized, 10,812,759 and 10,005,509</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issued and outstanding at March 31, 2014 and December 31, 2013, respectively</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32,348,000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30,843,000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3"/>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3,569,000</w:t>
            </w:r>
          </w:p>
        </w:tc>
        <w:tc>
          <w:tcPr>
            <w:tcW w:w="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4,524,000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FFC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35,927,000</w:t>
            </w:r>
          </w:p>
        </w:tc>
        <w:tc>
          <w:tcPr>
            <w:tcW w:w="3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35,377,000</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5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70,532,000</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70,924,000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0"/>
        </w:trPr>
        <w:tc>
          <w:tcPr>
            <w:tcW w:w="54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480" w:type="dxa"/>
            <w:vAlign w:val="bottom"/>
            <w:tcBorders>
              <w:bottom w:val="single" w:sz="8" w:color="CCFFCC"/>
            </w:tcBorders>
          </w:tcPr>
          <w:p>
            <w:pPr>
              <w:spacing w:after="0"/>
              <w:rPr>
                <w:sz w:val="20"/>
                <w:szCs w:val="20"/>
                <w:color w:val="auto"/>
              </w:rPr>
            </w:pPr>
          </w:p>
        </w:tc>
        <w:tc>
          <w:tcPr>
            <w:tcW w:w="31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r>
      <w:tr>
        <w:trPr>
          <w:trHeight w:val="210"/>
        </w:trPr>
        <w:tc>
          <w:tcPr>
            <w:tcW w:w="5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Revenues</w:t>
            </w:r>
          </w:p>
        </w:tc>
        <w:tc>
          <w:tcPr>
            <w:tcW w:w="3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licensing revenue</w:t>
            </w:r>
          </w:p>
        </w:tc>
        <w:tc>
          <w:tcPr>
            <w:tcW w:w="3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3,103,000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2,903,000</w:t>
            </w:r>
          </w:p>
        </w:tc>
      </w:tr>
      <w:tr>
        <w:trPr>
          <w:trHeight w:val="216"/>
        </w:trPr>
        <w:tc>
          <w:tcPr>
            <w:tcW w:w="54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Design and service fee revenue</w:t>
            </w:r>
          </w:p>
        </w:tc>
        <w:tc>
          <w:tcPr>
            <w:tcW w:w="3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437,000</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285,000</w:t>
            </w: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retail sales</w:t>
            </w:r>
          </w:p>
        </w:tc>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80" w:type="dxa"/>
            <w:vAlign w:val="bottom"/>
            <w:tcBorders>
              <w:top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3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3,566,000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3,188,000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80" w:type="dxa"/>
            <w:vAlign w:val="bottom"/>
            <w:tcBorders>
              <w:top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3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3,533,000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3,188,000</w:t>
            </w:r>
          </w:p>
        </w:tc>
        <w:tc>
          <w:tcPr>
            <w:tcW w:w="100" w:type="dxa"/>
            <w:vAlign w:val="bottom"/>
            <w:tcBorders>
              <w:top w:val="single" w:sz="8" w:color="CCFFCC"/>
            </w:tcBorders>
            <w:shd w:val="clear" w:color="auto" w:fill="CCFFCC"/>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420"/>
          </w:cols>
          <w:pgMar w:left="240" w:top="873"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Salaries, benefits and employment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design and marketing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finance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Interest expense - term loan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interest and finance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Total interest and finance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2,102,000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1,565,000</w:t>
            </w:r>
          </w:p>
        </w:tc>
      </w:tr>
      <w:tr>
        <w:trPr>
          <w:trHeight w:val="216"/>
        </w:trPr>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198,000</w:t>
            </w:r>
          </w:p>
        </w:tc>
      </w:tr>
      <w:tr>
        <w:trPr>
          <w:trHeight w:val="216"/>
        </w:trPr>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743,000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604,000</w:t>
            </w:r>
          </w:p>
        </w:tc>
      </w:tr>
      <w:tr>
        <w:trPr>
          <w:trHeight w:val="230"/>
        </w:trPr>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1,567,000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34"/>
        </w:trPr>
        <w:tc>
          <w:tcPr>
            <w:tcW w:w="3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235,000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217,000</w:t>
            </w:r>
          </w:p>
        </w:tc>
      </w:tr>
      <w:tr>
        <w:trPr>
          <w:trHeight w:val="210"/>
        </w:trPr>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2,649,000</w:t>
            </w:r>
          </w:p>
        </w:tc>
      </w:tr>
      <w:tr>
        <w:trPr>
          <w:trHeight w:val="439"/>
        </w:trPr>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(1,289,000)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539,000</w:t>
            </w:r>
          </w:p>
        </w:tc>
      </w:tr>
      <w:tr>
        <w:trPr>
          <w:trHeight w:val="637"/>
        </w:trPr>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276,000</w:t>
            </w:r>
          </w:p>
        </w:tc>
      </w:tr>
      <w:tr>
        <w:trPr>
          <w:trHeight w:val="234"/>
        </w:trPr>
        <w:tc>
          <w:tcPr>
            <w:tcW w:w="3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94,000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242,000</w:t>
            </w:r>
          </w:p>
        </w:tc>
      </w:tr>
      <w:tr>
        <w:trPr>
          <w:trHeight w:val="210"/>
        </w:trPr>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518,000</w:t>
            </w:r>
          </w:p>
        </w:tc>
      </w:tr>
      <w:tr>
        <w:trPr>
          <w:trHeight w:val="426"/>
        </w:trPr>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(1,527,000)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446"/>
        </w:trPr>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(572,000)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0"/>
        </w:trPr>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453"/>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(955,000)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87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520" w:type="dxa"/>
            <w:vAlign w:val="bottom"/>
            <w:shd w:val="clear" w:color="auto" w:fill="CCFFCC"/>
          </w:tcPr>
          <w:p>
            <w:pPr>
              <w:spacing w:after="0"/>
              <w:rPr>
                <w:sz w:val="17"/>
                <w:szCs w:val="17"/>
                <w:color w:val="auto"/>
              </w:rPr>
            </w:pPr>
          </w:p>
        </w:tc>
        <w:tc>
          <w:tcPr>
            <w:tcW w:w="20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232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80" w:type="dxa"/>
            <w:vAlign w:val="bottom"/>
            <w:gridSpan w:val="2"/>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FFCC"/>
              <w:bottom w:val="single" w:sz="8" w:color="CCFFCC"/>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040" w:type="dxa"/>
            <w:vAlign w:val="bottom"/>
            <w:tcBorders>
              <w:top w:val="single" w:sz="8" w:color="CCFFCC"/>
              <w:bottom w:val="single" w:sz="8" w:color="CCFFCC"/>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bottom w:val="single" w:sz="8" w:color="CCFFCC"/>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FFCC"/>
              <w:bottom w:val="single" w:sz="8" w:color="CCFFCC"/>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Borders>
              <w:bottom w:val="single" w:sz="8" w:color="CCFFCC"/>
            </w:tcBorders>
            <w:vMerge w:val="continue"/>
          </w:tcPr>
          <w:p>
            <w:pPr>
              <w:spacing w:after="0"/>
              <w:rPr>
                <w:sz w:val="20"/>
                <w:szCs w:val="20"/>
                <w:color w:val="auto"/>
              </w:rPr>
            </w:pPr>
          </w:p>
        </w:tc>
        <w:tc>
          <w:tcPr>
            <w:tcW w:w="2040" w:type="dxa"/>
            <w:vAlign w:val="bottom"/>
            <w:tcBorders>
              <w:bottom w:val="single" w:sz="8" w:color="CCFFCC"/>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40" w:type="dxa"/>
            <w:vAlign w:val="bottom"/>
            <w:tcBorders>
              <w:bottom w:val="single" w:sz="8" w:color="CCFFCC"/>
            </w:tcBorders>
            <w:vMerge w:val="continue"/>
          </w:tcPr>
          <w:p>
            <w:pPr>
              <w:spacing w:after="0"/>
              <w:rPr>
                <w:sz w:val="20"/>
                <w:szCs w:val="20"/>
                <w:color w:val="auto"/>
              </w:rPr>
            </w:pPr>
          </w:p>
        </w:tc>
        <w:tc>
          <w:tcPr>
            <w:tcW w:w="60" w:type="dxa"/>
            <w:vAlign w:val="bottom"/>
            <w:tcBorders>
              <w:bottom w:val="single" w:sz="8" w:color="CCFFCC"/>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20" w:type="dxa"/>
            <w:vAlign w:val="bottom"/>
            <w:tcBorders>
              <w:bottom w:val="single" w:sz="8" w:color="CCFFCC"/>
            </w:tcBorders>
            <w:vMerge w:val="continue"/>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shd w:val="clear" w:color="auto" w:fill="CCFFCC"/>
          </w:tcPr>
          <w:p>
            <w:pPr>
              <w:spacing w:after="0"/>
              <w:rPr>
                <w:sz w:val="17"/>
                <w:szCs w:val="17"/>
                <w:color w:val="auto"/>
              </w:rPr>
            </w:pPr>
          </w:p>
        </w:tc>
        <w:tc>
          <w:tcPr>
            <w:tcW w:w="20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20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10,830,312</w:t>
            </w:r>
          </w:p>
        </w:tc>
        <w:tc>
          <w:tcPr>
            <w:tcW w:w="6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7,339,979</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FFCC"/>
              <w:bottom w:val="single" w:sz="8" w:color="CCFFCC"/>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0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bottom w:val="single" w:sz="8" w:color="CCFFCC"/>
            </w:tcBorders>
            <w:vMerge w:val="restart"/>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10,830,312</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7,922,529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(955,000)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235,000</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finance costs</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11,000</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seller note discount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78,000</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Amortization of senior note discount</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(572,000)</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(185,000)</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(56,000)</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(108,000)</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11,000</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(487,000)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(114,000)</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0" w:type="dxa"/>
            <w:vAlign w:val="bottom"/>
            <w:tcBorders>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24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(306,000)</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Advance deposit related to trademark acquisition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(168,000)</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(474,000)</w:t>
            </w:r>
          </w:p>
        </w:tc>
        <w:tc>
          <w:tcPr>
            <w:tcW w:w="2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Shares repurchased on vesting of restricted stock</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(63,000)</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of contingent obligation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(315,000)</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Payment of deferred finance costs</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Repayment of lease obligation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(413,000)</w:t>
            </w:r>
          </w:p>
        </w:tc>
        <w:tc>
          <w:tcPr>
            <w:tcW w:w="2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(341,000)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(993,000)</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(199,000)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7,461,000</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3,929,000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0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6,468,000</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3,730,000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40" w:type="dxa"/>
            <w:vAlign w:val="bottom"/>
            <w:tcBorders>
              <w:top w:val="single" w:sz="8" w:color="CCFFCC"/>
              <w:bottom w:val="single" w:sz="8" w:color="CCFFCC"/>
            </w:tcBorders>
            <w:shd w:val="clear" w:color="auto" w:fill="CCFFCC"/>
          </w:tcPr>
          <w:p>
            <w:pPr>
              <w:ind w:left="160"/>
              <w:spacing w:after="0" w:line="196" w:lineRule="exact"/>
              <w:rPr>
                <w:sz w:val="20"/>
                <w:szCs w:val="20"/>
                <w:color w:val="auto"/>
              </w:rPr>
            </w:pPr>
            <w:r>
              <w:rPr>
                <w:rFonts w:ascii="Times New Roman" w:cs="Times New Roman" w:eastAsia="Times New Roman" w:hAnsi="Times New Roman"/>
                <w:sz w:val="18"/>
                <w:szCs w:val="18"/>
                <w:color w:val="auto"/>
              </w:rPr>
              <w:t>Cash paid during the period for interest</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300" w:type="dxa"/>
            <w:vAlign w:val="bottom"/>
            <w:tcBorders>
              <w:top w:val="single" w:sz="8" w:color="auto"/>
              <w:bottom w:val="single" w:sz="8" w:color="auto"/>
            </w:tcBorders>
            <w:shd w:val="clear" w:color="auto" w:fill="CCFFC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144,000</w:t>
            </w:r>
          </w:p>
        </w:tc>
        <w:tc>
          <w:tcPr>
            <w:tcW w:w="240" w:type="dxa"/>
            <w:vAlign w:val="bottom"/>
            <w:tcBorders>
              <w:top w:val="single" w:sz="8" w:color="CCFFCC"/>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286,000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to Form 10-Q and Article 10-01 of Regulation S-X. Accordingly, they do not include all the information and footnotes required by generally accepted accounting principles for complete financial statements. In the opinion of management of Xcel Brands, Inc., (“Xcel”, the "Company", “we”, “us”, or “our”), all adjustments (consisting primarily of normal recurring accruals) considered necessary for a fair presentation have been included. The Condensed Consolidated Balance Sheet as of December 31, 2013 has been derived from audited consolidated financial statements. Operating results for the three months ended March 31, 2014 (the “Current Quarter”) are not necessarily indicative of the results that may be expected for a full fiscal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engages in the design, licensing, marketing and retail sales of consumer brands, including the Isaac Mizrahi Brand and certain rights of the Liz Claiborne New York Brand (“LCNY”) and the Judith Ripka Brand (the “Ripka Brand”), which we acquired on April 3, 2014 (see Note 9, Subsequent Events). The Company operates in two segments - (1) Design and Licensing and (2) our Retail Business.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Design and Licensing business operates in a “working capital light” business model, wherein we license our brands to third parties, provide certain design services, and generate royalty and design and service fee revenues through licensing and other agreements with wholesale manufacturers, sourcing and design companies, and retailers. This includes licensing our own brands for promotion and distribution through an Omnichannel retail sales strategy including distribution through Direct-Response Television (i.e. QVC, Inc. (“QVC”) and The Shopping Channel), the internet, and traditional bricks-and-mortar retail channels. The Isaac Mizrahi Brand and LCNY brand are licensed through our wholly-owned subsidiary IM Brands, LLC (“IM Brands”)(the “Isaac Mizrahi Business”) and the Ripka Brand is licensed through our wholly-owned subsidiary, JR Licensing, LLC (“JR Licensing”).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Retail Business operates through its wholly-owned subsidiary, IMNY Retail Management, LLC (“Retail Management”), and was launched in June 2013 opening the Company’s first retail store located in Southampton, New York (the “Southampton Store”). The Company opened its second retail store, an outlet store, located near Atlanta, GA (the “Georgia Store”), on March 2, 2014. Also, Retail Management plans to launch an e-commerce platform in the second quarter of 2014.</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footnotes thereto included in the Company's Annual Report on Form 10-K for the year ended December 31, 2013.</w:t>
      </w:r>
    </w:p>
    <w:p>
      <w:pPr>
        <w:spacing w:after="0" w:line="15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Certain reclassifications have been made to the prior period condensed consolidated financial statements to conform to the current period presentation.</w:t>
      </w:r>
    </w:p>
    <w:p>
      <w:pPr>
        <w:spacing w:after="0" w:line="16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Trademarks, Goodwill and Other Intangibles</w:t>
      </w:r>
    </w:p>
    <w:p>
      <w:pPr>
        <w:sectPr>
          <w:pgSz w:w="11900" w:h="16838" w:orient="portrait"/>
          <w:cols w:equalWidth="0" w:num="1">
            <w:col w:w="11420"/>
          </w:cols>
          <w:pgMar w:left="240" w:top="873" w:right="2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579755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Licensing agreements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Accumulated amortization, licensing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Net carrying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tabs>
          <w:tab w:leader="none" w:pos="1160" w:val="left"/>
        </w:tabs>
        <w:rPr>
          <w:sz w:val="20"/>
          <w:szCs w:val="20"/>
          <w:color w:val="auto"/>
        </w:rPr>
      </w:pPr>
      <w:r>
        <w:rPr>
          <w:rFonts w:ascii="Times New Roman" w:cs="Times New Roman" w:eastAsia="Times New Roman" w:hAnsi="Times New Roman"/>
          <w:sz w:val="18"/>
          <w:szCs w:val="18"/>
          <w:color w:val="auto"/>
        </w:rPr>
        <w:t>March 31,</w:t>
      </w:r>
      <w:r>
        <w:rPr>
          <w:sz w:val="20"/>
          <w:szCs w:val="20"/>
          <w:color w:val="auto"/>
        </w:rPr>
        <w:tab/>
      </w: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p>
      <w:pPr>
        <w:ind w:left="340"/>
        <w:spacing w:after="0"/>
        <w:tabs>
          <w:tab w:leader="none" w:pos="1500" w:val="left"/>
        </w:tabs>
        <w:rPr>
          <w:sz w:val="20"/>
          <w:szCs w:val="20"/>
          <w:color w:val="auto"/>
        </w:rPr>
      </w:pPr>
      <w:r>
        <w:rPr>
          <w:rFonts w:ascii="Times New Roman" w:cs="Times New Roman" w:eastAsia="Times New Roman" w:hAnsi="Times New Roman"/>
          <w:sz w:val="18"/>
          <w:szCs w:val="18"/>
          <w:color w:val="auto"/>
        </w:rPr>
        <w:t>2014</w:t>
      </w:r>
      <w:r>
        <w:rPr>
          <w:sz w:val="20"/>
          <w:szCs w:val="20"/>
          <w:color w:val="auto"/>
        </w:rPr>
        <w:tab/>
      </w:r>
      <w:r>
        <w:rPr>
          <w:rFonts w:ascii="Times New Roman" w:cs="Times New Roman" w:eastAsia="Times New Roman" w:hAnsi="Times New Roman"/>
          <w:sz w:val="18"/>
          <w:szCs w:val="18"/>
          <w:color w:val="auto"/>
        </w:rPr>
        <w:t>2013</w:t>
      </w:r>
    </w:p>
    <w:p>
      <w:pPr>
        <w:spacing w:after="0" w:line="9" w:lineRule="exact"/>
        <w:rPr>
          <w:sz w:val="20"/>
          <w:szCs w:val="20"/>
          <w:color w:val="auto"/>
        </w:rPr>
      </w:pPr>
    </w:p>
    <w:p>
      <w:pPr>
        <w:ind w:left="220" w:hanging="210"/>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44,500,000  $ 44,500,000</w:t>
      </w:r>
    </w:p>
    <w:p>
      <w:pPr>
        <w:spacing w:after="0" w:line="22"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2,000,0002,000,000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(1,324,000)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(1,192,000)</w:t>
            </w:r>
          </w:p>
        </w:tc>
      </w:tr>
      <w:tr>
        <w:trPr>
          <w:trHeight w:val="223"/>
        </w:trPr>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$ 45,176,000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$ 45,308,000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420"/>
          </w:cols>
          <w:pgMar w:left="240" w:top="873" w:right="2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for the Current Quarter and the quarter ended March 31, 2013 (the “Prior Year Quarter”) was $132,000 and $131,000, respectively. The trademarks of the Isaac Mizrahi Brand and related goodwill have been determined to have an indefinite useful life and accordingly, consistent with Accounting Standard Codification (“ASC”) Topic 350, no amortization has been recorded in the Company's unaudited condensed consolidated statements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2014 the Company had $12,371,000 of goodwill that represents the excess of the purchase price over the fair value of net assets acquired accounted for under the acquisition method of accounting relating to the acquisition of the Isaac Mizrahi Business. There was no change in goodwill during the Current Quarter.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6" w:name="page7"/>
    <w:bookmarkEnd w:id="6"/>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QVC Mizrahi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agreement with QVC, they are required to pay us fees based primarily on a percentage of its net sales of Isaac Mizrahi branded merchandise. QVC royalty revenue represents a significant portion of the Company’s total revenues. Royalties from QVC totaled $2,288,000 and $1,992,000 for the Current Quarter and the Prior Year Quarter, respectively, representing 64% and 62% of the Company’s total revenues each quarter, respectively. As of March 31, 2014 and December 31, 2013, the Company had receivables from QVC of $2,349,000 and $2,060,000, representing 63% and 58% of the Company’s receivables, respectively. The March 31, 2014 and December 31, 2013 QVC receivables include $441,000 and $152,000 of earned revenue that has been accrued but not billed as of each date,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net carrying amount of debt is comprised of the following:</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31,</w:t>
            </w:r>
          </w:p>
        </w:tc>
        <w:tc>
          <w:tcPr>
            <w:tcW w:w="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900" w:type="dxa"/>
            <w:vAlign w:val="bottom"/>
            <w:tcBorders>
              <w:bottom w:val="single" w:sz="8" w:color="CCFFCC"/>
            </w:tcBorders>
          </w:tcPr>
          <w:p>
            <w:pPr>
              <w:spacing w:after="0"/>
              <w:rPr>
                <w:sz w:val="20"/>
                <w:szCs w:val="20"/>
                <w:color w:val="auto"/>
              </w:rPr>
            </w:pPr>
          </w:p>
        </w:tc>
        <w:tc>
          <w:tcPr>
            <w:tcW w:w="138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CCFFCC"/>
            </w:tcBorders>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Term Loan</w:t>
            </w:r>
          </w:p>
        </w:tc>
        <w:tc>
          <w:tcPr>
            <w:tcW w:w="138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80" w:type="dxa"/>
            <w:vAlign w:val="bottom"/>
            <w:shd w:val="clear" w:color="auto" w:fill="CCFFCC"/>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Seller Note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5,045,000</w:t>
            </w:r>
          </w:p>
        </w:tc>
        <w:tc>
          <w:tcPr>
            <w:tcW w:w="8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Contingent obligation – Seller</w:t>
            </w:r>
          </w:p>
        </w:tc>
        <w:tc>
          <w:tcPr>
            <w:tcW w:w="1380" w:type="dxa"/>
            <w:vAlign w:val="bottom"/>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6,366,000</w:t>
            </w:r>
          </w:p>
        </w:tc>
        <w:tc>
          <w:tcPr>
            <w:tcW w:w="1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6,681,000</w:t>
            </w:r>
          </w:p>
        </w:tc>
        <w:tc>
          <w:tcPr>
            <w:tcW w:w="80" w:type="dxa"/>
            <w:vAlign w:val="bottom"/>
            <w:shd w:val="clear" w:color="auto" w:fill="CCFFCC"/>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24,726,000</w:t>
            </w:r>
          </w:p>
        </w:tc>
        <w:tc>
          <w:tcPr>
            <w:tcW w:w="8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380" w:type="dxa"/>
            <w:vAlign w:val="bottom"/>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80" w:type="dxa"/>
            <w:vAlign w:val="bottom"/>
            <w:shd w:val="clear" w:color="auto" w:fill="CCFFCC"/>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23,240,000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24,161,000</w:t>
            </w:r>
          </w:p>
        </w:tc>
        <w:tc>
          <w:tcPr>
            <w:tcW w:w="8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 2013, the Company entered into a $13.0 million 5-year term loan with Bank of Hapoalim B.M. (“BHI”) (the “Term Loan”). The Term Loan is secured by all of the assets of IM Brands and the Company’s membership interest in IM Brands and bears interest at an annual fixed rate of 4.44% payable quarterly in arrears each calendar quarter. Scheduled principal payments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Principal</w:t>
            </w: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Payment</w:t>
            </w:r>
          </w:p>
        </w:tc>
        <w:tc>
          <w:tcPr>
            <w:tcW w:w="17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Payment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October 1, 2014, January 1, 2015, April 1, 2015 and July 1, 2015</w:t>
            </w:r>
          </w:p>
        </w:tc>
        <w:tc>
          <w:tcPr>
            <w:tcW w:w="1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October 1, 2015, January 1, 2016, April 1, 2016 and July 1, 2016</w:t>
            </w:r>
          </w:p>
        </w:tc>
        <w:tc>
          <w:tcPr>
            <w:tcW w:w="1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October 1, 2016, January 1, 2017, April 1, 2017 and July 1, 2017</w:t>
            </w:r>
          </w:p>
        </w:tc>
        <w:tc>
          <w:tcPr>
            <w:tcW w:w="1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October 1, 2017, January 1, 2018 and April 1, 2018</w:t>
            </w:r>
          </w:p>
        </w:tc>
        <w:tc>
          <w:tcPr>
            <w:tcW w:w="1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July 1, 2018</w:t>
            </w:r>
          </w:p>
        </w:tc>
        <w:tc>
          <w:tcPr>
            <w:tcW w:w="1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3,875,000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is required to prepay the outstanding amount of the Term Loan from excess cash flow (“Cash Flow Recapture”) for each fiscal year commencing with the year ending December 31, 2014 in arrears in an amount equal to twenty percent (20%) of such Cash Flow Recapture. Cash Flow Recapture shall mean for any fiscal period, cash provided by operating activities for such period less (a) capital expenditures not made through the incurrence of indebtedness less (b) all interest and principal (including indebtedness owed for the Term Loan) paid or payable during such period less (c) all income tax payments made during such period.</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The Company is required to maintain minimum fixed charge ratio, and liquidity covenants, a maximum leverage ratio covenant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non-monetary covenants, including reporting requirements and trademark preservation in accordance with the terms and conditions of the Term Loan. As of March 31, 2014, the Company and IM Brands were in full compliance with all of the covenants under the Term Loan.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amended the Term Loan on April 3, 2014 which, among other things, revised covenants and the Cash Flow Recapture terms (see Note 9, Subsequent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Seller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2011, as part of the consideration for the purchase of the Isaac Mizrahi Business, the Company issued to IM Ready-Made, LLC (“IM Ready”) a promissory note (the “Seller Note”) in the principal amount of $7,377,000. The stated interest rate of the Seller Note is 0.25%. Management determined that this rate was below the Company’s expected borrowing rate, which was then estimated at 9.25%. Therefore, the Company discounted the Seller Note by $1,740,000 using a 9.0% imputed annual interest rate, resulting in an initial value of $5,637,000. Also on September 29, 2011, the Company prepaid $123,000 of interest on the Seller Note. The imputed interest amount is being amortized over the term of the Seller Note and recorded as other interest and finance expense on the Company’s unaudited condensed consolidated statements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59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24, 2013, the Seller Note was amended (1) revising the Maturity Date to September 30, 2016 (the “Amended Maturity Date”), (2) revising the Subsequent Maturity Date to September 30, 2018 (the “Amended Subsequent Maturity Date”), (3) providing the Company with a prepayment right with its Common Stock, subject to remitting in cash the required cash payments set forth below and a minimum Common Stock price of $4.50 per share and (4) requiring interim scheduled payments. Scheduled principal payments (including amortization of imputed interest)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Payable in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Payable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Cash with</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Payable in</w:t>
            </w:r>
          </w:p>
        </w:tc>
      </w:tr>
      <w:tr>
        <w:trPr>
          <w:trHeight w:val="238"/>
        </w:trPr>
        <w:tc>
          <w:tcPr>
            <w:tcW w:w="562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8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Cash (i)</w:t>
            </w:r>
          </w:p>
        </w:tc>
        <w:tc>
          <w:tcPr>
            <w:tcW w:w="1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Restrictions (ii)</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(iii)</w:t>
            </w: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December 24, 2013</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31, 2015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56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January 31, 2016</w:t>
            </w:r>
          </w:p>
        </w:tc>
        <w:tc>
          <w:tcPr>
            <w:tcW w:w="180" w:type="dxa"/>
            <w:vAlign w:val="bottom"/>
            <w:shd w:val="clear" w:color="auto" w:fill="CCFFC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750,000</w:t>
            </w:r>
          </w:p>
        </w:tc>
        <w:tc>
          <w:tcPr>
            <w:tcW w:w="13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750,000</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4,377,432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4,377,432</w:t>
            </w:r>
          </w:p>
        </w:tc>
      </w:tr>
    </w:tbl>
    <w:p>
      <w:pPr>
        <w:spacing w:after="0" w:line="179" w:lineRule="exact"/>
        <w:rPr>
          <w:sz w:val="20"/>
          <w:szCs w:val="20"/>
          <w:color w:val="auto"/>
        </w:rPr>
      </w:pPr>
    </w:p>
    <w:p>
      <w:pPr>
        <w:ind w:left="980" w:hanging="64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was paid prior to December 31, 2013.</w:t>
      </w:r>
    </w:p>
    <w:p>
      <w:pPr>
        <w:spacing w:after="0" w:line="27" w:lineRule="exact"/>
        <w:rPr>
          <w:rFonts w:ascii="Times New Roman" w:cs="Times New Roman" w:eastAsia="Times New Roman" w:hAnsi="Times New Roman"/>
          <w:sz w:val="18"/>
          <w:szCs w:val="18"/>
          <w:color w:val="auto"/>
        </w:rPr>
      </w:pPr>
    </w:p>
    <w:p>
      <w:pPr>
        <w:ind w:left="980" w:hanging="648"/>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in cash with restrictions are subject to BHI approving the cash payment. If BHI does not approve the cash payment, the amount shall be payable in shares of Common Stock subject to the provisions described above.</w:t>
      </w:r>
    </w:p>
    <w:p>
      <w:pPr>
        <w:jc w:val="both"/>
        <w:ind w:left="980" w:hanging="648"/>
        <w:spacing w:after="0" w:line="255"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last payment on the Amended Maturity Date and may include amounts payable in cash with restrictions whereby BHI provides approval and the amount would be paid with the Company’s Common Stock. Amounts payable with the Company’s Common Stock shall be subject to the provisions described above.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stated interest rate of the Seller Note remains at 0.25%. Management has determined that the Company’s expected borrowing rate as of the date of the amendment was 6.44%. Based on the revised payment schedule and the change in the Company’s expected borrowing rate, the Company has increased the Seller Note discount by $337,000, and accordingly reduced the carrying value of the Seller Note. Management has determined that the amendment to the Seller Note was in conjunction with an amendment to the contingent obligation to IM Ready (the “Earn-out Obligation”) and the reduction to the carrying value of the Seller Note was recorded as part of the gain on reduction of contingent obligations in the Company’s December 31, 2013 consolidated statement of operations.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Current Quarter and the Prior Year Quarter, the Company incurred interest expense of $83,000 and $153,000, respectively, which includes amortization of the Seller Note discounted balance of $79,000 and $143,000, respectively. The Seller Note balance, net of discount, at March 31, 2014 and December 31, 2013 was $5,124,000 and $5,045,000,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Earn-out obligation</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IM Ready may earn additional shares of Common Stock with a value of up to $7,500,000 (the “Earn-Out Value”) for the 12-month period ending September 30, 2015, with the number of shares to be issued based upon the greater of (i) $4.50 per share and (ii) the average stock price for the last twenty days in such period, and with such earn-out payment contingent upon the Isaac Mizrahi Business achieving the net royalty income target set forth below (the “Earn-Out Obligation”). On December 24, 2013, the Company and IM Ready amended the terms of the Earn-Out Obligation and eliminated the additional consideration for the fiscal year ending September 30, 2014 and the Company made a one-time cash payment of $315,000 to IM Ready in March 2014. The Earn-Out Obligation is recorded as $3.6 million as long-term debt at March 31, 2014 and December 31, 2013, respectively and $0.3 million as a current liability at December 31, 2013, on the condensed consolidated balance sheets. Any future change in the Earn-Out Obligation will result in an expense or income in the period in which it is determined fair market value of the carrying value has changed. The royalty targets and percentage of the potential earn-out value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4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7"/>
              </w:rPr>
              <w:t>ROYALTY</w:t>
            </w:r>
          </w:p>
        </w:tc>
        <w:tc>
          <w:tcPr>
            <w:tcW w:w="20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EARN-OUT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ROYALTY TARGET PERIOD</w:t>
            </w:r>
          </w:p>
        </w:tc>
        <w:tc>
          <w:tcPr>
            <w:tcW w:w="444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200" w:type="dxa"/>
            <w:vAlign w:val="bottom"/>
          </w:tcPr>
          <w:p>
            <w:pPr>
              <w:spacing w:after="0"/>
              <w:rPr>
                <w:sz w:val="20"/>
                <w:szCs w:val="20"/>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VALUE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Royalty Target Period (October 1, 2014 to September 30, 2015)</w:t>
            </w:r>
          </w:p>
        </w:tc>
        <w:tc>
          <w:tcPr>
            <w:tcW w:w="4440" w:type="dxa"/>
            <w:vAlign w:val="bottom"/>
            <w:shd w:val="clear" w:color="auto" w:fill="CCFFCC"/>
          </w:tcPr>
          <w:p>
            <w:pPr>
              <w:jc w:val="center"/>
              <w:ind w:left="2950"/>
              <w:spacing w:after="0"/>
              <w:rPr>
                <w:sz w:val="20"/>
                <w:szCs w:val="20"/>
                <w:color w:val="auto"/>
              </w:rPr>
            </w:pPr>
            <w:r>
              <w:rPr>
                <w:rFonts w:ascii="Times New Roman" w:cs="Times New Roman" w:eastAsia="Times New Roman" w:hAnsi="Times New Roman"/>
                <w:sz w:val="18"/>
                <w:szCs w:val="18"/>
                <w:color w:val="auto"/>
              </w:rPr>
              <w:t>$   24,000,000</w:t>
            </w:r>
          </w:p>
        </w:tc>
        <w:tc>
          <w:tcPr>
            <w:tcW w:w="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7,500,000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387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8" w:name="page9"/>
    <w:bookmarkEnd w:id="8"/>
    <w:p>
      <w:pPr>
        <w:ind w:right="320"/>
        <w:spacing w:after="0" w:line="282" w:lineRule="auto"/>
        <w:rPr>
          <w:sz w:val="20"/>
          <w:szCs w:val="20"/>
          <w:color w:val="auto"/>
        </w:rPr>
      </w:pPr>
      <w:r>
        <w:rPr>
          <w:rFonts w:ascii="Times New Roman" w:cs="Times New Roman" w:eastAsia="Times New Roman" w:hAnsi="Times New Roman"/>
          <w:sz w:val="18"/>
          <w:szCs w:val="18"/>
          <w:color w:val="auto"/>
        </w:rPr>
        <w:t>IM Ready will receive a percentage of the Earn-Out Value based upon the percentage of the actual net royalty income of the Isaac Mizrahi Business to the royalty target as set forth below.</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 OF EARN-OUT</w:t>
            </w:r>
          </w:p>
        </w:tc>
        <w:tc>
          <w:tcPr>
            <w:tcW w:w="0" w:type="dxa"/>
            <w:vAlign w:val="bottom"/>
          </w:tcPr>
          <w:p>
            <w:pPr>
              <w:spacing w:after="0"/>
              <w:rPr>
                <w:sz w:val="1"/>
                <w:szCs w:val="1"/>
                <w:color w:val="auto"/>
              </w:rPr>
            </w:pPr>
          </w:p>
        </w:tc>
      </w:tr>
      <w:tr>
        <w:trPr>
          <w:trHeight w:val="238"/>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VALUE EARNED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Less than 76%</w:t>
            </w:r>
          </w:p>
        </w:tc>
        <w:tc>
          <w:tcPr>
            <w:tcW w:w="80" w:type="dxa"/>
            <w:vAlign w:val="bottom"/>
            <w:vMerge w:val="continue"/>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 up to 80%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80% up to 90%</w:t>
            </w:r>
          </w:p>
        </w:tc>
        <w:tc>
          <w:tcPr>
            <w:tcW w:w="1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 up to 95%</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95% up to 100%</w:t>
            </w:r>
          </w:p>
        </w:tc>
        <w:tc>
          <w:tcPr>
            <w:tcW w:w="1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or greater</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Earn-Out Value is payable solely in stock. In accordance with ASC Topic 480 "Distinguishing Liabilities from Equity", the earn-out obligation is treated as a liability in the accompanying condensed consolidated balance sheets because of the variable number of shares payable under the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QVC Earn-Out</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obligated to pay IM Ready $2.8 million, payable in cash or Common Stock, at the Company’s option, contingent upon IM Brands receiving aggregate net royalty income of at least $2.5 million from QVC in the twelve-month period ending September 30, 2015 with such stock based upon the greater of (x) $4.50 per share, and (y) the average stock price for the last twenty days prior to the time of such issuance (the “QVC Earn-Out’). Management has determined that it is probable that the $2.5 million in net royalty income from QVC will be met. In accordance with ASC Topic 480 "Distinguishing Liabilities from Equity", the QVC Earn-Out obligation is treated as a liability in the accompanying condensed consolidated balance sheets because of the variable number of shares payable under the agreement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Management will assess no less frequently than each reporting period the status of this contingent obligation. Any change in the expected obligation will result in an expense or income in the period in which it is determined fair market value has changed.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2014 and December 31, 2013, the total contingent obligation to IM Ready was $6.4 million and $6.7 million, respectively.</w:t>
      </w:r>
    </w:p>
    <w:p>
      <w:pPr>
        <w:spacing w:after="0" w:line="2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2011 Equity Incentive Plan, as amended and restated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5,000,000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Board, or, at the Board's discretion, a committee of the Board.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 2013, the Company issued to management 1,270,000 shares of restricted stock. The vesting date of 1,075,000 shares of restricted stock is September 20, 2014, provided, however, that each such grantee has the right to extend the vesting date by six-month increments in his sole discretion, prior to the date the restrictions would lapse. The remaining 195,000 shares of restricted stock will vest evenly over 2 years, whereby 50% shall vest on September 30, 2014 and 50% shall vest on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2013, the Company issued to non-management directors 100,000 shares of restricted stock. The shares of restricted stock will vest evenly over two years, whereby 50% shall vest on September 30, 2014 and 50% shall vest on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2013, the Company issued to non-executive employees 29,750 shares of restricted stock. The shares of restricted stock will vest evenly over 2 years, whereby 50% shall vest on April 30, 2014 and 50% shall vest on April 30, 2015.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2014, the Company issued to a member of management and a key employee an aggregate of 825,000 shares of restricted stock. The vesting date for 550,000 shares of restricted stock is July 1, 2014, and the remaining 275,000 shall vest evenly over the periods ending September 30, 2014, 2015 and 2016, provided, however, that each such grantee has the right to extend the vesting dates by six-month increments in their sole discretion, prior to the date the restrictions would lapse.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 2014, the Company granted options to purchase an aggregate of 50,000 shares of Common Stock to a non-executive employee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per share of the options is $5.00 per share, and 50% of the options will vest on each of the first and second anniversaries of the grant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for all options and warrants was estimated at the date of grant using a Black-Scholes option-pricing model with the following weighted-average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Expected Volatility (i)</w:t>
            </w:r>
          </w:p>
        </w:tc>
        <w:tc>
          <w:tcPr>
            <w:tcW w:w="5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Expected Life (Term) (ii)</w:t>
            </w:r>
          </w:p>
        </w:tc>
        <w:tc>
          <w:tcPr>
            <w:tcW w:w="540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2.0 – 3.0 years</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- 0.60%</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options that the Company granted under the Plan expire at various times, either five, seven or ten years from the date of grant, depending on the particular grant.</w:t>
      </w:r>
    </w:p>
    <w:p>
      <w:pPr>
        <w:spacing w:after="0" w:line="162" w:lineRule="exact"/>
        <w:rPr>
          <w:sz w:val="20"/>
          <w:szCs w:val="20"/>
          <w:color w:val="auto"/>
        </w:rPr>
      </w:pPr>
    </w:p>
    <w:p>
      <w:pPr>
        <w:ind w:left="1040" w:hanging="681"/>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Company’s limited trading activity, the Company used the average volatility of similar companies in its industry.</w:t>
      </w:r>
    </w:p>
    <w:p>
      <w:pPr>
        <w:spacing w:after="0" w:line="27" w:lineRule="exact"/>
        <w:rPr>
          <w:rFonts w:ascii="Times New Roman" w:cs="Times New Roman" w:eastAsia="Times New Roman" w:hAnsi="Times New Roman"/>
          <w:sz w:val="18"/>
          <w:szCs w:val="18"/>
          <w:color w:val="auto"/>
        </w:rPr>
      </w:pPr>
    </w:p>
    <w:p>
      <w:pPr>
        <w:ind w:left="1040" w:right="540" w:hanging="681"/>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Company’s limited history, the expected life of options was calculated using the ‘simplified method’ in accordance with Staff Accounting Bulletin (“SAB”) Topic 14.02 in accordance with SAB 110.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stock options for the Current Quarter is as follows: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34"/>
        </w:trPr>
        <w:tc>
          <w:tcPr>
            <w:tcW w:w="798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10"/>
        </w:trPr>
        <w:tc>
          <w:tcPr>
            <w:tcW w:w="79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12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343,125</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Canceled</w:t>
            </w: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4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(13,500)</w:t>
            </w:r>
          </w:p>
        </w:tc>
        <w:tc>
          <w:tcPr>
            <w:tcW w:w="12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63"/>
        </w:trPr>
        <w:tc>
          <w:tcPr>
            <w:tcW w:w="798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Outstanding at March 31, 2014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379,625</w:t>
            </w:r>
          </w:p>
        </w:tc>
        <w:tc>
          <w:tcPr>
            <w:tcW w:w="22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FFCC"/>
            </w:tcBorders>
          </w:tcPr>
          <w:p>
            <w:pPr>
              <w:spacing w:after="0"/>
              <w:rPr>
                <w:sz w:val="22"/>
                <w:szCs w:val="22"/>
                <w:color w:val="auto"/>
              </w:rPr>
            </w:pPr>
          </w:p>
        </w:tc>
      </w:tr>
      <w:tr>
        <w:trPr>
          <w:trHeight w:val="197"/>
        </w:trPr>
        <w:tc>
          <w:tcPr>
            <w:tcW w:w="7980" w:type="dxa"/>
            <w:vAlign w:val="bottom"/>
            <w:tcBorders>
              <w:bottom w:val="single" w:sz="8" w:color="CCFFCC"/>
            </w:tcBorders>
            <w:shd w:val="clear" w:color="auto" w:fill="CCFFCC"/>
          </w:tcPr>
          <w:p>
            <w:pPr>
              <w:spacing w:after="0" w:line="195" w:lineRule="exact"/>
              <w:rPr>
                <w:sz w:val="20"/>
                <w:szCs w:val="20"/>
                <w:color w:val="auto"/>
              </w:rPr>
            </w:pPr>
            <w:r>
              <w:rPr>
                <w:rFonts w:ascii="Times New Roman" w:cs="Times New Roman" w:eastAsia="Times New Roman" w:hAnsi="Times New Roman"/>
                <w:sz w:val="18"/>
                <w:szCs w:val="18"/>
                <w:color w:val="auto"/>
              </w:rPr>
              <w:t>Exercisable at March 31, 2014</w:t>
            </w:r>
          </w:p>
        </w:tc>
        <w:tc>
          <w:tcPr>
            <w:tcW w:w="120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304,500</w:t>
            </w:r>
          </w:p>
        </w:tc>
        <w:tc>
          <w:tcPr>
            <w:tcW w:w="2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20"/>
        </w:trPr>
        <w:tc>
          <w:tcPr>
            <w:tcW w:w="7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 grants for the Current Quarter and the Prior Year Quarter was $11,000 and $20,000, respectively. Compensation expense related to stock options is reported as stock-based compensation under operating expenses in the unaudited condensed consolidated statements of operations. An additional amount of $15,000 is expected to be expensed over a period of 21 months from April 1, 2014 through December 31,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preceding table does not include options to purchase 576 shares of Common Stock for $728 per share issued under the Company’s former equity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to issue any equity awards under this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warrants for the Current Quarter is as follows: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34"/>
        </w:trPr>
        <w:tc>
          <w:tcPr>
            <w:tcW w:w="798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10"/>
        </w:trPr>
        <w:tc>
          <w:tcPr>
            <w:tcW w:w="79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12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1,469,543</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Canceled</w:t>
            </w: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8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Outstanding at March 31, 2014 and expected to vest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1,469,543</w:t>
            </w:r>
          </w:p>
        </w:tc>
        <w:tc>
          <w:tcPr>
            <w:tcW w:w="22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FFCC"/>
            </w:tcBorders>
          </w:tcPr>
          <w:p>
            <w:pPr>
              <w:spacing w:after="0"/>
              <w:rPr>
                <w:sz w:val="22"/>
                <w:szCs w:val="22"/>
                <w:color w:val="auto"/>
              </w:rPr>
            </w:pPr>
          </w:p>
        </w:tc>
      </w:tr>
      <w:tr>
        <w:trPr>
          <w:trHeight w:val="197"/>
        </w:trPr>
        <w:tc>
          <w:tcPr>
            <w:tcW w:w="7980" w:type="dxa"/>
            <w:vAlign w:val="bottom"/>
            <w:tcBorders>
              <w:bottom w:val="single" w:sz="8" w:color="CCFFCC"/>
            </w:tcBorders>
            <w:shd w:val="clear" w:color="auto" w:fill="CCFFCC"/>
          </w:tcPr>
          <w:p>
            <w:pPr>
              <w:spacing w:after="0" w:line="195" w:lineRule="exact"/>
              <w:rPr>
                <w:sz w:val="20"/>
                <w:szCs w:val="20"/>
                <w:color w:val="auto"/>
              </w:rPr>
            </w:pPr>
            <w:r>
              <w:rPr>
                <w:rFonts w:ascii="Times New Roman" w:cs="Times New Roman" w:eastAsia="Times New Roman" w:hAnsi="Times New Roman"/>
                <w:sz w:val="18"/>
                <w:szCs w:val="18"/>
                <w:color w:val="auto"/>
              </w:rPr>
              <w:t>Exercisable at March 31, 2014</w:t>
            </w:r>
          </w:p>
        </w:tc>
        <w:tc>
          <w:tcPr>
            <w:tcW w:w="120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1,457,043</w:t>
            </w:r>
          </w:p>
        </w:tc>
        <w:tc>
          <w:tcPr>
            <w:tcW w:w="2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20"/>
        </w:trPr>
        <w:tc>
          <w:tcPr>
            <w:tcW w:w="7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related to warrants for the Current Quarter and the Prior Year Quarter was $0 and $11,000, respectively. Compensation expense related to warrants in the Prior Year Quarter is reported as stock-based compensation under operating expenses in the unaudited condensed consolidated statements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values other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846"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related to warrants in connection with a licensing agreement is amortized over the 5-year initial term of the license agreement and is recorded as a discount to licensing revenues. The stock-based licensing revenue-discount for the Current Quarter and the Prior Year Quarter was $1,000 in each quarter. An additional amount of $12,000 is expected to be amortized over a period of 30 months from April 1, 2014 through September 30, 2016.</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2013, the Company issued to Adam Dweck (“AD”) who is an Executive Vice President of Earthbound, LLC (“Earthbound”) and the son of Jack Dweck, who is a principal of Earthbound and is on the Company’s board of directors (see Note 8, Related Party Transactions), warrants to purchase 25,000 shares of common stock with an exercise price of $5.00 per share and a term expiring August 2, 2016. The 12,500 warrants are subject to AD generating $0.5 million of accumulated royalties and additional Warrants to purchase 12,500 shares of Common Stock at an exercise price of $5.00 per share, subject to AD generating $1.0 million of accumulated royalties. To date, AD has reached the first milestone of $0.5 million sourced royalties and the Company deems it likely that AD will reach the second milestone of $1.0 million of AD sourced royalties by August 2, 2016. Compensation expense related to warrants in connection with the licensing agreement is amortized over the expected period in which the royalty targets will be met and is recorded as a royalty commission expense and netted with licensing revenues. The stock-based commission expense for the Current Quarter and the Prior Year Quarter was $1,000 and $0, respectively. An additional amount of $1,000 is expected to be amortized over a period of 9 months from April 1, 2014 through December 31,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Compensation cost for restricted stock is measured using the fair value of the Company’s Common Stock at the date the common stock is granted. The compensation cost, net of projected forfeitures, is recognized over the period between the grant date and the date any restrictions lapse, with compensation cost for grants with a graded vesting schedule recognized using the treasury method. The restrictions do not affect voting and dividend rights.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restricted stock for the Current Quarter is as follows: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16"/>
        </w:trPr>
        <w:tc>
          <w:tcPr>
            <w:tcW w:w="5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Restricted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Grant Date Fair</w:t>
            </w:r>
          </w:p>
        </w:tc>
      </w:tr>
      <w:tr>
        <w:trPr>
          <w:trHeight w:val="234"/>
        </w:trPr>
        <w:tc>
          <w:tcPr>
            <w:tcW w:w="5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580" w:type="dxa"/>
            <w:vAlign w:val="bottom"/>
          </w:tcPr>
          <w:p>
            <w:pPr>
              <w:spacing w:after="0"/>
              <w:rPr>
                <w:sz w:val="18"/>
                <w:szCs w:val="18"/>
                <w:color w:val="auto"/>
              </w:rPr>
            </w:pPr>
          </w:p>
        </w:tc>
        <w:tc>
          <w:tcPr>
            <w:tcW w:w="754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2,026,554</w:t>
            </w:r>
          </w:p>
        </w:tc>
        <w:tc>
          <w:tcPr>
            <w:tcW w:w="1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Canceled</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3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2014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2,814,554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related to restricted stock grants for the Current Quarter and Prior Year Quarter was $1,556,000 and $34,000, respectively. Compensation expense related to restricted stock grants is reported as stock-based compensation under operating expenses in the unaudited condensed consolidated statements of operations. An additional amount of $2,560,000 is expected to be amortized over a period of 30 months from April 1, 2014 through September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2011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2014 there were 1,252,008 common shares available for issuance under the Company’s 2011 Equity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2014, there were 3,101,752 common shares reserved for issuance pursuant to warrants, stock options and availability for issuance under the Company’s 2011 Equity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221" w:lineRule="exact"/>
        <w:rPr>
          <w:sz w:val="20"/>
          <w:szCs w:val="20"/>
          <w:color w:val="auto"/>
        </w:rPr>
      </w:pPr>
    </w:p>
    <w:p>
      <w:pPr>
        <w:ind w:left="720" w:hanging="658"/>
        <w:spacing w:after="0"/>
        <w:tabs>
          <w:tab w:leader="none" w:pos="7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and convertible debt, using the if-converted method. Diluted EPS excludes all potentially dilutive shares of common stock if their effect is anti-dilutive.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Shares used in calculating basic and diluted income (loss) per share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60" w:type="dxa"/>
            <w:vAlign w:val="bottom"/>
          </w:tcPr>
          <w:p>
            <w:pPr>
              <w:spacing w:after="0"/>
              <w:rPr>
                <w:sz w:val="19"/>
                <w:szCs w:val="19"/>
                <w:color w:val="auto"/>
              </w:rPr>
            </w:pPr>
          </w:p>
        </w:tc>
        <w:tc>
          <w:tcPr>
            <w:tcW w:w="24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r>
      <w:tr>
        <w:trPr>
          <w:trHeight w:val="238"/>
        </w:trPr>
        <w:tc>
          <w:tcPr>
            <w:tcW w:w="556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Borders>
              <w:bottom w:val="single" w:sz="8" w:color="CCFFCC"/>
            </w:tcBorders>
          </w:tcPr>
          <w:p>
            <w:pPr>
              <w:spacing w:after="0"/>
              <w:rPr>
                <w:sz w:val="20"/>
                <w:szCs w:val="20"/>
                <w:color w:val="auto"/>
              </w:rPr>
            </w:pPr>
          </w:p>
        </w:tc>
      </w:tr>
      <w:tr>
        <w:trPr>
          <w:trHeight w:val="210"/>
        </w:trPr>
        <w:tc>
          <w:tcPr>
            <w:tcW w:w="55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10,830,312</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7,339,979</w:t>
            </w:r>
          </w:p>
        </w:tc>
        <w:tc>
          <w:tcPr>
            <w:tcW w:w="80" w:type="dxa"/>
            <w:vAlign w:val="bottom"/>
            <w:shd w:val="clear" w:color="auto" w:fill="CCFFC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exercise of stock options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55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Effect of exercise of warrants</w:t>
            </w:r>
          </w:p>
        </w:tc>
        <w:tc>
          <w:tcPr>
            <w:tcW w:w="126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582,075</w:t>
            </w:r>
          </w:p>
        </w:tc>
        <w:tc>
          <w:tcPr>
            <w:tcW w:w="80" w:type="dxa"/>
            <w:vAlign w:val="bottom"/>
            <w:shd w:val="clear" w:color="auto" w:fill="CCFFC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10,830,312</w:t>
            </w: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7,922,529</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EPS excludes the common stock equivalents of the following potentially dilutive securities because their inclusion would be anti-dilutive:</w:t>
      </w:r>
    </w:p>
    <w:p>
      <w:pPr>
        <w:spacing w:after="0" w:line="158" w:lineRule="exact"/>
        <w:rPr>
          <w:sz w:val="20"/>
          <w:szCs w:val="20"/>
          <w:color w:val="auto"/>
        </w:rPr>
      </w:pPr>
    </w:p>
    <w:p>
      <w:pPr>
        <w:jc w:val="center"/>
        <w:ind w:left="302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left="296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00" w:type="dxa"/>
            <w:vAlign w:val="bottom"/>
            <w:tcBorders>
              <w:bottom w:val="single" w:sz="8" w:color="CCFFCC"/>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Borders>
              <w:bottom w:val="single" w:sz="8" w:color="CCFFCC"/>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Borders>
              <w:bottom w:val="single" w:sz="8" w:color="CCFFCC"/>
            </w:tcBorders>
          </w:tcPr>
          <w:p>
            <w:pPr>
              <w:spacing w:after="0"/>
              <w:rPr>
                <w:sz w:val="19"/>
                <w:szCs w:val="19"/>
                <w:color w:val="auto"/>
              </w:rPr>
            </w:pPr>
          </w:p>
        </w:tc>
      </w:tr>
      <w:tr>
        <w:trPr>
          <w:trHeight w:val="223"/>
        </w:trPr>
        <w:tc>
          <w:tcPr>
            <w:tcW w:w="58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Stock options and warrants</w:t>
            </w:r>
          </w:p>
        </w:tc>
        <w:tc>
          <w:tcPr>
            <w:tcW w:w="9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1,201,925</w:t>
            </w:r>
          </w:p>
        </w:tc>
        <w:tc>
          <w:tcPr>
            <w:tcW w:w="160" w:type="dxa"/>
            <w:vAlign w:val="bottom"/>
            <w:tcBorders>
              <w:bottom w:val="single" w:sz="8" w:color="CCFFCC"/>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814,675</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720" w:hanging="658"/>
        <w:spacing w:after="0"/>
        <w:tabs>
          <w:tab w:leader="none" w:pos="7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the Company opened its first retail store in June 2013, it operates in two segments - (1) design and licensing and (2) retail, which are based on its business activities and organization. The operating segments are segments of the Company for which separate discrete financial information is available and for which operating results are evaluated regularly by the chief operating decision makers, made up of the Company’s executive management team, in deciding how to allocate resources, as well as in assessing performance. The primary key performance indicators are net sales or revenue (in the case of licensing and design fees) and operating income for each segment. The design and licensing segment includes royalties earned on licensed products and use of the Company’s trademarks, and rights granted to third parties for the right to sell the Company’s products and related design and other service fees. The retail segment represents sales of the Company’s branded products through its retail stores. All intercompany revenues are eliminated in consolidation and are not reviewed when evaluating segment performance. Corporate overhead expenses are allocated to the segments based upon specific usage or other allocation methods.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performance information of the Company’s reportable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280" w:type="dxa"/>
            <w:vAlign w:val="bottom"/>
            <w:gridSpan w:val="8"/>
          </w:tcPr>
          <w:p>
            <w:pPr>
              <w:ind w:left="1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60" w:type="dxa"/>
            <w:vAlign w:val="bottom"/>
            <w:tcBorders>
              <w:bottom w:val="single" w:sz="8" w:color="CCFFCC"/>
            </w:tcBorders>
          </w:tcPr>
          <w:p>
            <w:pPr>
              <w:spacing w:after="0"/>
              <w:rPr>
                <w:sz w:val="20"/>
                <w:szCs w:val="20"/>
                <w:color w:val="auto"/>
              </w:rPr>
            </w:pPr>
          </w:p>
        </w:tc>
        <w:tc>
          <w:tcPr>
            <w:tcW w:w="176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licensing revenue</w:t>
            </w:r>
          </w:p>
        </w:tc>
        <w:tc>
          <w:tcPr>
            <w:tcW w:w="19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3,103,000</w:t>
            </w:r>
          </w:p>
        </w:tc>
        <w:tc>
          <w:tcPr>
            <w:tcW w:w="140" w:type="dxa"/>
            <w:vAlign w:val="bottom"/>
          </w:tcPr>
          <w:p>
            <w:pPr>
              <w:spacing w:after="0"/>
              <w:rPr>
                <w:sz w:val="18"/>
                <w:szCs w:val="18"/>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Design and service fee income</w:t>
            </w:r>
          </w:p>
        </w:tc>
        <w:tc>
          <w:tcPr>
            <w:tcW w:w="176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437,000</w:t>
            </w:r>
          </w:p>
        </w:tc>
        <w:tc>
          <w:tcPr>
            <w:tcW w:w="1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Design and licensing revenues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Retail sales</w:t>
            </w:r>
          </w:p>
        </w:tc>
        <w:tc>
          <w:tcPr>
            <w:tcW w:w="17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26,000</w:t>
            </w:r>
          </w:p>
        </w:tc>
        <w:tc>
          <w:tcPr>
            <w:tcW w:w="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6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3,566,000</w:t>
            </w:r>
          </w:p>
        </w:tc>
        <w:tc>
          <w:tcPr>
            <w:tcW w:w="140" w:type="dxa"/>
            <w:vAlign w:val="bottom"/>
            <w:tcBorders>
              <w:bottom w:val="single" w:sz="8" w:color="CCFFCC"/>
            </w:tcBorders>
          </w:tcPr>
          <w:p>
            <w:pPr>
              <w:spacing w:after="0"/>
              <w:rPr>
                <w:sz w:val="22"/>
                <w:szCs w:val="22"/>
                <w:color w:val="auto"/>
              </w:rPr>
            </w:pPr>
          </w:p>
        </w:tc>
        <w:tc>
          <w:tcPr>
            <w:tcW w:w="60" w:type="dxa"/>
            <w:vAlign w:val="bottom"/>
            <w:tcBorders>
              <w:bottom w:val="single" w:sz="8" w:color="CCFFC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3,188,000</w:t>
            </w:r>
          </w:p>
        </w:tc>
        <w:tc>
          <w:tcPr>
            <w:tcW w:w="8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shd w:val="clear" w:color="auto" w:fill="CCFFCC"/>
          </w:tcPr>
          <w:p>
            <w:pPr>
              <w:spacing w:after="0"/>
              <w:rPr>
                <w:sz w:val="17"/>
                <w:szCs w:val="17"/>
                <w:color w:val="auto"/>
              </w:rPr>
            </w:pPr>
          </w:p>
        </w:tc>
        <w:tc>
          <w:tcPr>
            <w:tcW w:w="17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Design and licensing</w:t>
            </w:r>
          </w:p>
        </w:tc>
        <w:tc>
          <w:tcPr>
            <w:tcW w:w="1980" w:type="dxa"/>
            <w:vAlign w:val="bottom"/>
            <w:gridSpan w:val="2"/>
            <w:shd w:val="clear" w:color="auto" w:fill="CCFFCC"/>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(972,000)</w:t>
            </w:r>
          </w:p>
        </w:tc>
        <w:tc>
          <w:tcPr>
            <w:tcW w:w="300" w:type="dxa"/>
            <w:vAlign w:val="bottom"/>
            <w:gridSpan w:val="2"/>
            <w:shd w:val="clear" w:color="auto" w:fill="CCFFC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176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(1,289,000</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6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060" w:type="dxa"/>
            <w:vAlign w:val="bottom"/>
            <w:tcBorders>
              <w:bottom w:val="single" w:sz="8" w:color="auto"/>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Borders>
              <w:bottom w:val="single" w:sz="8" w:color="CCFFCC"/>
            </w:tcBorders>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b w:val="1"/>
                <w:bCs w:val="1"/>
                <w:color w:val="auto"/>
              </w:rPr>
              <w:t>:</w:t>
            </w:r>
          </w:p>
        </w:tc>
        <w:tc>
          <w:tcPr>
            <w:tcW w:w="2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 and licensing</w:t>
            </w:r>
          </w:p>
        </w:tc>
        <w:tc>
          <w:tcPr>
            <w:tcW w:w="238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81,000</w:t>
            </w: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51,000</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20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Long Lived Assets</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2014</w:t>
            </w: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auto"/>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 xml:space="preserve">Trademarks and other intangibles, net </w:t>
            </w:r>
            <w:r>
              <w:rPr>
                <w:rFonts w:ascii="Times New Roman" w:cs="Times New Roman" w:eastAsia="Times New Roman" w:hAnsi="Times New Roman"/>
                <w:sz w:val="18"/>
                <w:szCs w:val="18"/>
                <w:b w:val="1"/>
                <w:bCs w:val="1"/>
                <w:color w:val="auto"/>
              </w:rPr>
              <w:t>:</w:t>
            </w:r>
          </w:p>
        </w:tc>
        <w:tc>
          <w:tcPr>
            <w:tcW w:w="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 and licensing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45,176,000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45,308,000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592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Borders>
              <w:bottom w:val="single" w:sz="8" w:color="CCFFCC"/>
            </w:tcBorders>
          </w:tcPr>
          <w:p>
            <w:pPr>
              <w:spacing w:after="0"/>
              <w:rPr>
                <w:sz w:val="22"/>
                <w:szCs w:val="22"/>
                <w:color w:val="auto"/>
              </w:rPr>
            </w:pPr>
          </w:p>
        </w:tc>
        <w:tc>
          <w:tcPr>
            <w:tcW w:w="5920" w:type="dxa"/>
            <w:vAlign w:val="bottom"/>
            <w:tcBorders>
              <w:bottom w:val="single" w:sz="8" w:color="CCFFC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Trademarks and other intangibles, net</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45,176,000</w:t>
            </w:r>
          </w:p>
        </w:tc>
        <w:tc>
          <w:tcPr>
            <w:tcW w:w="160" w:type="dxa"/>
            <w:vAlign w:val="bottom"/>
            <w:tcBorders>
              <w:bottom w:val="single" w:sz="8" w:color="CCFFC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45,308,000</w:t>
            </w:r>
          </w:p>
        </w:tc>
        <w:tc>
          <w:tcPr>
            <w:tcW w:w="8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92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Design and licensing</w:t>
            </w:r>
          </w:p>
        </w:tc>
        <w:tc>
          <w:tcPr>
            <w:tcW w:w="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930,000</w:t>
            </w:r>
          </w:p>
        </w:tc>
        <w:tc>
          <w:tcPr>
            <w:tcW w:w="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939,000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428,000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5920" w:type="dxa"/>
            <w:vAlign w:val="bottom"/>
            <w:tcBorders>
              <w:top w:val="single" w:sz="8" w:color="CCFFCC"/>
              <w:bottom w:val="single" w:sz="8" w:color="CCFFCC"/>
            </w:tcBorders>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Borders>
              <w:top w:val="single" w:sz="8" w:color="auto"/>
              <w:bottom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1,358,000</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1,153,000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 w:type="dxa"/>
            <w:vAlign w:val="bottom"/>
            <w:tcBorders>
              <w:bottom w:val="single" w:sz="8" w:color="CCFFCC"/>
            </w:tcBorders>
          </w:tcPr>
          <w:p>
            <w:pPr>
              <w:spacing w:after="0"/>
              <w:rPr>
                <w:sz w:val="20"/>
                <w:szCs w:val="20"/>
                <w:color w:val="auto"/>
              </w:rPr>
            </w:pPr>
          </w:p>
        </w:tc>
        <w:tc>
          <w:tcPr>
            <w:tcW w:w="584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b w:val="1"/>
                <w:bCs w:val="1"/>
                <w:color w:val="auto"/>
              </w:rPr>
              <w:t>:</w:t>
            </w: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 and licensing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592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9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gridSpan w:val="2"/>
            <w:vMerge w:val="continue"/>
          </w:tcPr>
          <w:p>
            <w:pPr>
              <w:spacing w:after="0"/>
              <w:rPr>
                <w:sz w:val="24"/>
                <w:szCs w:val="24"/>
                <w:color w:val="auto"/>
              </w:rPr>
            </w:pPr>
          </w:p>
        </w:tc>
        <w:tc>
          <w:tcPr>
            <w:tcW w:w="59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Todd Slater</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2011, the Company adopted a one-year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fifteen percent (15%) of all net royalties received by the Company during the first term of such agreement, payable within thirty days of receipt of the net royalties.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direct licensing costs with Mr. Slater, who serves as a director for the Company, from amortization of a prepaid licensing commission payment in 2012 for the Current Quarter and the Prior Year Quarter of $21,000 and $11,000,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5, 2013, the Company paid Threadstone Advisors, LLC (“Threadstone”) a fee of $280,000 for the placement of $4,000,000 of proceeds from a private stock offering. This placement fee was recorded as a reduction in paid-in capital and reflected in the stockholders’ equity section of the condensed consolidated balance sheet. Mr. Slater is an officer and a 5% owner of Threadstone.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Agent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 2011, the Company entered into a licensing agent agreement with AD, pursuant to which he is entitled to a five percent (5%) commission on any royalties we receive under any new license agreements that he procures for us during the initial term of such license agreements. AD earned $6,000 and $3,000 in fees for the Current Quarter and Prior Year Quarter,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granted to AD warrants to purchase 12,500 shares of common stock at an exercise price of $5.00 per share, subject to AD generating $0.5 million of accumulated royalties and additional warrants to purchase 12,500 shares of common stock at an exercise price of $5.00 per share, subject to AD generating $1.0 million of accumulated royalties. Additionally, AD shall be entitled to receive warrants to purchase 25,000 shares of common stock priced at the fair market value at the time of issuance, subject to AD generating $2.0 million of accumulated royalties. These warrants all expire on August 2, 2016. AD has reached the first milestone of $500,000 sourced royalties and it is likely AD will reach the second milestone of $1,000,000 of AD sourced royalties by August 2, 2016. The Company subsequently issued warrants to AD to purchase 25,000 shares of common stock of which 12,500 vest in 2013 and 12,500 vest upon achieving the second milestone.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Jones Texas,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Edward Jones, III, a principal shareholder and chief executive officer of Jones Texas, Inc. (“JT”) is on the Company’s board of directors. The Company and JT entered into a consulting agreement on March 28, 2012, whereby JT shall pursue and introduce licensing opportunities for the Company. JT procured a license for the Company during 2012, under which the Company agreed to remit 15% of the license revenues for the initial term of the license. JT earned $0 and $3,000 in fees for the Current Quarter and Prior Year Quarter,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2013, the Company purchased $2,300 in used equipment from our Chief Executive Officer to be utilized at our New York City location. The purchase price was at the estimated fair market value of the equipment.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0" w:gutter="0" w:footer="0" w:header="0"/>
        </w:sectPr>
      </w:pPr>
    </w:p>
    <w:bookmarkStart w:id="13" w:name="page14"/>
    <w:bookmarkEnd w:id="13"/>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the Judith Ripka Trademarks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 2014, JR Licensing entered into an asset purchase agreement dated April 1, 2014 (the “Purchase Agreement”) with Judith Ripka Berk (“Ms. Ripka”), an individual, and certain companies owned by Ms. Ripka including Judith Ripka Creations (collectively “Ripka”), pursuant to which JR Licensing purchased from Ripka, the Ripka Brand, including the Judith Ripka and Judith Ripka Sterling trademarks and other intellectual property rights. On the closing date of the acquisition, the Company paid Ripka $12.0 million in cash, $6.0 million through the issuance of interest free notes payable (the “Ripka Notes”), and 571,429 shares of the Company’s stock. The Ripka Notes have a term of five years from the date of issuance, are payable in cash or shares of Xcel Common Stock valued at the time of payment, at the Company’s option, and with a floor price of $7.00 per share if paid in stock, with Ripka having certain rights to extend the maturity of the Ripka Notes in the event the Company’s stock is trading at a price of less than $7.00 per share. The Company is obligated to pay Ripka an additional $1.0 million on October 1, 2014 and an additional $1.2 million on April 1, 2015. In addition, the Company agreed to pay Ripka additional consideration of up to $5 million in aggregate (the “Ripka Earn-out”), payable in cash or shares of the Company’s Common Stock based on the fair market value of our Common Stock at the time of payment, and with a floor of $7.00 per share, based on the Ripka Brand achieving in excess of $1 million of net royalty income during each of the 12-month periods beginning on October 1, 2015 and ending on October 1, 2018, less the sum of all earn out payments for any prior earn-out period. Net royalty income shall not include any revenues generated by direct-response television sales or any revenue accelerated as a result of termination.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 with the acquisition of the Ripka Brand, the Company entered into (i) a license agreement with QVC, Inc. that provides for a royalty to be paid to the Company by QVC based on net sales of products under the Ripka Brand (the “JR/QVC Agreement”), and (ii) a license with an affiliate of Ripka that will design, source, market, and promote products under the Ripka Brand to wholesale accounts, through an e-commerce site which Xcel will operate, and through Ripka owned retail stores (the “Wholesale Business”). The license with the Wholesale Business will provide for a royalty payable to the Company based on its wholesale sale of products under the Ripka Brand. The Company issued to QVC a Warrant (the “QVC Warrant”) to purchase a number of shares of our Common Stock equal to (i) 4.75% of the number of shares of common stock of Xcel issued and outstanding on the date the QVC Warrant becomes exercisable less (ii) 571,429 shares of our Common Stock (subject to adjustment in the event of a stock split, combination, or stock dividend). The QVC Warrant is exercisable at a price of $.001 per share and becomes exercisable only upon Judith Ripka becoming obligated to make a specified payment to QVC under the JR/QVC Agreement and remains exercisable until such obligation is satisfied in full.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the acquisition of the Ripka Assets, JR Licensing entered into a $9 million 5-year term loan with BHI (the “JR Loan”). The JR Loan is secured by all of the assets of JR Licensing and a guarantee from Xcel secured by a pledge of Xcel’s membership interest in JR Licensing and by a guarantee from IM Brands, secured by a pledge of all of IM Brands’ assets. The JR Loan bears interest at an annual variable rate of either, LIBOR plus 3.5% or Prime plus 0.50%, at JR Licensing’s option, payable, if the JR Loan is bearing interest based on LIBOR, on the last business day of the applicable interest period and, if the JR Loan is bearing interest based on Prime, quarterly in arrears on the first day of each calendar quarter. Scheduled quarterly principal payments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41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Amount of Principal</w:t>
            </w:r>
          </w:p>
        </w:tc>
        <w:tc>
          <w:tcPr>
            <w:tcW w:w="0" w:type="dxa"/>
            <w:vAlign w:val="bottom"/>
          </w:tcPr>
          <w:p>
            <w:pPr>
              <w:spacing w:after="0"/>
              <w:rPr>
                <w:sz w:val="1"/>
                <w:szCs w:val="1"/>
                <w:color w:val="auto"/>
              </w:rPr>
            </w:pPr>
          </w:p>
        </w:tc>
      </w:tr>
      <w:tr>
        <w:trPr>
          <w:trHeight w:val="23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Payment</w:t>
            </w:r>
          </w:p>
        </w:tc>
        <w:tc>
          <w:tcPr>
            <w:tcW w:w="282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Payment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2015, July 1, 2015, October 1, 2015 and January 1, 2016</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2016, July 1, 2016, October 1, 2016 and January 1, 2017</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625,000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2017, July 1, 2017, October 1, 2017 and January 1, 2018</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2018, July 1, 2018, October 1, 2018 and January 1, 2019</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JR Licensing shall prepay the outstanding amount of the JR Loan from excess cash flow (the “JR Cash Flow Recapture”) for each fiscal year commencing with the year ending December 31, 2015 in arrears in an amount equal to fifty percent (50%) of such JR Cash Flow Recapture. JR Cash Flow Recapture shall mean for any fiscal period, cash provided by operating activities for such period less (a) capital expenditures not made through the incurrence of indebtedness less (b) all interest and principal (including indebtedness owed for the JR Loan) paid or payable during such period less (c) the portion of the holdback amount paid or payable pursuant to the Purchase Agreement during such period less (d) payments made during such period by JR Licensing to Xcel equal to the estimated tax liability of Xcel resulting from any taxable income (net of losses, including for prior years to the extent permitted to be deducted) of JR Licensing. JR Licensing also executed a guaranty of our outstanding $13 million loan with BHI, in favor of BHI, secured by a pledge of all of JR Licensing’s assets.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The Company is required to maintain;</w:t>
      </w:r>
    </w:p>
    <w:p>
      <w:pPr>
        <w:spacing w:after="0" w:line="227"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fixed charge ratio, of 1.20 to 1.00 for the periods ending on or prior to December 31, 2015 and not less than 1.10 to 1.00 for periods commencing on and after March 31, 2016;</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EBITDA (as defined in the BHI loan documents), not be less than $5,500,000 for the fiscal year ending December 31, 2014, not less than $7,500,000 for the fiscal year ending December 31, 2015, not less than $11,000,000 for the fiscal year ending on December 31, 2016 and not less than $12,000,000 for fiscal year ending December 31, 2017 and each fiscal year end thereafter;</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minimum net worth;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minimum liquidity covenants;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non-monetary covenants, including reporting requirements and trademark preservation in accordance with the terms and conditions of the JR Loan.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JR Licensing is required to maintain minimum EBITDA of $3 million for the fiscal year ending December 31, 2014, not less than $4 million for the fiscal year ending December 31, 2015 and not less than $5 million for the fiscal year ending December 31, 2016 and each fiscal year end thereafter. EBITDA for JR licensing shall exclude allocated corporate overhead.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2014, the Company entered into a three-year employment agreement with Ms. Ripka such that she will serve as the Chief Design Officer of the Judith Ripka brand and perform duties and obligations under agreements with the Company’s licensees or any other third party pursuant to which Ms. Ripka has agreed to, and is obligated to, perform personal services. Thereafter, the agreement will renew automatically for one-year periods, unless either party gives written notice of intent to terminate at least 30 days prior to such termination. Ms. Ripka’s base salary is $750,000 per annum, and Ms. Ripka is entitled to other benefits including (a) non-accountable expenses of $114,000 per year, (b) $1,000 per month for rent for her Florida office, (c) the employment of a personal assistant, and (d) first class travel expenses.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Bonus. Ms. Ripka shall be eligible to receive an annual cash bonus (the “Bonus”) for each calendar year during the Term (or any partial fiscal year during the Term), equal to ten percent (10%) of the direct response television royalty income during such calendar year in excess of $6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Ripka Brand acquisition will be accounted for as an asset purchase.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Amendment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 2014 and in conjunction with the Ripka Brand acquisition and entering into the JR Loan, the Company amended the Term Loan. The amendments include:</w:t>
      </w:r>
    </w:p>
    <w:p>
      <w:pPr>
        <w:spacing w:after="0" w:line="162" w:lineRule="exact"/>
        <w:rPr>
          <w:sz w:val="20"/>
          <w:szCs w:val="20"/>
          <w:color w:val="auto"/>
        </w:rPr>
      </w:pPr>
    </w:p>
    <w:p>
      <w:pPr>
        <w:jc w:val="both"/>
        <w:ind w:left="980" w:hanging="324"/>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EBITDA (as defined in the BHI loan documents) of IM Brands shall not be less than $6,000,000 for the fiscal year ending December 31, 2014, not less than $9,000,000 for the fiscal year ending December 31, 2015, not less than $11,000,000 for the fiscal year ending December 31, 2016 and not less than $12,500,000 for the fiscal year ending December 31, 2017 and each fiscal year end thereafter. EBITDA for IM Brands shall exclude allocated corporate overhead;</w:t>
      </w:r>
    </w:p>
    <w:p>
      <w:pPr>
        <w:spacing w:after="0" w:line="2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EBITDA of the Company shall not be less than $5,500,000 for the fiscal year ending December 31, 2014, not less than $7,500,000 for the fiscal year ending December 31, 2015, not less than $11,000,000 for the fiscal year ending on December 31, 2016 and not less than $12,000,000 for fiscal year ending December 31, 2017 and each fiscal year end thereafter;</w:t>
      </w:r>
    </w:p>
    <w:p>
      <w:pPr>
        <w:spacing w:after="0" w:line="2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Guarantor and its Subsidiaries on a consolidated basis in any fiscal year shall not exceed $1,300,000;</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minimum net worth;</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minimum liquidity covenants; and</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January 1 2015, IM Brands shall repay an amount equal to fifty percent (50%) of Cash Flow Recapture until such time as principal payments received by BHI for the Term Loan and the JR Loan are equal to or greater than $1 million in the aggregate (other than a result of scheduled payments), then twenty percent (20%).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 The statements that are not historical facts contained in this report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2013. The words “believe”, “anticipate,” “expect”, “confident”, “project”, “provide”, “plan”, “likely”, “future”, “ongoing”, “intend”, “may”, “should”, “would”, “could”, “guidance” and similar expressions identify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Xcel Brands, Inc. (“Xcel”,the “Company”, “we”, “us”, or “our”) is a brand management company engaged in the design, licensing, marketing and retail sales of consumer brands, including the Isaac Mizrahi Brand and certain rights of the LCNY and the Ripka Brand, which we acquired on April 3, 2014. The Company operates in two segments - (1) Design and Licensing and (2) our Retail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maximizes the value of its brands by entering into strategic licenses with licensees who it assists in designing, manufacturing and distributing the licensed products. The Company selects licensees that it believes will be able to produce and sell high quality products in the categories in which they specialize in amounts that are capable of exceeding minimum sales targets and royalties that are included in the Company’s licensing agreements for each of its brands.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Design and Licensing business operates in a “working capital light” business model, wherein we license our brands to third parties, provide certain design services, and generate royalty and design and service fee revenues through licensing and other agreements with wholesale manufacturers, sourcing and design companies, and retailers. This includes licensing our own brands for promotion and distribution through an Omnichannel retail sales strategy including distribution through Direct-Response Television (i.e. QVC and The Shopping Channel), the internet, and traditional bricks-and-mortar retail channels. The Company believes that this strategy distinguishes it from other brand management companies that rely solely on their licensees for all distribution. The Isaac Mizrahi brand and LCNY brand are licensed through our wholly-owned subsidiary IM Brands, LLC (“IM Brands”) (the “Isaac Mizrahi Business”) and the Ripka Brand is licensed through our wholly-owned subsidiary, JR Licensing, LLC (“JR Licensing”).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Retail Business operates through its wholly-owned subsidiary, IMNY Retail Management, LLC (“Retail Management”), and was launched in June 2013 opening the Company’s first retail store located in Southampton, New York (“Southampton Store”). The Company opened its second retail store, an outlet store, located near Atlanta, GA (“Georgia Store”), on March 2, 2014. Also, Retail Management plans to launch an e-commerce platform in the second quarter of this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three months ended March 31, 2014 (the “Current Quarter”) compared to the three months ended March 31, 2013 (the “Prior Year Quarter”).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a net loss of $(0.96) million for the Current Quarter as compared to net income of $0.01 million for the Prior Year Quarter.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loss was $(1.29) million in the Current Quarter, compared to an operating income of $0.54 million in the Prior Year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 Quarter total revenues increased approximately $0.38 million to $3.57 million from $3.19 million for the Prior Year Quarter. This was primarily related to increases in net licensing fee revenues of $0.20 million, design and service fee revenue of $0.15 million, and net retail sales of $0.03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Design and Licensing Segment</w:t>
      </w:r>
      <w:r>
        <w:rPr>
          <w:rFonts w:ascii="Times New Roman" w:cs="Times New Roman" w:eastAsia="Times New Roman" w:hAnsi="Times New Roman"/>
          <w:sz w:val="18"/>
          <w:szCs w:val="18"/>
          <w:color w:val="auto"/>
        </w:rPr>
        <w:t xml:space="preserve"> – Current Quarter net licensing and design and service fee revenues increased approximately $0.35 million to $3.54 million from $3.19 million for the Prior Year Quarter. Almost all of our total revenues for the Current Quarter and all of the Prior Year Quarter were net licensing revenues and design and service fees. Net licensing revenues for the Current Quarter increased by $0.20 million compared with the Prior Year Quarter primarily due to an increase in direct response television (“DRT”) revenues of $0.20 million. There was no change in wholesale licensing in the Current Quarter compared with the Prior Year Quarter. Current Quarter design and service fee revenue increased by $0.15 million compared with the Prior Year Quarter primarily due to a (non-recurring) service fee recognized in the Current Quarter.</w:t>
      </w:r>
    </w:p>
    <w:p>
      <w:pPr>
        <w:spacing w:after="0" w:line="18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The Company reported net retail sales of $0.03 million in the Current Quarter, all of which were attributable to the Georgia Store. There are no comparative results for the Prior Year Quarter. The Southampton Store was not open for business during the winter of 2013-14 and has reopened on May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of 2014.</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Gross loss was $0.01 million for the Current Quarter. The retail segment had one store open for one month during the Current Quarter. Included in cost of goods sold for the Current Quarter was a combined one-time shipping charge (transferring inventory from the Southampton Store to the Georgia Store) and shrink reserve of $0.02 million. There are no comparative results for the Prior Year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totaled $4.82 million for the Current Quarter compared to $2.65 million for the Prior Year Quarter, an increase of $2.17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Design and Licensing Segment</w:t>
      </w:r>
      <w:r>
        <w:rPr>
          <w:rFonts w:ascii="Times New Roman" w:cs="Times New Roman" w:eastAsia="Times New Roman" w:hAnsi="Times New Roman"/>
          <w:sz w:val="18"/>
          <w:szCs w:val="18"/>
          <w:color w:val="auto"/>
        </w:rPr>
        <w:t xml:space="preserve"> - Operating expenses totaled $4.51 million for the Current Quarter compared to $2.65 million for the Prior Year Quarter. This increase of approximately $1.86 million was primarily related to an increase in compensation expense, including an increase in stock-based compensation of $1.50 million. The increase in stock-based compensation was primarily due to restricted stock grants issued on January 1, 2014.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Operating expenses were $0.31 million for the Current Quarter. The Georgia Store was the only location open during the Current Quarter. In addition to incurring operating costs for the Georgia Store, the Retail Segment also incurred expenses in connection with the planned launch of an e-commerce platform and costs preparing the Southampton Store for opening. There were no comparative results for the Prior Year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results for the Current Quarter decreased approximately $1.83 million to an operating loss of $(1.29) million from operating income of $0.54 million for the Prior Year Quarter based on the information provided in the revenue and operating expense sections above.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Design and Licensing Segment</w:t>
      </w:r>
      <w:r>
        <w:rPr>
          <w:rFonts w:ascii="Times New Roman" w:cs="Times New Roman" w:eastAsia="Times New Roman" w:hAnsi="Times New Roman"/>
          <w:sz w:val="18"/>
          <w:szCs w:val="18"/>
          <w:color w:val="auto"/>
        </w:rPr>
        <w:t xml:space="preserve"> - Operating results for the Current Quarter decreased approximately $1.51 million to an operating loss of $(0.97) million from operating income of $0.54 million for the Prior Year Quarter. This is primarily driven by the increase in stock-based compensation of $1.50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Operating loss for the Current Quarter was $0.32 million. The loss was primarily the result of the retail business having only one store open for one month in the Current Quarter and scaling retail operations and fixed overhead associated with our retail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Costs.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and finance costs for the Current Quarter decreased by approximately $0.28 million to $0.24 million compared to $0.52 million in the Prior Year Quarter. This is primarily due to the $0.13 million decrease attributable to lower interest rates in the Company’s term debt and a decrease of $0.15 million in the Current Quarter of interest expense and finance charges from the amortization of debt discounts and deferred finance costs compared with the Prior Year Quarter.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Current Quarter was approximately (37%) resulting in a $0.57 million income tax benefit. The effective income tax rate for the Prior Year Quarter was 38% resulting in a $0.08 million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loss was $(0.96) million in the Current Quarter, compared to net income of $0.01 million in the Prior Year Quarter, as a result of the factors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Current Quarter decreased approximately $0.31 million to $0.54 million from $0.85 million for the Prior Year Quarter. The decrease was primarily attributable to the operating loss from the retail segment of $0.32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a non- GAAP (generally accepted accounting principles), unaudited term, defined as net income before interest expense and other financing costs (including gain (loss) on extinguishment of debt), income taxes, other state and local franchise taxes, depreciation and amortization, non-cash compensation and other non-cash income and (expenses) (including gain on reduction of contingent obligations). Management uses Adjusted EBITDA as a measure of operating performance to assist in comparing performance from period to period on a consistent basis and to identify business trends relating to the Company's results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net income to Adjusted EBITDA</w:t>
            </w: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5200" w:type="dxa"/>
            <w:vAlign w:val="bottom"/>
            <w:tcBorders>
              <w:bottom w:val="single" w:sz="8" w:color="CCFFCC"/>
            </w:tcBorders>
          </w:tcPr>
          <w:p>
            <w:pPr>
              <w:spacing w:after="0"/>
              <w:rPr>
                <w:sz w:val="20"/>
                <w:szCs w:val="20"/>
                <w:color w:val="auto"/>
              </w:rPr>
            </w:pPr>
          </w:p>
        </w:tc>
        <w:tc>
          <w:tcPr>
            <w:tcW w:w="294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Borders>
              <w:bottom w:val="single" w:sz="8" w:color="CCFFCC"/>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94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(955,000)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518,000</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provision (benefit)</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2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52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non-cash adjustments</w:t>
            </w:r>
          </w:p>
        </w:tc>
        <w:tc>
          <w:tcPr>
            <w:tcW w:w="2940" w:type="dxa"/>
            <w:vAlign w:val="bottom"/>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FFCC"/>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9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940" w:type="dxa"/>
            <w:vAlign w:val="bottom"/>
            <w:vMerge w:val="restart"/>
          </w:tcPr>
          <w:p>
            <w:pPr>
              <w:jc w:val="right"/>
              <w:ind w:right="255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778"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and to a lesser extent, capital expenditures. At March 31, 2014 and December 31, 2013, our unrestricted cash and cash equivalents were $6.47 million and $7.46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existing cash and operating cash flows will be adequate to meet our operating needs, debt service obligations and capital expenditure needs including the debt service under our term loan facilities for the next twelve months. We are dependent on our licensees for most of our revenues, and there is no assurance that the licensees will perform as projected.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design and licensing segment does not require significant capital expenditures. However, we opened the Southampton Store in June 2013 for which $0.14 million of capital expenditures were incurred. The Southampton location will undergo a renovation for which an additional $0.04 million of capital expenditures have been incurred in the Current Quarter. We opened the Georgia Store in March 2014, incurring approximately $0.23 million of capital expenditures. Aside from these two locations, we currently have no commitments to open additional retail stores, but we are evaluating retail opportunities. We are planning to launch an e-commerce platform in May of this year, for which we incurred $0.03 million of capital expenditures. If we expand the retail business, we would be limited to the number of stores we could open without the consent of our lender. In accordance with the terms of the New Loan, we are limited each year to $1.3 million of capital expenditures, annually.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contingent obligations (See Note 4, Debt in the Condensed Consolidated Financial Statements) are payable in stock and/or cash, at the Company’s discretion. Payment of these obligations in stock would not affect the Company’s liquidity.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Seller Note (See Note 4, Debt in the Condensed Consolidated Financial Statements) is payable in cash up to $1.5 million beginning in 2015, of which $1.0 million of the cash payment is subject to BHI’s approval. The principal portion of the Seller Note not required to be paid in cash is payable with stock and/or cash, at the Company’s discretion. Payment of these obligations in stock would not affect the Company’s liquidity.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2014 and December 31, 2013, the working capital ratio (current assets to current liabilities) was 3.68 to 1.00 and 4.79 to 1.00,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Commentary on components of our cash flows for the Current Quarter as compared to the Prior Year Quarter is set forth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(used in) operating activities was approximately $(0.11) million and $0.19 million in the Current Quarter and Prior Year Quarter, respectively. The Current Quarter’s cash used in operating activities was primarily due to a net loss of $(0.96) million, adjusted for net change in operating assets and liabilities of $(0.47) million and partially offset by non-cash operating expenses of $1.32 million. Non-cash operating expenses consist of $1.57 million of stock-based compensation, $0.23 million of depreciation and amortization, $(0.57) million of deferred income tax benefit and $0.09 million of amortization of debt discount and deferred finance charges. The Prior Year Quarter’s cash provided by operating activities was primarily due to net income of $0.01 million, adjusted for stock-based compensation of $0.07 million, depreciation and amortization of $0.22 million, non-cash interest and other finance costs of $0.23 million, deferred income tax benefit of $(0.05) million, and partially offset by net change in operating assets and liabilities of $(0.29)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Current Quarter was approximately $0.47 million compared with $0.05 million in the Prior Year Quarter. The Current Quarter net cash used in investing activities was attributable to capital expenditures of $0.03 million and $0.17 million in advance deposits for the acquisition of the Ripka Brand (see Note 9, Subsequent Events in the Condensed Consolidated Financial Statements). In the Prior Year Quarter, $0.05 million of capital expenditures was attributable to property and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Current Quarter was approximately $0.41 million, primarily attributable to $0.32 million of contingent obligation payment, $0.06 million of repurchased shares of restricted stock that had vested and $0.03 million of deferred financing costs related to the Ripka Brand acquisition. Net cash used in financing activities for the Prior Year Quarter was approximately $0.34 million, primarily attributable to a $0.34 million payment of term debt.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the Isaac Mizrahi Brand, and beginning in April 2014 the Ripka Brand. We will seek to continue to diversify the distribution channels within which licensed products are sold, in an effort to reduce dependence on any particular retailer, consumer or market sector within each of our brands. Our acquisition of the Ripka Brand, whose core products have been in fine jewelry, helps diversify our industry focus (the Isaac Mizrahi Brand and LCNY Brand have a core business in fashion and accessories), while at the same time complementing, expanding and growing our overall business relationship with QVC. We also intend to seek new opportunities, including opening additional retail stores, international expansion through direct response television and licensing arrangements and acquiring additional brands. The success of our Company, however, will still remain largely dependent on our ability to build and maintain our brands’ awareness and contract with and retain key licensees and on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provision (benefit) is based on an effective income tax rate, which is comprised of the federal statutory rate and a state and local tax rate, net of federal effect. Our state and local tax rate is affected by the location of earned revenue and certain incurred expenses in determining state and local income tax allocations. Accordingly, our state and local tax rate, net of federal effect may vary and could have a material impact on the fair value of our deferred tax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would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of our accounting policies involve management judgments and estimates that could be significant. The policies with the greatest potential effect on our consolidated results of operations and financial position include the estimate of the fair value of the contingent obligations to the Seller, based on our licensing revenue performance. For our design and licensing segment, we can reasonably forecast revenues and plan expenditures based upon guaranteed royalty minimums and sales projections provided by our retail licensees.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review all significant estimates affecting the financial statements on a recurring basis and record the effect of any adjustments when necessary.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our licensing model, revenue is generated from licenses and is based on reported sales of licensed products bearing our trademarks, at royalty rates specified in the license agreements. These agreements are also subject to contractual minimum levels. Design and service fees are recorded and recognized in accordance with the terms and conditions of each service contract, including the Company meeting its obligations and providing the relevant services under each contract. Generally, we record on a straight-line basis, each base fee as stated in each service agreement for the covered period and, if applicable, we recognize additional payments received that relate to a future period as deferred revenue, until service is provided or revenue is otherwise earned. We recognize revenue from our retail stores upon sale of our products to retail consumers, net of estimated returns.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 Goodwill and Other Intangible Assets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follows Financial Accounting Standards Board (“FASB”) Accounting Standard Codification (“ASC”) Topic 350 - Intangibles, Goodwill and Other (“ASC Topic 350”). Under this standard, goodwill and indefinite lived assets are not amortized. The Company’s definite lived intangible assets are amortized over their estimated useful lives.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this standard, the Company annually has the option to first assess qualitatively whether it is more likely than not that there is an impairment. The Company completed its annual quantitative assessment of trademarks, goodwill and other intangibles at December 31, 2013 and determined that no impairment charges were required.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Topic 718 “Compensation - Stock Compensation”, by recognizing the fair value of stock-based compensation as an operating expense in the Company’s condensed consolidated statements of operations. The fair value of the Company’s stock option awards are estimated using the Black-Scholes option valuation model and restricted stock awards are valued at the fair value of the Company’s stock at the time of grant. The Black-Scholes model requires the input of highly subjective assumptions and elections including expected stock price volatility and the estimated life of each award. Compensation cost for restricted stock is measured using the fair value of the Company’s Common Stock at the date the Common Stock is granted. The fair value of stock-based awards is amortized over the service period of the awards. Stock-based compensation that relates to contract performance is amortized over the term of the corresponding contract. For stock-based awards that vest based on performance conditions (e.g. achievement of certain milestones), expense is recognized when it is probable that the condition will be met. In addition, the calculation of compensation costs requires that the Company estimate the number of awards that will be forfeited during the vesting period.</w:t>
      </w:r>
    </w:p>
    <w:p>
      <w:pPr>
        <w:sectPr>
          <w:pgSz w:w="11900" w:h="16838" w:orient="portrait"/>
          <w:cols w:equalWidth="0" w:num="1">
            <w:col w:w="11420"/>
          </w:cols>
          <w:pgMar w:left="240" w:top="873" w:right="239" w:bottom="32"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Fair Value of Contingent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ASC Subtopic 820-10 “Fair Value Measurements and Disclosures” defines fair value as the price that would be received to sell an asset or paid to transfer a liability in an orderly transaction between market participants at the measurement date. ASC Subtopic 820-10 outlines a valuation framework, creates a fair value hierarchy in order to increase the consistency and comparability of fair value measurements, and details the disclosures that are required for items measured at fair value. We have contingent obligations that are required to be measured at fair value on a recurring basis. Our contingent obligations were measured using inputs from Level 3 of the fair value hierarchy, which states: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unobservable inputs that reflect our assumptions that market participants would use in pricing assets or liabilities based on the best information available. The Company’s earn-out obligation (See Note 4, Debt) is based upon certain projected net royalty revenues as defined in the terms and conditions of the acquisition of the Isaac Mizrahi Brand.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our evaluation under the frameworks described above, our management has concluded that our internal control over financial reporting was effective as of March 31,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2013 are not the only risks we face. Additional risks and uncertainties not currently known to us or that we currently deem to be immaterial also may materially adversely affect our financial condition and/or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31.1 Rule 13a-14(a)/15d-14(a) Certification (CEO)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31.2 Rule 13a-14(a)/15d-14(a) Certification (CFO)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32.1 Section 1350 Certification (CEO)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32.2 Section 1350 Certification (CFO)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2014</w:t>
            </w: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432"/>
        </w:trPr>
        <w:tc>
          <w:tcPr>
            <w:tcW w:w="354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648"/>
        </w:trPr>
        <w:tc>
          <w:tcPr>
            <w:tcW w:w="35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right="40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CERTIFICATION PURSUANT TO 18 U.S.C. SECTION 1350, AS ADOPTED PURSUANT TO </w:t>
      </w:r>
      <w:r>
        <w:rPr>
          <w:rFonts w:ascii="Times New Roman" w:cs="Times New Roman" w:eastAsia="Times New Roman" w:hAnsi="Times New Roman"/>
          <w:sz w:val="18"/>
          <w:szCs w:val="18"/>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2014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firstLine="8"/>
        <w:spacing w:after="0" w:line="266" w:lineRule="auto"/>
        <w:tabs>
          <w:tab w:leader="none" w:pos="1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May 14, 2014</w:t>
            </w: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648"/>
        </w:trPr>
        <w:tc>
          <w:tcPr>
            <w:tcW w:w="3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right="40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CERTIFICATION PURSUANT TO 18 U.S.C. SECTION 1350, AS ADOPTED PURSUANT TO </w:t>
      </w:r>
      <w:r>
        <w:rPr>
          <w:rFonts w:ascii="Times New Roman" w:cs="Times New Roman" w:eastAsia="Times New Roman" w:hAnsi="Times New Roman"/>
          <w:sz w:val="18"/>
          <w:szCs w:val="18"/>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2014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firstLine="8"/>
        <w:spacing w:after="0" w:line="266" w:lineRule="auto"/>
        <w:tabs>
          <w:tab w:leader="none" w:pos="1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May 14, 2014</w:t>
            </w: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648"/>
        </w:trPr>
        <w:tc>
          <w:tcPr>
            <w:tcW w:w="3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2014 as filed with the Securities and Exchange Commission on the date hereof (the “Report”), I, Robert W. D’Loren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May 14, 2014</w:t>
            </w: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648"/>
        </w:trPr>
        <w:tc>
          <w:tcPr>
            <w:tcW w:w="3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2014 as filed with the Securities and Exchange Commission on the date hereof (the “Report”), I, James Haran,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May 14, 2014</w:t>
            </w: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648"/>
        </w:trPr>
        <w:tc>
          <w:tcPr>
            <w:tcW w:w="3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lowerRoman"/>
      <w:start w:val="1"/>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lowerRoman"/>
      <w:start w:val="1"/>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2019-12-06T21:43:52Z</dcterms:created>
  <dcterms:modified xsi:type="dcterms:W3CDTF">2019-12-06T21:43:52Z</dcterms:modified>
</cp:coreProperties>
</file>