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ind w:left="1620" w:hanging="198"/>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PURUSANT TO SECTION 13 OR 15(d) OF THE SECURITIES EXCHANGE ACT OF</w:t>
      </w:r>
    </w:p>
    <w:p>
      <w:pPr>
        <w:spacing w:after="0" w:line="29" w:lineRule="exact"/>
        <w:rPr>
          <w:rFonts w:ascii="MS PGothic" w:cs="MS PGothic" w:eastAsia="MS PGothic" w:hAnsi="MS PGothic"/>
          <w:sz w:val="18"/>
          <w:szCs w:val="18"/>
          <w:color w:val="auto"/>
        </w:rPr>
      </w:pPr>
    </w:p>
    <w:p>
      <w:pPr>
        <w:ind w:left="5560"/>
        <w:spacing w:after="0"/>
        <w:rPr>
          <w:rFonts w:ascii="MS PGothic" w:cs="MS PGothic" w:eastAsia="MS PGothic" w:hAnsi="MS PGothic"/>
          <w:sz w:val="18"/>
          <w:szCs w:val="18"/>
          <w:color w:val="auto"/>
        </w:rPr>
      </w:pPr>
      <w:r>
        <w:rPr>
          <w:rFonts w:ascii="Arial" w:cs="Arial" w:eastAsia="Arial" w:hAnsi="Arial"/>
          <w:sz w:val="18"/>
          <w:szCs w:val="18"/>
          <w:color w:val="auto"/>
        </w:rPr>
        <w:t>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0-21419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1" w:lineRule="exact"/>
        <w:rPr>
          <w:sz w:val="24"/>
          <w:szCs w:val="24"/>
          <w:color w:val="auto"/>
        </w:rPr>
      </w:pPr>
    </w:p>
    <w:p>
      <w:pPr>
        <w:jc w:val="center"/>
        <w:ind w:left="5380" w:right="1680" w:hanging="3700"/>
        <w:spacing w:after="0" w:line="282" w:lineRule="auto"/>
        <w:tabs>
          <w:tab w:leader="none" w:pos="192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UNDER SECTION 13 OR 15(d) OF THE SECURITIES EXCHANGE ACT OF 1934</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8"/>
              </w:rPr>
              <w:t>XCEL BRANDS, INC.</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910"/>
              <w:spacing w:after="0"/>
              <w:rPr>
                <w:sz w:val="20"/>
                <w:szCs w:val="20"/>
                <w:color w:val="auto"/>
              </w:rPr>
            </w:pPr>
            <w:r>
              <w:rPr>
                <w:rFonts w:ascii="Arial" w:cs="Arial" w:eastAsia="Arial" w:hAnsi="Arial"/>
                <w:sz w:val="18"/>
                <w:szCs w:val="18"/>
                <w:color w:val="auto"/>
                <w:w w:val="90"/>
              </w:rPr>
              <w:t>(Name of Registrant as specified in its charter)</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160" w:type="dxa"/>
            <w:vAlign w:val="bottom"/>
            <w:gridSpan w:val="4"/>
          </w:tcPr>
          <w:p>
            <w:pPr>
              <w:jc w:val="center"/>
              <w:ind w:right="3040"/>
              <w:spacing w:after="0"/>
              <w:rPr>
                <w:sz w:val="20"/>
                <w:szCs w:val="20"/>
                <w:color w:val="auto"/>
              </w:rPr>
            </w:pPr>
            <w:r>
              <w:rPr>
                <w:rFonts w:ascii="Arial" w:cs="Arial" w:eastAsia="Arial" w:hAnsi="Arial"/>
                <w:sz w:val="18"/>
                <w:szCs w:val="18"/>
                <w:color w:val="auto"/>
                <w:w w:val="89"/>
              </w:rPr>
              <w:t>Delaware</w:t>
            </w:r>
          </w:p>
        </w:tc>
        <w:tc>
          <w:tcPr>
            <w:tcW w:w="3240" w:type="dxa"/>
            <w:vAlign w:val="bottom"/>
            <w:gridSpan w:val="3"/>
          </w:tcPr>
          <w:p>
            <w:pPr>
              <w:jc w:val="center"/>
              <w:ind w:right="1810"/>
              <w:spacing w:after="0"/>
              <w:rPr>
                <w:sz w:val="20"/>
                <w:szCs w:val="20"/>
                <w:color w:val="auto"/>
              </w:rPr>
            </w:pPr>
            <w:r>
              <w:rPr>
                <w:rFonts w:ascii="Arial" w:cs="Arial" w:eastAsia="Arial" w:hAnsi="Arial"/>
                <w:sz w:val="18"/>
                <w:szCs w:val="18"/>
                <w:color w:val="auto"/>
                <w:w w:val="89"/>
              </w:rPr>
              <w:t>76-0307819</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3240" w:type="dxa"/>
            <w:vAlign w:val="bottom"/>
            <w:tcBorders>
              <w:top w:val="single" w:sz="8" w:color="auto"/>
            </w:tcBorders>
            <w:gridSpan w:val="3"/>
          </w:tcPr>
          <w:p>
            <w:pPr>
              <w:jc w:val="center"/>
              <w:ind w:right="18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0" w:type="dxa"/>
            <w:vAlign w:val="bottom"/>
          </w:tcPr>
          <w:p>
            <w:pPr>
              <w:spacing w:after="0"/>
              <w:rPr>
                <w:sz w:val="20"/>
                <w:szCs w:val="20"/>
                <w:color w:val="auto"/>
              </w:rPr>
            </w:pPr>
          </w:p>
        </w:tc>
        <w:tc>
          <w:tcPr>
            <w:tcW w:w="8160" w:type="dxa"/>
            <w:vAlign w:val="bottom"/>
            <w:gridSpan w:val="4"/>
          </w:tcPr>
          <w:p>
            <w:pPr>
              <w:jc w:val="center"/>
              <w:ind w:right="3040"/>
              <w:spacing w:after="0"/>
              <w:rPr>
                <w:sz w:val="20"/>
                <w:szCs w:val="20"/>
                <w:color w:val="auto"/>
              </w:rPr>
            </w:pPr>
            <w:r>
              <w:rPr>
                <w:rFonts w:ascii="Arial" w:cs="Arial" w:eastAsia="Arial" w:hAnsi="Arial"/>
                <w:sz w:val="18"/>
                <w:szCs w:val="18"/>
                <w:color w:val="auto"/>
                <w:w w:val="91"/>
              </w:rPr>
              <w:t>Incorporation or Organization)</w:t>
            </w:r>
          </w:p>
        </w:tc>
        <w:tc>
          <w:tcPr>
            <w:tcW w:w="3240" w:type="dxa"/>
            <w:vAlign w:val="bottom"/>
            <w:gridSpan w:val="3"/>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tcBorders>
              <w:bottom w:val="single" w:sz="8" w:color="auto"/>
            </w:tcBorders>
            <w:gridSpan w:val="3"/>
          </w:tcPr>
          <w:p>
            <w:pPr>
              <w:jc w:val="center"/>
              <w:ind w:left="850"/>
              <w:spacing w:after="0"/>
              <w:rPr>
                <w:sz w:val="20"/>
                <w:szCs w:val="20"/>
                <w:color w:val="auto"/>
              </w:rPr>
            </w:pPr>
            <w:r>
              <w:rPr>
                <w:rFonts w:ascii="Arial" w:cs="Arial" w:eastAsia="Arial" w:hAnsi="Arial"/>
                <w:sz w:val="18"/>
                <w:szCs w:val="18"/>
                <w:color w:val="auto"/>
                <w:w w:val="91"/>
              </w:rPr>
              <w:t>475 Tenth Avenue, New York, NY 10018</w:t>
            </w:r>
          </w:p>
        </w:tc>
        <w:tc>
          <w:tcPr>
            <w:tcW w:w="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2"/>
              </w:rPr>
              <w:t>(Address of Principal Executive Offices)</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4"/>
        </w:trPr>
        <w:tc>
          <w:tcPr>
            <w:tcW w:w="6280" w:type="dxa"/>
            <w:vAlign w:val="bottom"/>
            <w:gridSpan w:val="4"/>
          </w:tcPr>
          <w:p>
            <w:pPr>
              <w:jc w:val="center"/>
              <w:ind w:left="5070"/>
              <w:spacing w:after="0"/>
              <w:rPr>
                <w:sz w:val="20"/>
                <w:szCs w:val="20"/>
                <w:color w:val="auto"/>
              </w:rPr>
            </w:pPr>
            <w:r>
              <w:rPr>
                <w:rFonts w:ascii="Arial" w:cs="Arial" w:eastAsia="Arial" w:hAnsi="Arial"/>
                <w:sz w:val="18"/>
                <w:szCs w:val="18"/>
                <w:color w:val="auto"/>
                <w:w w:val="90"/>
              </w:rPr>
              <w:t>(347) 727-2474</w:t>
            </w:r>
          </w:p>
        </w:tc>
        <w:tc>
          <w:tcPr>
            <w:tcW w:w="1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(Issuer's Telephone Number, Including Area Code)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Securities registered under Section 12(b) of the Exchange Act:</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20" w:type="dxa"/>
            <w:vAlign w:val="bottom"/>
            <w:gridSpan w:val="2"/>
          </w:tcPr>
          <w:p>
            <w:pPr>
              <w:jc w:val="center"/>
              <w:ind w:right="1920"/>
              <w:spacing w:after="0"/>
              <w:rPr>
                <w:sz w:val="20"/>
                <w:szCs w:val="20"/>
                <w:color w:val="auto"/>
              </w:rPr>
            </w:pPr>
            <w:r>
              <w:rPr>
                <w:rFonts w:ascii="Arial" w:cs="Arial" w:eastAsia="Arial" w:hAnsi="Arial"/>
                <w:sz w:val="18"/>
                <w:szCs w:val="18"/>
                <w:color w:val="auto"/>
                <w:w w:val="88"/>
              </w:rPr>
              <w:t>None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Securities registered pursuant to Section 12(g) of the Exchange Act:</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880" w:type="dxa"/>
            <w:vAlign w:val="bottom"/>
            <w:gridSpan w:val="3"/>
          </w:tcPr>
          <w:p>
            <w:pPr>
              <w:jc w:val="center"/>
              <w:ind w:left="850"/>
              <w:spacing w:after="0"/>
              <w:rPr>
                <w:sz w:val="20"/>
                <w:szCs w:val="20"/>
                <w:color w:val="auto"/>
              </w:rPr>
            </w:pPr>
            <w:r>
              <w:rPr>
                <w:rFonts w:ascii="Arial" w:cs="Arial" w:eastAsia="Arial" w:hAnsi="Arial"/>
                <w:sz w:val="18"/>
                <w:szCs w:val="18"/>
                <w:color w:val="auto"/>
                <w:w w:val="90"/>
              </w:rPr>
              <w:t>Common Stock, $0.001 par value</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52"/>
        </w:trPr>
        <w:tc>
          <w:tcPr>
            <w:tcW w:w="9180" w:type="dxa"/>
            <w:vAlign w:val="bottom"/>
            <w:gridSpan w:val="7"/>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24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9180" w:type="dxa"/>
            <w:vAlign w:val="bottom"/>
            <w:gridSpan w:val="7"/>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240" w:type="dxa"/>
            <w:vAlign w:val="bottom"/>
          </w:tcPr>
          <w:p>
            <w:pPr>
              <w:ind w:left="2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Check whether the registrant (1)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653" w:gutter="0" w:footer="0" w:header="0"/>
        </w:sectPr>
      </w:pP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416" w:lineRule="exact"/>
        <w:rPr>
          <w:sz w:val="24"/>
          <w:szCs w:val="24"/>
          <w:color w:val="auto"/>
        </w:rPr>
      </w:pPr>
    </w:p>
    <w:p>
      <w:pPr>
        <w:sectPr>
          <w:pgSz w:w="11900" w:h="16838" w:orient="portrait"/>
          <w:cols w:equalWidth="0" w:num="2">
            <w:col w:w="4900" w:space="720"/>
            <w:col w:w="5800"/>
          </w:cols>
          <w:pgMar w:left="240" w:top="472" w:right="239" w:bottom="653"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4"/>
          <w:szCs w:val="24"/>
          <w:color w:val="auto"/>
        </w:rPr>
      </w:pPr>
    </w:p>
    <w:p>
      <w:pPr>
        <w:spacing w:after="0" w:line="207" w:lineRule="exact"/>
        <w:tabs>
          <w:tab w:leader="none" w:pos="6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86" w:lineRule="auto"/>
        <w:rPr>
          <w:sz w:val="20"/>
          <w:szCs w:val="20"/>
          <w:color w:val="auto"/>
        </w:rPr>
      </w:pPr>
      <w:r>
        <w:rPr>
          <w:rFonts w:ascii="Arial" w:cs="Arial" w:eastAsia="Arial" w:hAnsi="Arial"/>
          <w:sz w:val="17"/>
          <w:szCs w:val="17"/>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$438,513 based upon the average bid and asked price of such common stock on June 30, 2011.</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issuer’s common stock issued and outstanding as of March 23, 2012 was 5,810,444 shares.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65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20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w:t>
            </w: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1</w:t>
            </w:r>
          </w:p>
        </w:tc>
        <w:tc>
          <w:tcPr>
            <w:tcW w:w="9200" w:type="dxa"/>
            <w:vAlign w:val="bottom"/>
          </w:tcPr>
          <w:p>
            <w:pPr>
              <w:ind w:left="20"/>
              <w:spacing w:after="0"/>
              <w:rPr>
                <w:sz w:val="20"/>
                <w:szCs w:val="20"/>
                <w:color w:val="auto"/>
              </w:rPr>
            </w:pPr>
            <w:r>
              <w:rPr>
                <w:rFonts w:ascii="Arial" w:cs="Arial" w:eastAsia="Arial" w:hAnsi="Arial"/>
                <w:sz w:val="18"/>
                <w:szCs w:val="18"/>
                <w:color w:val="auto"/>
              </w:rPr>
              <w:t>Business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1A</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Risk Factors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2</w:t>
            </w:r>
          </w:p>
        </w:tc>
        <w:tc>
          <w:tcPr>
            <w:tcW w:w="9200" w:type="dxa"/>
            <w:vAlign w:val="bottom"/>
          </w:tcPr>
          <w:p>
            <w:pPr>
              <w:ind w:left="20"/>
              <w:spacing w:after="0"/>
              <w:rPr>
                <w:sz w:val="20"/>
                <w:szCs w:val="20"/>
                <w:color w:val="auto"/>
              </w:rPr>
            </w:pPr>
            <w:r>
              <w:rPr>
                <w:rFonts w:ascii="Arial" w:cs="Arial" w:eastAsia="Arial" w:hAnsi="Arial"/>
                <w:sz w:val="18"/>
                <w:szCs w:val="18"/>
                <w:color w:val="auto"/>
              </w:rPr>
              <w:t>Properties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3</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Legal Proceedings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4</w:t>
            </w:r>
          </w:p>
        </w:tc>
        <w:tc>
          <w:tcPr>
            <w:tcW w:w="9200" w:type="dxa"/>
            <w:vAlign w:val="bottom"/>
          </w:tcPr>
          <w:p>
            <w:pPr>
              <w:ind w:left="20"/>
              <w:spacing w:after="0"/>
              <w:rPr>
                <w:sz w:val="20"/>
                <w:szCs w:val="20"/>
                <w:color w:val="auto"/>
              </w:rPr>
            </w:pPr>
            <w:r>
              <w:rPr>
                <w:rFonts w:ascii="Arial" w:cs="Arial" w:eastAsia="Arial" w:hAnsi="Arial"/>
                <w:sz w:val="18"/>
                <w:szCs w:val="18"/>
                <w:color w:val="auto"/>
              </w:rPr>
              <w:t>Mine Safety Disclosure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shd w:val="clear" w:color="auto" w:fill="CCFFCC"/>
          </w:tcPr>
          <w:p>
            <w:pPr>
              <w:ind w:left="240"/>
              <w:spacing w:after="0" w:line="201" w:lineRule="exact"/>
              <w:rPr>
                <w:sz w:val="20"/>
                <w:szCs w:val="20"/>
                <w:color w:val="auto"/>
              </w:rPr>
            </w:pPr>
            <w:r>
              <w:rPr>
                <w:rFonts w:ascii="Arial" w:cs="Arial" w:eastAsia="Arial" w:hAnsi="Arial"/>
                <w:sz w:val="18"/>
                <w:szCs w:val="18"/>
                <w:color w:val="auto"/>
              </w:rPr>
              <w:t>Item 5</w:t>
            </w:r>
          </w:p>
        </w:tc>
        <w:tc>
          <w:tcPr>
            <w:tcW w:w="9200" w:type="dxa"/>
            <w:vAlign w:val="bottom"/>
            <w:shd w:val="clear" w:color="auto" w:fill="CCFFCC"/>
          </w:tcPr>
          <w:p>
            <w:pPr>
              <w:ind w:left="20"/>
              <w:spacing w:after="0" w:line="201" w:lineRule="exact"/>
              <w:rPr>
                <w:sz w:val="20"/>
                <w:szCs w:val="20"/>
                <w:color w:val="auto"/>
              </w:rPr>
            </w:pPr>
            <w:r>
              <w:rPr>
                <w:rFonts w:ascii="Arial" w:cs="Arial" w:eastAsia="Arial" w:hAnsi="Arial"/>
                <w:sz w:val="18"/>
                <w:szCs w:val="18"/>
                <w:color w:val="auto"/>
                <w:w w:val="98"/>
              </w:rPr>
              <w:t>Market for Registrant’s Common Equity, Related Stockholder Matters and Small Business Issuer Purchases of Equity</w:t>
            </w:r>
          </w:p>
        </w:tc>
        <w:tc>
          <w:tcPr>
            <w:tcW w:w="1080" w:type="dxa"/>
            <w:vAlign w:val="bottom"/>
            <w:gridSpan w:val="2"/>
            <w:shd w:val="clear" w:color="auto" w:fill="CCFFCC"/>
          </w:tcPr>
          <w:p>
            <w:pPr>
              <w:jc w:val="right"/>
              <w:spacing w:after="0" w:line="201"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shd w:val="clear" w:color="auto" w:fill="CCFFCC"/>
          </w:tcPr>
          <w:p>
            <w:pPr>
              <w:spacing w:after="0"/>
              <w:rPr>
                <w:sz w:val="20"/>
                <w:szCs w:val="20"/>
                <w:color w:val="auto"/>
              </w:rPr>
            </w:pP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Securities</w:t>
            </w:r>
          </w:p>
        </w:tc>
        <w:tc>
          <w:tcPr>
            <w:tcW w:w="72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6</w:t>
            </w:r>
          </w:p>
        </w:tc>
        <w:tc>
          <w:tcPr>
            <w:tcW w:w="9200" w:type="dxa"/>
            <w:vAlign w:val="bottom"/>
          </w:tcPr>
          <w:p>
            <w:pPr>
              <w:ind w:left="20"/>
              <w:spacing w:after="0"/>
              <w:rPr>
                <w:sz w:val="20"/>
                <w:szCs w:val="20"/>
                <w:color w:val="auto"/>
              </w:rPr>
            </w:pPr>
            <w:r>
              <w:rPr>
                <w:rFonts w:ascii="Arial" w:cs="Arial" w:eastAsia="Arial" w:hAnsi="Arial"/>
                <w:sz w:val="18"/>
                <w:szCs w:val="18"/>
                <w:color w:val="auto"/>
              </w:rPr>
              <w:t>Selected Financial Data</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7</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7A</w:t>
            </w:r>
          </w:p>
        </w:tc>
        <w:tc>
          <w:tcPr>
            <w:tcW w:w="9200" w:type="dxa"/>
            <w:vAlign w:val="bottom"/>
          </w:tcPr>
          <w:p>
            <w:pPr>
              <w:ind w:left="20"/>
              <w:spacing w:after="0"/>
              <w:rPr>
                <w:sz w:val="20"/>
                <w:szCs w:val="20"/>
                <w:color w:val="auto"/>
              </w:rPr>
            </w:pPr>
            <w:r>
              <w:rPr>
                <w:rFonts w:ascii="Arial" w:cs="Arial" w:eastAsia="Arial" w:hAnsi="Arial"/>
                <w:sz w:val="18"/>
                <w:szCs w:val="18"/>
                <w:color w:val="auto"/>
              </w:rPr>
              <w:t>Quantitative and Qualitative Disclosures About Market Risk.</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8</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Financial Statements and Supplementary Data</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9</w:t>
            </w:r>
          </w:p>
        </w:tc>
        <w:tc>
          <w:tcPr>
            <w:tcW w:w="9200" w:type="dxa"/>
            <w:vAlign w:val="bottom"/>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9A</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Controls and Procedures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9B</w:t>
            </w:r>
          </w:p>
        </w:tc>
        <w:tc>
          <w:tcPr>
            <w:tcW w:w="920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10</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11</w:t>
            </w:r>
          </w:p>
        </w:tc>
        <w:tc>
          <w:tcPr>
            <w:tcW w:w="9200" w:type="dxa"/>
            <w:vAlign w:val="bottom"/>
          </w:tcPr>
          <w:p>
            <w:pPr>
              <w:ind w:left="20"/>
              <w:spacing w:after="0"/>
              <w:rPr>
                <w:sz w:val="20"/>
                <w:szCs w:val="20"/>
                <w:color w:val="auto"/>
              </w:rPr>
            </w:pPr>
            <w:r>
              <w:rPr>
                <w:rFonts w:ascii="Arial" w:cs="Arial" w:eastAsia="Arial" w:hAnsi="Arial"/>
                <w:sz w:val="18"/>
                <w:szCs w:val="18"/>
                <w:color w:val="auto"/>
              </w:rPr>
              <w:t>Executive Compensation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12</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13</w:t>
            </w:r>
          </w:p>
        </w:tc>
        <w:tc>
          <w:tcPr>
            <w:tcW w:w="9200" w:type="dxa"/>
            <w:vAlign w:val="bottom"/>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ind w:left="240"/>
              <w:spacing w:after="0"/>
              <w:rPr>
                <w:sz w:val="20"/>
                <w:szCs w:val="20"/>
                <w:color w:val="auto"/>
              </w:rPr>
            </w:pPr>
            <w:r>
              <w:rPr>
                <w:rFonts w:ascii="Arial" w:cs="Arial" w:eastAsia="Arial" w:hAnsi="Arial"/>
                <w:sz w:val="18"/>
                <w:szCs w:val="18"/>
                <w:color w:val="auto"/>
              </w:rPr>
              <w:t>Item 14</w:t>
            </w:r>
          </w:p>
        </w:tc>
        <w:tc>
          <w:tcPr>
            <w:tcW w:w="92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Principal Accountant Fees and Services</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PART IV</w:t>
            </w: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Item 15</w:t>
            </w:r>
          </w:p>
        </w:tc>
        <w:tc>
          <w:tcPr>
            <w:tcW w:w="9200" w:type="dxa"/>
            <w:vAlign w:val="bottom"/>
          </w:tcPr>
          <w:p>
            <w:pPr>
              <w:ind w:left="20"/>
              <w:spacing w:after="0"/>
              <w:rPr>
                <w:sz w:val="20"/>
                <w:szCs w:val="20"/>
                <w:color w:val="auto"/>
              </w:rPr>
            </w:pPr>
            <w:r>
              <w:rPr>
                <w:rFonts w:ascii="Arial" w:cs="Arial" w:eastAsia="Arial" w:hAnsi="Arial"/>
                <w:sz w:val="18"/>
                <w:szCs w:val="18"/>
                <w:color w:val="auto"/>
              </w:rPr>
              <w:t>Exhibits, Financial Statement Schedules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w w:val="93"/>
              </w:rPr>
              <w:t>SIGNATURES</w:t>
            </w:r>
          </w:p>
        </w:tc>
        <w:tc>
          <w:tcPr>
            <w:tcW w:w="920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This Annual Report on Form 10-K contains forward looking statements within the meaning of Section 27A of the Securities Act of 1933, as amended, and Section 21E of the Securities Exchange Act of 1934, as amended, that involve risks and uncertainties, principally in the sections entitled “Description of Business,” “Risk Factors,” and “Management’s Discussion and Analysis of Financial Condition and Results of Operations.” All statements other than statements of historical fact contained in this Annual Report on Form 10-K,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“should,” “would,”, “guidance,”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Annual Report on Form 10-K, which may cause our or our industry’s actual results, levels of activity, performance or achievements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All forward-looking statements included in this document are based on information available to us on the date hereof, and we assumes no obligation to update any such forward-looking statements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should not place undue reliance on any forward-looking statement, each of which applies only as of the date of this Annual Report on Form 10-</w:t>
      </w:r>
    </w:p>
    <w:p>
      <w:pPr>
        <w:spacing w:after="0" w:line="46" w:lineRule="exact"/>
        <w:rPr>
          <w:sz w:val="20"/>
          <w:szCs w:val="20"/>
          <w:color w:val="auto"/>
        </w:rPr>
      </w:pPr>
    </w:p>
    <w:p>
      <w:pPr>
        <w:ind w:right="40" w:firstLine="8"/>
        <w:spacing w:after="0" w:line="254"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Before you invest in our securities, you should be aware that the occurrence of the events described in the section entitled “Risk Factors” and elsewhere in this Annual Report on Form 10-K could negatively affect our business, operating results, financial condition and stock price. Except as required by law, we undertake no obligation to update or revise publicly any of the forward-looking statements after the date of this Annual Report on Form 10-K to conform our statements to actual results or changed expectations.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Background</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Xcel Brands, Inc. (formerly NetFabrics Holdings, Inc. {the “Company”}) was incorporated on August 31, 1989 in the State of Delaware under the name Houston Operating Company. On April 19, 2005, we changed our name to NetFabric Holdings, Inc. On September 29, 2011, the Company, Xcel Brands, Inc., a privately held Delaware corporation (“Old XCel”), Netfabric Acquisition Corp., a Delaware corporation (“Acquisition Corp.”) and wholly-owned subsidiary of the Company, and certain stockholders of the Company entered into an Agreement of Merger and Plan of Reorganization (the “Merger Agreement”) pursuant to which Acquisition Corp. was merged with and into Old XCel, with Old XCel surviving as a wholly-owned subsidiary of the Company (the “Merger”). Immediately following the Merger, Old XCel was merged with and into the Company (the “Short Form Merger”) and the Company changed its name to Xcel Brands, Inc. Pursuant to the Merger, the Company acquired all of the outstanding capital stock of Old XCel in exchange for issuing an aggregate of 944,688 shares of Common Stock, par value $0.001 per share (the “Common Stock”) to Old XCel’s stockholders at a ratio of 9,446.88 shares of Common Stock for each share of Old XCel common stock outstanding at the effective time of the Merger. As a result of the Merger and certain related transactions as described herein, Old XCel’s former stockholders and the IM Ready (as defined below) stockholders became the majority stockholders of the Company. Shares of the Company’s Common Stock are quoted on the OTCQB under the symbol XELB.</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Also in connection with the Merger and related transactions, as more fully described herein, the Company issued (i) 2,759,000 shares of Common Stock to IM Ready-Made, LLC, a New York limited liability company (“IM Ready”), and 944,688 shares of Common Stock to Earthbound, LLC (“Earthbound”), both in satisfaction of Old XCel’s obligations under an asset purchase agreement with IM Ready (the “Purchase Agreement”) and (ii) 47,132 shares of Common Stock to Mr. Stephen J. Cole-Hatchard (or his designees), a then-current director of the Company, for his agreement to continue to serve as a director of the Company until the effectiveness of an information statement that was filed with the Securities and Exchange Commission (the “Commission”) in connection with the Merger and as required by Rule 14f-1 promulgated under the Securities Exchange Act, as amended (the “Exchange Act”), which statement became effective on October 17, 2011 (the “Effective Date”).</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On September 28, 2011, the Company filed an amendment to its certificate of incorporation and affected a 1 for 520.5479607 reverse stock split such that holders of Common Stock prior to the Merger held a total of 186,811 shares of Common Stock and options and warrants to purchase 1,065 shares of Common Stock immediately prior to the Merger. After giving effect to the Merger, the Offering, the Loan and the transactions related thereto (all as defined and described herein), there were 5,743,319 issued and outstanding shares of Common Stock as of the Closing Date (as defined below), and 5,810,444 as of December 31, 2011. All numbers of shares of Common Stock referenced herein are on a post-split basis.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20,000 of the shares of Common Stock held by Beaufort Ventures, PLC, a principal stockholder of the Company prior to the Merger, are being held in escrow until such time as final determination is made by the Internal Revenue Service of certain Company tax liabilities. As additional consideration for the Merger, Old XCel paid $125,000 at the Closing to the then-current counsel to the Company in order to extinguish certain remaining liabilities of the Company immediately preceding the Merger.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both"/>
        <w:spacing w:after="0" w:line="284" w:lineRule="auto"/>
        <w:rPr>
          <w:sz w:val="20"/>
          <w:szCs w:val="20"/>
          <w:color w:val="auto"/>
        </w:rPr>
      </w:pPr>
      <w:r>
        <w:rPr>
          <w:rFonts w:ascii="Arial" w:cs="Arial" w:eastAsia="Arial" w:hAnsi="Arial"/>
          <w:sz w:val="16"/>
          <w:szCs w:val="16"/>
          <w:color w:val="auto"/>
        </w:rPr>
        <w:t>On May 19, 2011, Old XCel and IM Brands, LLC (“IM Brands”), which was then a wholly-owned subsidiary of Old XCel (together, the “Buyers”), entered into an asset purchase agreement, as amended (the “Purchase Agreement”), with IM Ready, Isaac Mizrahi and Marisa Gardini, pursuant to which the Buyers acquired certain assets of IM Ready, including (i) the “Isaac Mizrahi” brands (including the trademarks and brands “Isaac Mizrahi New York”, “Isaac Mizrahi” and “IsaacMizrahiLIVE”) (collectively, the “IM Trademarks”), (ii) the license agreements between IM Ready and certain third parties related to the IM Trademarks including a license agreement with QVC, Inc. (“QVC”) (the “QVC Agreement”), (iii) design agreements with Liz Claiborne, Inc. (“Liz Claiborne”) (the “LCNY Agreement”) and QVC (the “Design Agreement”) to design the “Liz Claiborne New York” brand for sale exclusively at QVC and</w:t>
      </w:r>
    </w:p>
    <w:p>
      <w:pPr>
        <w:spacing w:after="0" w:line="5" w:lineRule="exact"/>
        <w:rPr>
          <w:sz w:val="20"/>
          <w:szCs w:val="20"/>
          <w:color w:val="auto"/>
        </w:rPr>
      </w:pPr>
    </w:p>
    <w:p>
      <w:pPr>
        <w:jc w:val="both"/>
        <w:ind w:firstLine="8"/>
        <w:spacing w:after="0" w:line="255" w:lineRule="auto"/>
        <w:tabs>
          <w:tab w:leader="none" w:pos="321"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computers, design software, and other assets related to the licensing and design of the IM Trademarks and the design of the Liz Claiborne New York brand (together with the IM Trademarks, the LCNY Agreement, the Design Agreement, the “Isaac Mizrahi Business”). The parties consummated the asset purchase contemplated by the Purchase Agreement on September 29, 2011.</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an agreement between IM Ready and Earthbound, LLC (“Earthbound”), a design and licensing company (the “Earthbound Agreement”), Earthbound had certain rights related to the IM Trademarks and provided certain design services for IM Ready. In connection with the consummation of the acquisition by the Company of the Isaac Mizrahi Business, Old XCel and Earthbound entered into a contribution agreement (the “Contribution Agreement”) pursuant to which, on the Closing Date, Earthbound contributed to the Company (i) the Earthbound Agreement and (ii) certain assets relating to the operation of the Isaac Mizrahi Business including archives, designs, certain intellectual property rights, software and equipment (the “Earthbound Assets”) in exchange for 944,688 shares of Common Stock and also purchased one (1) Unit in the Offering (as defined in Note 6 to the Financial Statements). The closing of the acquisition of the Isaac Mizrahi Business and Earthbound Assets occurred in conjunction with the consummation of the Merger, after which the Company terminated the Earthbound Agreement. The 944,688 shares of the Company’s Common Stock Earthbound received were valued at $3,155,258 based on the Effective Share Purchase Price.</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Purchase Agreement, at the closing, the Buyers delivered (i) to IM Ready (a) $9,673,568 in cash, (b) a promissory note (the “Seller Note”) in the principal amount of $7,377,432 and (c) 2,759,000 shares of common stock of the Company (the “IM Ready Stock Consideration”), and (ii) to an escrow agent $500,000 that the escrow agent subsequently paid to IM Ready (together, the “Closing Consideration”). The Company also pre-paid $122,568 of interest on the Seller Note on the Closing Date and agreed to include up to 1,200,000 of the shares of the IM Ready Stock Consideration in the registration statement which the Company has agreed to file to register for resale of the shares and Warrant (defined below) shares of the Investors (the “Registration Statement”).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purchase of the Isaac Mizrahi Business using the acquisition method of accounting. In accordance with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total purchase consideration is allocated to certain net tangible and identifiable intangible assets acquired, and liabilities assumed, based on their estimated fair values as of September 29,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The purchase price for the acquisition is being allocated as follows: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Components of purchase price:</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Cash paid at closing</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9,674,000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Cash deposited with escrow agent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3,703,688 shares of common stock of the Company valued at $3.34 per share</w:t>
            </w: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12,370,000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Seller Note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7,377,000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Seller Note discount (See Note 5 to the Financial Statements)</w:t>
            </w: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(1,740,000)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Contingent obligations – Due to Seller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17,766,000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Long term installment obligation (Earthbound) (See Note 4, Debt)</w:t>
            </w: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1,132,000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Seller Licensee obligation assumed and paid at closing</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68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b w:val="1"/>
                <w:bCs w:val="1"/>
                <w:color w:val="auto"/>
              </w:rPr>
              <w:t>Total purchase price</w:t>
            </w: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48,579,000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8600" w:type="dxa"/>
            <w:vAlign w:val="bottom"/>
            <w:gridSpan w:val="2"/>
          </w:tcPr>
          <w:p>
            <w:pPr>
              <w:ind w:left="820"/>
              <w:spacing w:after="0"/>
              <w:rPr>
                <w:sz w:val="20"/>
                <w:szCs w:val="20"/>
                <w:color w:val="auto"/>
              </w:rPr>
            </w:pPr>
            <w:r>
              <w:rPr>
                <w:rFonts w:ascii="Arial" w:cs="Arial" w:eastAsia="Arial" w:hAnsi="Arial"/>
                <w:sz w:val="18"/>
                <w:szCs w:val="18"/>
                <w:color w:val="auto"/>
              </w:rPr>
              <w:t>Preliminary allocation of purchase price:</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Trademark and other related intangible assets</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57,596,000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Property, furniture and equipment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1,233,000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4"/>
              </w:rPr>
              <w:t>(10,250,000)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880" w:type="dxa"/>
            <w:vAlign w:val="bottom"/>
            <w:tcBorders>
              <w:top w:val="single" w:sz="8" w:color="CCFFCC"/>
            </w:tcBorders>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48,579,000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jc w:val="right"/>
              <w:ind w:right="275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60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7"/>
          <w:szCs w:val="17"/>
          <w:color w:val="auto"/>
        </w:rPr>
        <w:t>The Seller Note initially matures three years from the Closing Date (the “Maturity Date”) subject to extension as described in Notes to the Consolidated Financial Statements (the date to which the maturity date of the Seller Note is extended is referred to as the “Subsequent Maturity Date”). We have the right to pay the Seller Note in cash at the Maturity Date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Maturity Date. In addition, at any time the Seller Note is outstanding, we have the right to convert the Seller Note, in whole or in part, into the number of shares of Common Stock obtained by dividing the principal amount to be converted by the fair market value of the Common Stock at the time of the conversion, so long as the fair market value of our Common Stock is at least $4.50. The Company may only pay the Seller Note in cash if it has satisfied all of its obligations with its Lender.</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Closing Consideration and the escrowed funds, IM Ready will be eligible to earn additional shares of Common Stock with a value of up to $7,500,000 (the “Earn-Out Value”) each year for four consecutive years after the Closing Date, with the number of shares to be issued based upon the greater of (i) $4.50 and (ii) average stock price for the last twenty days in such period and with such earn-out payment contingent upon the Isaac Mizrahi Business achieving the “Net Royalty Income” targets set forth below during those years. The Earn-Out Value is payable solely in stock. Under the Purchase Agreement, “Net Royalty Income” means booked revenue for the Isaac Mizrahi Business, less the sum of advertising royalties, commissions paid to third parties, payments under royalty sharing or participation agreements, and international withholding (solely to the extent the Buyers are unable to claim a federal tax credit with respect to such international withholding) and other transfer taxes, in each case to the extent related to such booked revenue, calculated in accordance with generally accepted accounting principles in the United States of America (“U.S. GAAP”); provided, however, that, (i) Net Royalty Income shall not include any deferred revenues recognized during the period for which Net Royalty Income is being calculated for which the Buyers have not received the related payment, and (ii) in the event of the termination of a license agreement with respect to the Isaac Mizrahi Business, the calculation of Net Royalty Income shall not include any revenue accelerated as a result of termination for which termination the Buyers have not received the related payment.</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ROYALTY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EARN-OUT</w:t>
            </w: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TARGET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First Royalty Target Period</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Second Royalty Target Period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Third Royalty Target Period</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22,000,000</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Fourth Royalty Target Period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IM Ready will receive a percentage of the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APPLICABLE</w:t>
            </w:r>
          </w:p>
        </w:tc>
        <w:tc>
          <w:tcPr>
            <w:tcW w:w="60" w:type="dxa"/>
            <w:vAlign w:val="bottom"/>
          </w:tcPr>
          <w:p>
            <w:pPr>
              <w:spacing w:after="0"/>
              <w:rPr>
                <w:sz w:val="18"/>
                <w:szCs w:val="18"/>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OF EARN-OUT</w:t>
            </w:r>
          </w:p>
        </w:tc>
        <w:tc>
          <w:tcPr>
            <w:tcW w:w="0" w:type="dxa"/>
            <w:vAlign w:val="bottom"/>
          </w:tcPr>
          <w:p>
            <w:pPr>
              <w:spacing w:after="0"/>
              <w:rPr>
                <w:sz w:val="1"/>
                <w:szCs w:val="1"/>
                <w:color w:val="auto"/>
              </w:rPr>
            </w:pPr>
          </w:p>
        </w:tc>
      </w:tr>
      <w:tr>
        <w:trPr>
          <w:trHeight w:val="23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VALUE 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6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76% up to 80%</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80% up to 90%</w:t>
            </w:r>
          </w:p>
        </w:tc>
        <w:tc>
          <w:tcPr>
            <w:tcW w:w="17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90% up to 95%</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FFCC"/>
          </w:tcPr>
          <w:p>
            <w:pPr>
              <w:spacing w:after="0"/>
              <w:rPr>
                <w:sz w:val="20"/>
                <w:szCs w:val="20"/>
                <w:color w:val="auto"/>
              </w:rPr>
            </w:pPr>
            <w:r>
              <w:rPr>
                <w:rFonts w:ascii="Arial" w:cs="Arial" w:eastAsia="Arial" w:hAnsi="Arial"/>
                <w:sz w:val="18"/>
                <w:szCs w:val="18"/>
                <w:color w:val="auto"/>
              </w:rPr>
              <w:t>95% up to 100%</w:t>
            </w:r>
          </w:p>
        </w:tc>
        <w:tc>
          <w:tcPr>
            <w:tcW w:w="17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100% or greater</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the Company would be required to pay IM Ready $2,765,500, payable in cash or Common Stock, at the Company’s option, contingent upon the Isaac Mizrahi Business receiving aggregate net royalty income of at least $2,500,000 from QVC, Inc. in the twelve month period ending on the four year anniversary of the Closing Date with such stock based upon the greater of (x) $4.50 and (y) fair market value of the common stock at the time of such issuance (the “QVC Earn-out’). The 4th anniversary from the date of the closing is September 29, 2015. The QVC Agreement current term runs through September 30, 2015. Management has determined that is probable that the $2.5 million in net royalty income from QVC will be met. Therefore, the Company has elected to record $2,765,500 as a long-term obligation. Management will assess no less frequent than each reporting period the status of this contingent obligation. Any change in the expected obligation will result in an expense or income in the period in which it is determined fair market value of the carrying value has changed.</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 voting agreement entered into in connection with the Purchase Agreement (“Voting Agreement”), IM Ready agreed to appoint a person designated by the board of directors of the Company as IM Ready’s irrevocable proxy and attorney-in-fact with respect to the shares of the Common Stock to be received by IM Ready in connection with the Merger. The board of the directors of the Company has designated Robert D’Loren to act as IM Ready’s irrevocable proxy and attorney in fact with respect to such shares of Common Stock. Pursuant to the Voting Agreement, such proxy holder is required to vote in favor of matters recommended or approved by the board of directors of the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7"/>
          <w:szCs w:val="17"/>
          <w:color w:val="auto"/>
        </w:rPr>
        <w:t>Pursuant to a lock-up agreement entered into in connection with the Purchase Agreement (“Lock-up Agreement”), IM Ready agreed that during the six (6) months from the Closing Date, in the case of the IM Ready Stock Consideration, or during the twelve (12) months from the date any additional shares are issued to IM Ready pursuant to the Purchase Agreement (collectively, the “Lock-up Shares”), IM Ready may not offer, sell, pledge, hypothecate, grant an option for sale or otherwise dispose of, or transfer or grant any rights with respect to, any of the Lockup Shares, except with respect to up to 1,200,000 of the IM Ready Stock Consideration which the Company agreed to include in the Registration Statement. With respect to any shares received by IM Ready as consideration under the Purchase Agreement, other than as IM Ready Stock Consideration, upon the expiration of the initial 12-month period, the lock-up restrictions on transfer shall lapse with respect to 25% of the Lockup Shares. Additionally, on the first day of each of the next three quarters, the restrictions on transfer shall lapse with respect to an additional 25% of the Lockup Shares.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Merger, we completed an offering (the “Offering”), raising proceeds of $4,305,000, through the sale of 8.61 units (each, a “Unit,” and collectively, the “Units”), each Unit consisting of One Hundred Thousand (100,000) shares of Common Stock and a Warrant to purchase Fifty Thousand (50,000) shares of Common Stock, at an exercise price of $0.01 per share (the “Warrants” and together with the Common Stock the “Securities”) at a price of $500,000 per Unit. Certain executive officers and their affiliates purchased 4.25 Units in the Offering on the same terms and conditions as other Investors (the “Insider Participation”).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Warrants may be exercised at any time upon the election of the holder, beginning on the date of issuance and ending on September 29, 2016. If, one (1) year from the date of issuance there is no effective registration statement registering the shares of Common Stock underlying the Warrants, the Warrants will be exercisable on a cashless basis. The exercise price and number of shares of Common Stock to be received upon the exercise of Warrants are subject to adjustment upon the occurrence of certain events, such as stock splits, stock dividends or our recapitalization. In the event of our liquidation, dissolution or winding up, the holders of Warrants will not be entitled to participate in the distribution of our assets. Holders of Warrants have no voting, pre-emptive, subscription or other rights of stockholders in respect of the Warrants, nor shall holders thereof be entitled to receive dividends.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Offering, we issued to the placement agent, for placement agent services and as nominal consideration, five-year warrants (the “Agent Warrants”) to purchase 9,800 shares of Common Stock, exercisable at any time at a price equal to $5.50 per share, valued at approximately $3,000.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register the shares of the Common Stock and 100% of the Warrant Shares issued in connection with the Offering, on a registration statement to be filed with the Commission (the “Registration Statement”) within sixty (60) days after the final closing of the Offering (the “Filing Date”) and keep the Registration Statement effective until the earlier of (i) September 29, 2012 or (ii) until all Registrable Securities covered by such Registration Statement have been sold, or may be sold without volume or manner-of-sale restrictions pursuant to Rule 144, without the requirement for the Company to be in compliance with the current public information requirement under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Agent Warrants have registration rights similar to the registration rights afforded to the Investors.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agreed to include up to 1,200,000 of the shares of Common Stock issuable to IM Ready on the Closing Date in the Registration Statement.</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granted to certain of the executive officers pursuant to their individual employment agreements piggy-back registration rights with respect to the shares of Common Stock issuable upon exercise of the executive warrants. These individuals have, however, agreed not to include such shares in the Registration Statement.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granted to the holders of the Lender Warrants (as defined herein) piggy-back registration rights with respect to the shares of Common Stock issuable upon exercise of the Lender Warrants and the shares issuable upon exercise of the Lender Warrants were included in the Registration Statement.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filed its initial Registration Statement with the SEC on October 28, 2011, which it plans to amend based upon comments received by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2011, IM Brands, a wholly-owned subsidiary of the Company, entered into a five year senior secured facility (the “Loan”) with Midmarket Capital Partners, LLC (“MidMarket”) in the aggregate principal amount of $13,500,000. The Loan is secured by all of the assets and membership interests of IM Brands, and is guaranteed by the Company. The Company paid a closing fee of $405,000 to MidMarket, which was equal to three percent (3%) of the committed amount.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both"/>
        <w:spacing w:after="0" w:line="264" w:lineRule="auto"/>
        <w:rPr>
          <w:sz w:val="20"/>
          <w:szCs w:val="20"/>
          <w:color w:val="auto"/>
        </w:rPr>
      </w:pPr>
      <w:r>
        <w:rPr>
          <w:rFonts w:ascii="Arial" w:cs="Arial" w:eastAsia="Arial" w:hAnsi="Arial"/>
          <w:sz w:val="18"/>
          <w:szCs w:val="18"/>
          <w:color w:val="auto"/>
        </w:rPr>
        <w:t>The principal amount of the Loan is payable quarterly as follows: 0% until January 5, 2013, 2.5% on January 5, 2013 through October 5, 2013,; 3.75% on January 5, 2014 through October 5, 2014; 6.25% on January 5, 2015 through October 5, 2015; 12.5% on January 5, 2016 through the maturity date, which is the date that is 5 years after the closing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Annual principal obligations are as follows:</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Year Ending December 31,</w:t>
            </w:r>
          </w:p>
        </w:tc>
      </w:tr>
      <w:tr>
        <w:trPr>
          <w:trHeight w:val="210"/>
        </w:trPr>
        <w:tc>
          <w:tcPr>
            <w:tcW w:w="230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1,350,000</w:t>
            </w: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800" w:type="dxa"/>
            <w:vAlign w:val="bottom"/>
            <w:shd w:val="clear" w:color="auto" w:fill="CCFFCC"/>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FFCC"/>
          </w:tcPr>
          <w:p>
            <w:pPr>
              <w:spacing w:after="0"/>
              <w:rPr>
                <w:sz w:val="18"/>
                <w:szCs w:val="18"/>
                <w:color w:val="auto"/>
              </w:rPr>
            </w:pP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2,025,000</w:t>
            </w:r>
          </w:p>
        </w:tc>
        <w:tc>
          <w:tcPr>
            <w:tcW w:w="60" w:type="dxa"/>
            <w:vAlign w:val="bottom"/>
            <w:shd w:val="clear" w:color="auto" w:fill="CCFFCC"/>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3,375,000</w:t>
            </w:r>
          </w:p>
        </w:tc>
        <w:tc>
          <w:tcPr>
            <w:tcW w:w="6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4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shd w:val="clear" w:color="auto" w:fill="CCFFCC"/>
          </w:tcPr>
          <w:p>
            <w:pPr>
              <w:spacing w:after="0"/>
              <w:rPr>
                <w:sz w:val="18"/>
                <w:szCs w:val="18"/>
                <w:color w:val="auto"/>
              </w:rPr>
            </w:pPr>
          </w:p>
        </w:tc>
        <w:tc>
          <w:tcPr>
            <w:tcW w:w="1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6,750,000</w:t>
            </w:r>
          </w:p>
        </w:tc>
        <w:tc>
          <w:tcPr>
            <w:tcW w:w="60" w:type="dxa"/>
            <w:vAlign w:val="bottom"/>
            <w:tcBorders>
              <w:bottom w:val="single" w:sz="8" w:color="CCFFCC"/>
            </w:tcBorders>
            <w:shd w:val="clear" w:color="auto" w:fill="CCFFCC"/>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13,500,000</w:t>
            </w:r>
          </w:p>
        </w:tc>
        <w:tc>
          <w:tcPr>
            <w:tcW w:w="6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loan is a fixed rate of 8.5%, payable in 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IM Brands may prepay the Loan in whole or in part in increments of $500,000, provided that IM Brands pay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w:t>
      </w:r>
    </w:p>
    <w:p>
      <w:pPr>
        <w:spacing w:after="0" w:line="170" w:lineRule="exact"/>
        <w:rPr>
          <w:sz w:val="20"/>
          <w:szCs w:val="20"/>
          <w:color w:val="auto"/>
        </w:rPr>
      </w:pPr>
    </w:p>
    <w:tbl>
      <w:tblPr>
        <w:tblLayout w:type="fixed"/>
        <w:tblInd w:w="258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Applicable Premium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First year following the Closing</w:t>
            </w:r>
          </w:p>
        </w:tc>
        <w:tc>
          <w:tcPr>
            <w:tcW w:w="4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Second year following the Closing</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Third year following the Closing</w:t>
            </w:r>
          </w:p>
        </w:tc>
        <w:tc>
          <w:tcPr>
            <w:tcW w:w="17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Fourth year following the Closing</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Mandatory Prepayments.</w:t>
      </w:r>
      <w:r>
        <w:rPr>
          <w:sz w:val="20"/>
          <w:szCs w:val="20"/>
          <w:color w:val="auto"/>
        </w:rPr>
        <w:tab/>
      </w:r>
      <w:r>
        <w:rPr>
          <w:rFonts w:ascii="Arial" w:cs="Arial" w:eastAsia="Arial" w:hAnsi="Arial"/>
          <w:sz w:val="16"/>
          <w:szCs w:val="16"/>
          <w:color w:val="auto"/>
        </w:rPr>
        <w:t>IM Brands is required to prepay the Loan under the following conditions: (1) if certain indebtedness is incurred by the Company;</w:t>
      </w:r>
    </w:p>
    <w:p>
      <w:pPr>
        <w:spacing w:after="0" w:line="23" w:lineRule="exact"/>
        <w:rPr>
          <w:sz w:val="20"/>
          <w:szCs w:val="20"/>
          <w:color w:val="auto"/>
        </w:rPr>
      </w:pPr>
    </w:p>
    <w:p>
      <w:pPr>
        <w:ind w:firstLine="8"/>
        <w:spacing w:after="0" w:line="261"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Excess Cash Flow Sweep. </w:t>
      </w:r>
      <w:r>
        <w:rPr>
          <w:rFonts w:ascii="Arial" w:cs="Arial" w:eastAsia="Arial" w:hAnsi="Arial"/>
          <w:sz w:val="17"/>
          <w:szCs w:val="17"/>
          <w:color w:val="auto"/>
        </w:rPr>
        <w:t>In addition to the Mandatory Prepayments described above, if for any fiscal year ending on or subsequent to December 31, 2012,</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required to be maintained by IM Brands and (y) $3,000,000.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Lender Warrants. </w:t>
      </w:r>
      <w:r>
        <w:rPr>
          <w:rFonts w:ascii="Arial" w:cs="Arial" w:eastAsia="Arial" w:hAnsi="Arial"/>
          <w:sz w:val="18"/>
          <w:szCs w:val="18"/>
          <w:color w:val="auto"/>
        </w:rPr>
        <w:t>At the closing of the Loan, the Company issued to MidMarket seven year warrants (the “Lender Warrants”) to purchase 364,428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Common Stock, representing 5% of the Common Stock outstanding as of the Closing Date on a fully diluted basis. The warrants have an exercise price of $0.01 and contain a cashless exercise provision. The Company granted to the holders of the Lender Warrants piggy-back registration rights with respect to the shares of Common Stock issuable upon exercise of the Lender Warrants. The carrying value of the Loan has been reduced by the market value of the warrants, equal to $3.33 (market value $3.34 less exercise price $0.01) per share. The Company used the black scholes method to determine valuation. The amount of the original loan discount is $1,214,000, resulting in an initial net loan balance of $12,286,000. The Loan balance as of December 31, 2011 is $12,344,022.</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So long as the Loan remains unpaid or unsatisfied, IM Brands shall not, and shall not permit any of its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xml:space="preserve"> . Permit Excess Liquidity to be less than the amount set forth below during each applicable period set forth below:</w:t>
      </w:r>
    </w:p>
    <w:p>
      <w:pPr>
        <w:spacing w:after="0" w:line="22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6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color w:val="auto"/>
                <w:w w:val="99"/>
              </w:rPr>
              <w:t>Excess Liquidity</w:t>
            </w:r>
          </w:p>
        </w:tc>
      </w:tr>
      <w:tr>
        <w:trPr>
          <w:trHeight w:val="210"/>
        </w:trPr>
        <w:tc>
          <w:tcPr>
            <w:tcW w:w="20" w:type="dxa"/>
            <w:vAlign w:val="bottom"/>
          </w:tcPr>
          <w:p>
            <w:pPr>
              <w:spacing w:after="0"/>
              <w:rPr>
                <w:sz w:val="18"/>
                <w:szCs w:val="18"/>
                <w:color w:val="auto"/>
              </w:rPr>
            </w:pPr>
          </w:p>
        </w:tc>
        <w:tc>
          <w:tcPr>
            <w:tcW w:w="5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29, 2011 through December 31, 2011</w:t>
            </w:r>
          </w:p>
        </w:tc>
        <w:tc>
          <w:tcPr>
            <w:tcW w:w="6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January 1, 2012 through March 31, 2012</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April 1, 2012 through June 30, 2012</w:t>
            </w:r>
          </w:p>
        </w:tc>
        <w:tc>
          <w:tcPr>
            <w:tcW w:w="3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July 1, 2012 through September 30, 2012</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October 1, 2012 through June 30, 2013</w:t>
            </w:r>
          </w:p>
        </w:tc>
        <w:tc>
          <w:tcPr>
            <w:tcW w:w="3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July 1, 2013 through September 30, 2013</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October 1, 2013 through March 31, 2014</w:t>
            </w:r>
          </w:p>
        </w:tc>
        <w:tc>
          <w:tcPr>
            <w:tcW w:w="3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April 1, 2014 through June 30, 2014</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July 1, 2014 and thereafter</w:t>
            </w:r>
          </w:p>
        </w:tc>
        <w:tc>
          <w:tcPr>
            <w:tcW w:w="3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5660" w:right="1200" w:hanging="5301"/>
        <w:spacing w:after="0" w:line="778" w:lineRule="auto"/>
        <w:tabs>
          <w:tab w:leader="none" w:pos="68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 Permit the aggregate amount of Capital Expenditures to exceed $400,000 (whether or not financed) per year.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left="700" w:right="140" w:hanging="341"/>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 Permit the Consolidated Fixed Charge Coverage Ratio as of the end of each of the fiscal quarters ending on the dates (or for the periods) set forth for the period of four fiscal quarters ending on such dates (or for the periods) below to be less than the ratio set forth below opposite such period:</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Minimum Fixed Charge</w:t>
            </w:r>
          </w:p>
        </w:tc>
      </w:tr>
      <w:tr>
        <w:trPr>
          <w:trHeight w:val="250"/>
        </w:trPr>
        <w:tc>
          <w:tcPr>
            <w:tcW w:w="608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Coverage Ratio</w:t>
            </w:r>
          </w:p>
        </w:tc>
      </w:tr>
      <w:tr>
        <w:trPr>
          <w:trHeight w:val="203"/>
        </w:trPr>
        <w:tc>
          <w:tcPr>
            <w:tcW w:w="5900" w:type="dxa"/>
            <w:vAlign w:val="bottom"/>
            <w:tcBorders>
              <w:top w:val="single" w:sz="8" w:color="auto"/>
            </w:tcBorders>
            <w:shd w:val="clear" w:color="auto" w:fill="CCFFCC"/>
          </w:tcPr>
          <w:p>
            <w:pPr>
              <w:spacing w:after="0" w:line="203" w:lineRule="exact"/>
              <w:rPr>
                <w:sz w:val="20"/>
                <w:szCs w:val="20"/>
                <w:color w:val="auto"/>
              </w:rPr>
            </w:pPr>
            <w:r>
              <w:rPr>
                <w:rFonts w:ascii="Arial" w:cs="Arial" w:eastAsia="Arial" w:hAnsi="Arial"/>
                <w:sz w:val="18"/>
                <w:szCs w:val="18"/>
                <w:color w:val="auto"/>
              </w:rPr>
              <w:t>September 30, 2012 and December 31, 2012</w:t>
            </w:r>
          </w:p>
        </w:tc>
        <w:tc>
          <w:tcPr>
            <w:tcW w:w="180" w:type="dxa"/>
            <w:vAlign w:val="bottom"/>
            <w:tcBorders>
              <w:top w:val="single" w:sz="8" w:color="CCFFCC"/>
            </w:tcBorders>
            <w:shd w:val="clear" w:color="auto" w:fill="CCFFCC"/>
          </w:tcPr>
          <w:p>
            <w:pPr>
              <w:spacing w:after="0"/>
              <w:rPr>
                <w:sz w:val="17"/>
                <w:szCs w:val="17"/>
                <w:color w:val="auto"/>
              </w:rPr>
            </w:pPr>
          </w:p>
        </w:tc>
        <w:tc>
          <w:tcPr>
            <w:tcW w:w="2460" w:type="dxa"/>
            <w:vAlign w:val="bottom"/>
            <w:tcBorders>
              <w:top w:val="single" w:sz="8" w:color="CCFFCC"/>
            </w:tcBorders>
            <w:shd w:val="clear" w:color="auto" w:fill="CCFFCC"/>
          </w:tcPr>
          <w:p>
            <w:pPr>
              <w:spacing w:after="0" w:line="203" w:lineRule="exact"/>
              <w:rPr>
                <w:sz w:val="20"/>
                <w:szCs w:val="20"/>
                <w:color w:val="auto"/>
              </w:rPr>
            </w:pPr>
            <w:r>
              <w:rPr>
                <w:rFonts w:ascii="Arial" w:cs="Arial" w:eastAsia="Arial" w:hAnsi="Arial"/>
                <w:sz w:val="18"/>
                <w:szCs w:val="18"/>
                <w:color w:val="auto"/>
              </w:rPr>
              <w:t>1.90 to 1.00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March 31, 2013 and June 30, 2013</w:t>
            </w:r>
          </w:p>
        </w:tc>
        <w:tc>
          <w:tcPr>
            <w:tcW w:w="2460" w:type="dxa"/>
            <w:vAlign w:val="bottom"/>
          </w:tcPr>
          <w:p>
            <w:pPr>
              <w:spacing w:after="0"/>
              <w:rPr>
                <w:sz w:val="20"/>
                <w:szCs w:val="20"/>
                <w:color w:val="auto"/>
              </w:rPr>
            </w:pPr>
            <w:r>
              <w:rPr>
                <w:rFonts w:ascii="Arial" w:cs="Arial" w:eastAsia="Arial" w:hAnsi="Arial"/>
                <w:sz w:val="18"/>
                <w:szCs w:val="18"/>
                <w:color w:val="auto"/>
              </w:rPr>
              <w:t>1.60 to 1.00</w:t>
            </w:r>
          </w:p>
        </w:tc>
      </w:tr>
      <w:tr>
        <w:trPr>
          <w:trHeight w:val="202"/>
        </w:trPr>
        <w:tc>
          <w:tcPr>
            <w:tcW w:w="6080" w:type="dxa"/>
            <w:vAlign w:val="bottom"/>
            <w:gridSpan w:val="2"/>
            <w:shd w:val="clear" w:color="auto" w:fill="CCFFCC"/>
          </w:tcPr>
          <w:p>
            <w:pPr>
              <w:ind w:left="60"/>
              <w:spacing w:after="0" w:line="201" w:lineRule="exact"/>
              <w:rPr>
                <w:sz w:val="20"/>
                <w:szCs w:val="20"/>
                <w:color w:val="auto"/>
              </w:rPr>
            </w:pPr>
            <w:r>
              <w:rPr>
                <w:rFonts w:ascii="Arial" w:cs="Arial" w:eastAsia="Arial" w:hAnsi="Arial"/>
                <w:sz w:val="18"/>
                <w:szCs w:val="18"/>
                <w:color w:val="auto"/>
                <w:w w:val="95"/>
              </w:rPr>
              <w:t>September 30, 2013, December 31, 2013, March 31, 2014, June 30, 2014 and</w:t>
            </w:r>
          </w:p>
        </w:tc>
        <w:tc>
          <w:tcPr>
            <w:tcW w:w="24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1.50 to 1.00</w:t>
            </w:r>
          </w:p>
        </w:tc>
      </w:tr>
      <w:tr>
        <w:trPr>
          <w:trHeight w:val="230"/>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September 30, 2014</w:t>
            </w:r>
          </w:p>
        </w:tc>
        <w:tc>
          <w:tcPr>
            <w:tcW w:w="2460" w:type="dxa"/>
            <w:vAlign w:val="bottom"/>
            <w:shd w:val="clear" w:color="auto" w:fill="CCFFCC"/>
          </w:tcPr>
          <w:p>
            <w:pPr>
              <w:spacing w:after="0"/>
              <w:rPr>
                <w:sz w:val="20"/>
                <w:szCs w:val="20"/>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December 31, 2014 and March 31, 2015</w:t>
            </w:r>
          </w:p>
        </w:tc>
        <w:tc>
          <w:tcPr>
            <w:tcW w:w="2460" w:type="dxa"/>
            <w:vAlign w:val="bottom"/>
          </w:tcPr>
          <w:p>
            <w:pPr>
              <w:spacing w:after="0"/>
              <w:rPr>
                <w:sz w:val="20"/>
                <w:szCs w:val="20"/>
                <w:color w:val="auto"/>
              </w:rPr>
            </w:pPr>
            <w:r>
              <w:rPr>
                <w:rFonts w:ascii="Arial" w:cs="Arial" w:eastAsia="Arial" w:hAnsi="Arial"/>
                <w:sz w:val="18"/>
                <w:szCs w:val="18"/>
                <w:color w:val="auto"/>
              </w:rPr>
              <w:t>1.30 to 1.00</w:t>
            </w:r>
          </w:p>
        </w:tc>
      </w:tr>
      <w:tr>
        <w:trPr>
          <w:trHeight w:val="216"/>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June 30, 2015 and thereafter</w:t>
            </w:r>
          </w:p>
        </w:tc>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1.15 to 1.00</w:t>
            </w:r>
          </w:p>
        </w:tc>
      </w:tr>
    </w:tbl>
    <w:p>
      <w:pPr>
        <w:spacing w:after="0" w:line="202" w:lineRule="exact"/>
        <w:rPr>
          <w:sz w:val="20"/>
          <w:szCs w:val="20"/>
          <w:color w:val="auto"/>
        </w:rPr>
      </w:pPr>
    </w:p>
    <w:p>
      <w:pPr>
        <w:ind w:left="700" w:right="20" w:hanging="341"/>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xml:space="preserve"> . Permit the Consolidated Total Leverage Ratio as of the end of each of the fiscal quarters ending on the dates (or for the periods) set forth for the period of four fiscal quarters ending on such dates (or for the periods) below to be greater than the ratio set forth below opposite such period:</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Maximum</w:t>
            </w:r>
          </w:p>
        </w:tc>
      </w:tr>
      <w:tr>
        <w:trPr>
          <w:trHeight w:val="216"/>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Consolidated</w:t>
            </w:r>
          </w:p>
        </w:tc>
      </w:tr>
      <w:tr>
        <w:trPr>
          <w:trHeight w:val="250"/>
        </w:trPr>
        <w:tc>
          <w:tcPr>
            <w:tcW w:w="608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Leverage Ratio</w:t>
            </w:r>
          </w:p>
        </w:tc>
      </w:tr>
      <w:tr>
        <w:trPr>
          <w:trHeight w:val="203"/>
        </w:trPr>
        <w:tc>
          <w:tcPr>
            <w:tcW w:w="5900" w:type="dxa"/>
            <w:vAlign w:val="bottom"/>
            <w:tcBorders>
              <w:top w:val="single" w:sz="8" w:color="auto"/>
            </w:tcBorders>
            <w:shd w:val="clear" w:color="auto" w:fill="CCFFCC"/>
          </w:tcPr>
          <w:p>
            <w:pPr>
              <w:spacing w:after="0" w:line="203" w:lineRule="exact"/>
              <w:rPr>
                <w:sz w:val="20"/>
                <w:szCs w:val="20"/>
                <w:color w:val="auto"/>
              </w:rPr>
            </w:pPr>
            <w:r>
              <w:rPr>
                <w:rFonts w:ascii="Arial" w:cs="Arial" w:eastAsia="Arial" w:hAnsi="Arial"/>
                <w:sz w:val="18"/>
                <w:szCs w:val="18"/>
                <w:color w:val="auto"/>
              </w:rPr>
              <w:t>September 30, 2012 and December 31, 2012</w:t>
            </w:r>
          </w:p>
        </w:tc>
        <w:tc>
          <w:tcPr>
            <w:tcW w:w="180" w:type="dxa"/>
            <w:vAlign w:val="bottom"/>
            <w:tcBorders>
              <w:top w:val="single" w:sz="8" w:color="CCFFCC"/>
            </w:tcBorders>
            <w:shd w:val="clear" w:color="auto" w:fill="CCFFCC"/>
          </w:tcPr>
          <w:p>
            <w:pPr>
              <w:spacing w:after="0"/>
              <w:rPr>
                <w:sz w:val="17"/>
                <w:szCs w:val="17"/>
                <w:color w:val="auto"/>
              </w:rPr>
            </w:pPr>
          </w:p>
        </w:tc>
        <w:tc>
          <w:tcPr>
            <w:tcW w:w="2460" w:type="dxa"/>
            <w:vAlign w:val="bottom"/>
            <w:tcBorders>
              <w:top w:val="single" w:sz="8" w:color="CCFFCC"/>
            </w:tcBorders>
            <w:shd w:val="clear" w:color="auto" w:fill="CCFFCC"/>
          </w:tcPr>
          <w:p>
            <w:pPr>
              <w:spacing w:after="0" w:line="203" w:lineRule="exact"/>
              <w:rPr>
                <w:sz w:val="20"/>
                <w:szCs w:val="20"/>
                <w:color w:val="auto"/>
              </w:rPr>
            </w:pPr>
            <w:r>
              <w:rPr>
                <w:rFonts w:ascii="Arial" w:cs="Arial" w:eastAsia="Arial" w:hAnsi="Arial"/>
                <w:sz w:val="18"/>
                <w:szCs w:val="18"/>
                <w:color w:val="auto"/>
              </w:rPr>
              <w:t>3.50 to 1.00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March 31, 2013</w:t>
            </w:r>
          </w:p>
        </w:tc>
        <w:tc>
          <w:tcPr>
            <w:tcW w:w="2460" w:type="dxa"/>
            <w:vAlign w:val="bottom"/>
          </w:tcPr>
          <w:p>
            <w:pPr>
              <w:spacing w:after="0"/>
              <w:rPr>
                <w:sz w:val="20"/>
                <w:szCs w:val="20"/>
                <w:color w:val="auto"/>
              </w:rPr>
            </w:pPr>
            <w:r>
              <w:rPr>
                <w:rFonts w:ascii="Arial" w:cs="Arial" w:eastAsia="Arial" w:hAnsi="Arial"/>
                <w:sz w:val="18"/>
                <w:szCs w:val="18"/>
                <w:color w:val="auto"/>
              </w:rPr>
              <w:t>3.30 to 1.00</w:t>
            </w:r>
          </w:p>
        </w:tc>
      </w:tr>
      <w:tr>
        <w:trPr>
          <w:trHeight w:val="216"/>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June 30, 2013 and September 30, 2013</w:t>
            </w:r>
          </w:p>
        </w:tc>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3.00 to 1.00</w:t>
            </w: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2460" w:type="dxa"/>
            <w:vAlign w:val="bottom"/>
          </w:tcPr>
          <w:p>
            <w:pPr>
              <w:spacing w:after="0"/>
              <w:rPr>
                <w:sz w:val="20"/>
                <w:szCs w:val="20"/>
                <w:color w:val="auto"/>
              </w:rPr>
            </w:pPr>
            <w:r>
              <w:rPr>
                <w:rFonts w:ascii="Arial" w:cs="Arial" w:eastAsia="Arial" w:hAnsi="Arial"/>
                <w:sz w:val="18"/>
                <w:szCs w:val="18"/>
                <w:color w:val="auto"/>
              </w:rPr>
              <w:t>2.75 to 1.00</w:t>
            </w:r>
          </w:p>
        </w:tc>
      </w:tr>
      <w:tr>
        <w:trPr>
          <w:trHeight w:val="216"/>
        </w:trPr>
        <w:tc>
          <w:tcPr>
            <w:tcW w:w="6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March 31, 2014</w:t>
            </w:r>
          </w:p>
        </w:tc>
        <w:tc>
          <w:tcPr>
            <w:tcW w:w="2460" w:type="dxa"/>
            <w:vAlign w:val="bottom"/>
            <w:shd w:val="clear" w:color="auto" w:fill="CCFFCC"/>
          </w:tcPr>
          <w:p>
            <w:pPr>
              <w:spacing w:after="0"/>
              <w:rPr>
                <w:sz w:val="20"/>
                <w:szCs w:val="20"/>
                <w:color w:val="auto"/>
              </w:rPr>
            </w:pPr>
            <w:r>
              <w:rPr>
                <w:rFonts w:ascii="Arial" w:cs="Arial" w:eastAsia="Arial" w:hAnsi="Arial"/>
                <w:sz w:val="18"/>
                <w:szCs w:val="18"/>
                <w:color w:val="auto"/>
              </w:rPr>
              <w:t>2.25 to 1.00</w:t>
            </w: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June 30, 2014 and thereafter</w:t>
            </w:r>
          </w:p>
        </w:tc>
        <w:tc>
          <w:tcPr>
            <w:tcW w:w="2460" w:type="dxa"/>
            <w:vAlign w:val="bottom"/>
          </w:tcPr>
          <w:p>
            <w:pPr>
              <w:spacing w:after="0"/>
              <w:rPr>
                <w:sz w:val="20"/>
                <w:szCs w:val="20"/>
                <w:color w:val="auto"/>
              </w:rPr>
            </w:pPr>
            <w:r>
              <w:rPr>
                <w:rFonts w:ascii="Arial" w:cs="Arial" w:eastAsia="Arial" w:hAnsi="Arial"/>
                <w:sz w:val="18"/>
                <w:szCs w:val="18"/>
                <w:color w:val="auto"/>
              </w:rPr>
              <w:t>2.00 to 1.00</w:t>
            </w:r>
          </w:p>
        </w:tc>
      </w:tr>
    </w:tbl>
    <w:p>
      <w:pPr>
        <w:spacing w:after="0" w:line="187" w:lineRule="exact"/>
        <w:rPr>
          <w:sz w:val="20"/>
          <w:szCs w:val="20"/>
          <w:color w:val="auto"/>
        </w:rPr>
      </w:pPr>
    </w:p>
    <w:p>
      <w:pPr>
        <w:ind w:left="700" w:right="100" w:hanging="341"/>
        <w:spacing w:after="0" w:line="259"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xml:space="preserve"> . Permit Consolidated EBITDA as of the end of each of the fiscal quarters ending on the dates set forth for the period of four fiscal quarters ending on such dates below to be less than the amount set forth opposite such quarter in the table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fiscal quarters ended on December 31, 2011, March 31, 2012 and June 30, 2012, such periods shall be one fiscal quarter, two fiscal quarters and three fiscal quarters, respectively:</w:t>
      </w:r>
    </w:p>
    <w:p>
      <w:pPr>
        <w:spacing w:after="0" w:line="187"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w w:val="97"/>
              </w:rPr>
              <w:t>Consolidated EBITDA</w:t>
            </w: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60" w:type="dxa"/>
            <w:vAlign w:val="bottom"/>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March 31, 2012</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June 30, 2012</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September 30, 2012</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2012 and March 31, 2013</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June 30, 2013</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2013</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4,750,000</w:t>
            </w:r>
          </w:p>
        </w:tc>
        <w:tc>
          <w:tcPr>
            <w:tcW w:w="6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December 31, 2013 and thereafter</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the Business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Company’s primary business is the design, licensing and marketing of the Isaac Mizrahi trademarks and brands including “Isaac Mizrahi New York”, “Isaac Mizrahi”, “Isaac Mizrahi Jeans”, “M.” and “IsaacMizrahiLIVE” (the “Isaac Mizrahi Brands”) and the design business related to the Liz Claiborne New York brand (the “LCNY Brand”). The Company’s focus is on licensing its owned brands for promotion and distribution through an Omnichannel retail sales strategy including distribution through Direct-Response Television (i.e. QVC), the Internet, and traditional bricks-and-mortar retail channels. The Company operates in a “working capital light” business model, licensing the Isaac Mizrahi Brands through its wholly-owned subsidiary IM Brands, LLC and generating royalty and design revenues through licensing and other agreements with wholesale manufacturers, sourcing and design companies, and retailers. The Company does not currently plan to manufacture products, or open bricks-and-mortar retail stores. By partnering with licensing partners who have significant expertise in designing, sourcing, and selling products through wholesale and retail distribution channels, the Company is able to focus on licensing its brands, providing design direction and in certain cases, product designs to its licensees, coordinating merchandising among its licensees, and marketing through social media marketing and other conventional means (advertising, public relations). This model minimizes the need for the Company to spend significant amounts in capital expenditures or inventory purchases related to its brands. The Company’s primary focus is on growing its revenues related to the Isaac Mizrahi Brands and LCNY Brand, but in the future may acquire and/or enter into licensing agreements with other brands in order to leverage its licensing, design, and/or marketing expertise to grow its revenues through its Omnichannel retail sales strategy.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Licensing Business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licensing activities focus on licensing the Isaac Mizrahi Brands to wholesale manufacturers, sourcing and design companies, and retailers for promotion and distribution through an Omnichannel retail sales strategy including Direct-Response Television (i.e. QVC), the Internet, and traditional bricks-and-mortar retail channels. In connection with such licensing activities, we provide design support to licensees of the Isaac Mizrahi Brands where appropriate, and coordinate merchandising between our various licensees. We also conduct traditional marketing, advertising, public relations, and social media marketing campaigns for the Isaac Mizrahi Brands, and coordinate such activities with our licensees as we determine to be appropriate.</w:t>
      </w:r>
    </w:p>
    <w:p>
      <w:pPr>
        <w:spacing w:after="0" w:line="17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QVC Licensing Agreement</w:t>
      </w:r>
      <w:r>
        <w:rPr>
          <w:rFonts w:ascii="Arial" w:cs="Arial" w:eastAsia="Arial" w:hAnsi="Arial"/>
          <w:sz w:val="18"/>
          <w:szCs w:val="18"/>
          <w:color w:val="auto"/>
        </w:rPr>
        <w:t>. Through its wholly-owned subsidiary, IM Brands, the Company acquired a direct-to-retail license agreement with QVC</w:t>
      </w:r>
      <w:r>
        <w:rPr>
          <w:rFonts w:ascii="Arial" w:cs="Arial" w:eastAsia="Arial" w:hAnsi="Arial"/>
          <w:sz w:val="18"/>
          <w:szCs w:val="18"/>
          <w:i w:val="1"/>
          <w:iCs w:val="1"/>
          <w:color w:val="auto"/>
        </w:rPr>
        <w:t xml:space="preserve"> </w:t>
      </w:r>
      <w:r>
        <w:rPr>
          <w:rFonts w:ascii="Arial" w:cs="Arial" w:eastAsia="Arial" w:hAnsi="Arial"/>
          <w:sz w:val="18"/>
          <w:szCs w:val="18"/>
          <w:color w:val="auto"/>
        </w:rPr>
        <w:t>that was entered into in January 2009 and amended and restated on September 29, 2011 in connection with the Company’s acquisition of the Isaac Mizrahi Brands (as amended, the “QVC Agreement”). Pursuant to the QVC Agreement, IM Brands designs, and QVC sources and sells, various products under the “IsaacMizrahiLIVE” brand. The IsaacMizrahiLIVE licensing program launched on QVC in 2010, and includes the sale of products across various categories including apparel, footwear, handbags, jewelry, accessories, kitchen, and home goods through QVC’s television media and related Internet sites primarily in the United States.</w:t>
      </w:r>
    </w:p>
    <w:p>
      <w:pPr>
        <w:spacing w:after="0" w:line="193"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Pursuant to the QVC Agreement, IM Brands has granted to QVC and its affiliates the exclusive, worldwide right to promote IsaacMizrahiLIVE products and the right to use and publish the related trademarks, service marks, copyrights, designs, logos and other intellectual property rights owned, used, licensed and/or developed by IM Brands for an initial term lasting until September 30, 2015 (with automatic one-year renewal periods unless terminated by either party). IM Brands has also granted to QVC and its affiliates, during the same period, exclusive, worldwide rights to promote third party vendor “co-branded products” that, in addition to bearing and being marketed in connection with the trademarks and logos of such third party vendors, also bear or are marketed in connection with the IsaacMizrahiLIVE trademark and related logo. Finally, in connection with the foregoing and during the same period, QVC and its subsidiaries have the exclusive, worldwide right to use Isaac Mizrahi’s name, likeness, image, voice and performance to promote IsaacMizrahiLIVE products and co-branded products. QVC is permitted during this period to promote products that are in competition with IsaacMizrahiLIVE products and co-branded products.</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exchange for the rights granted to QVC pursuant to the QVC Agreement, QVC is obliged to pay to IM Brands, on a quarterly basis, royalty payments based upon the “Net Retail Sales” of IsaacMizrahiLIVE products and co-branded products. Under the QVC Agreement, “Net Retail Sales” means the aggregate amount of all revenue generated through the sale of IsaacMizrahiLIVE products or co-branded products by QVC and its subsidiaries under the QVC Agreement, excluding freight, shipping and handling charges, customer returns, and sales, use or other taxes.</w:t>
      </w:r>
    </w:p>
    <w:p>
      <w:pPr>
        <w:spacing w:after="0" w:line="17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Notwithstanding IM Brands’ grant of worldwide promotion rights to QVC, IM Brands may, with the permission of QVC, sell any of the IsaacMizrahiLIVE products to “Prestige Retailers” or via “Company Media” in exchange for making reverse royalty payments to QVC based on the net retail sales of such products to Prestige Retailers or via Company Media. Under the QVC Agreement, (i) “Prestige Retailers” refers to the stores and the respective internet websites of high-end Brick and Mortar Retailers (companies whose primary means of deriving revenue is marketing and selling consumer products to end-users of such consumer products at a physical location) such as Neiman Marcus, Bloomingdales and Macy’s Department Stores, but excluding discount divisions of such companies and any mass merchants such as drugstores, warehouse stores and companies such as Sears, JC Penney, Target, Walmart and Kmart; and (ii) “Company Media” refers to “Isaac Mizrahi” and “Isaac Mizrahi New York”-branded brick and mortar retail stores and internet websites, if any. The Company does not currently sell any of the IsaacMizrahiLIVE products through any of these distribution channels.</w:t>
      </w:r>
    </w:p>
    <w:p>
      <w:pPr>
        <w:spacing w:after="0" w:line="166"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Under the QVC Agreement, IM Brands may also earn revenue from (i) the sale, license, consignment or any other form of distribution of any products, bearing, marketed in connection with or otherwise associated with IM Brands’ trademarks and brands (including the Isaac Mizrahi Brands”) and/or</w:t>
      </w:r>
    </w:p>
    <w:p>
      <w:pPr>
        <w:ind w:right="240" w:firstLine="8"/>
        <w:spacing w:after="0" w:line="255"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licensing of any and all intellectual property rights with respect to any and all products, including IsaacMizrahiLIVE products, bearing, marketed in connection with or otherwise associated with IM Brands’ trademarks and brands; provided that it pays specified portions of the revenues earned from the foregoing sale activities to QVC.</w:t>
      </w:r>
    </w:p>
    <w:p>
      <w:pPr>
        <w:spacing w:after="0" w:line="190"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IM Brands is restricted from selling products under the Isaac Mizrahi Brands or any of its other trademarks and brands (including the trademarks, copyrights, designs, logos and related intellectual property themselves) to Kmart, Walmart, Sears Roebuck &amp; Co., or a direct competitor of QVC (defined as any entity other than QVC, including HSN, Inc. and Value Vision Media, Inc., whose primary means of deriving revenue is the transmission of Direct-Response Television programs, including the Home Shopping Network, ShopNBC, America's Store and Shop at Home Network). To the extent that brands or other products (other than those under the IM Trademarks) are held directly by the Company or any subsidiary of the Company other than IM Brands, however, such brands or products may be sold to any Direct-Response Television retailer or other competitor of QVC.</w:t>
      </w:r>
    </w:p>
    <w:p>
      <w:pPr>
        <w:spacing w:after="0" w:line="16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 addition to the foregoing, the QVC Agreement provided for QVC removing certain restrictions that it had on the IM Trademarks (aside from the “IsaacMizrahiLIVE” trademarks) prior to the Merger; the payment to QVC of certain amounts on the closing of the Merger and related transactions as satisfaction of certain amounts that IM Ready and Earthbound owed to QVC; and QVC permitting the Company to promote its bricks-and-mortar collections on QVC’s television program subject to certain terms and restrictions. The Company also agreed to provide QVC with a key-man life insurance policy to provide payment to QVC in the event of a death of Isaac Mizrahi.</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the time of the acquisition of the Isaac Mizrahi Business, the QVC Agreement was the only business agreement under which the Isaac Mizrahi Brands were generating licensing revenue. For the period January 1, 2011 to September 28, 2011 and the year ended December 31, 2010, the original agreement with QVC accounted for 62% and 46%, respectively, of the Isaac Mizrahi Business’s revenue. For the period September 29, 2011 to December 31, 2011, the QVC Agreement represented 67% of the Company’s revenues.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right="60" w:firstLine="648"/>
        <w:spacing w:after="0" w:line="279" w:lineRule="auto"/>
        <w:rPr>
          <w:sz w:val="20"/>
          <w:szCs w:val="20"/>
          <w:color w:val="auto"/>
        </w:rPr>
      </w:pPr>
      <w:r>
        <w:rPr>
          <w:rFonts w:ascii="Arial" w:cs="Arial" w:eastAsia="Arial" w:hAnsi="Arial"/>
          <w:sz w:val="17"/>
          <w:szCs w:val="17"/>
          <w:i w:val="1"/>
          <w:iCs w:val="1"/>
          <w:color w:val="auto"/>
        </w:rPr>
        <w:t>Other Licensing Agreements</w:t>
      </w:r>
      <w:r>
        <w:rPr>
          <w:rFonts w:ascii="Arial" w:cs="Arial" w:eastAsia="Arial" w:hAnsi="Arial"/>
          <w:sz w:val="17"/>
          <w:szCs w:val="17"/>
          <w:color w:val="auto"/>
        </w:rPr>
        <w:t>. As of December 31, 2011, the Company entered into 18 additional licensing agreements related to the Isaac Mizrahi</w:t>
      </w:r>
      <w:r>
        <w:rPr>
          <w:rFonts w:ascii="Arial" w:cs="Arial" w:eastAsia="Arial" w:hAnsi="Arial"/>
          <w:sz w:val="17"/>
          <w:szCs w:val="17"/>
          <w:i w:val="1"/>
          <w:iCs w:val="1"/>
          <w:color w:val="auto"/>
        </w:rPr>
        <w:t xml:space="preserve"> </w:t>
      </w:r>
      <w:r>
        <w:rPr>
          <w:rFonts w:ascii="Arial" w:cs="Arial" w:eastAsia="Arial" w:hAnsi="Arial"/>
          <w:sz w:val="17"/>
          <w:szCs w:val="17"/>
          <w:color w:val="auto"/>
        </w:rPr>
        <w:t>Brands. The terms of the agreements generally range from three to six years with renewal options. These other license agreements represented approximately 10% of the Company’s total revenues for the period September 29, 2011 to December 31, 2011. As of March 23, 2012 the number of additional license agreements grew to 23 with license agreements in effect for the Isaac Mizrahi Brands for the following categories:</w:t>
      </w:r>
    </w:p>
    <w:p>
      <w:pPr>
        <w:spacing w:after="0" w:line="171"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Footwear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Handbags, Luggage, Backpacks, and Small Leather Goods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Fragrance, Home Fragrance, and Bath and Body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Women’s Denim (including jeans, and denim-related knit tops, woven tops and bottoms)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Mens’ Shirts and 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Timepieces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Fine Jewelry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Costume Jewelry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Sunwear, Eyewear and Reading Glasses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Socks and Hoisery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Women’s Intimate Apparel including Shapewear, Sleepwear, and Loungewear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Infant Apparel</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Womens’ and Childrens’ Outerwear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Bridal and Bridal Accessories</w:t>
      </w:r>
    </w:p>
    <w:p>
      <w:pPr>
        <w:spacing w:after="0" w:line="9" w:lineRule="exact"/>
        <w:rPr>
          <w:rFonts w:ascii="Arial" w:cs="Arial" w:eastAsia="Arial" w:hAnsi="Arial"/>
          <w:sz w:val="18"/>
          <w:szCs w:val="18"/>
          <w:color w:val="auto"/>
        </w:rPr>
      </w:pPr>
    </w:p>
    <w:p>
      <w:pPr>
        <w:ind w:left="1300" w:right="380" w:hanging="644"/>
        <w:spacing w:after="0" w:line="25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Home - Dinnerware including accessories and mugs (in ceramic, stoneware, porcelain, Melamine and Melacore), Glassware, Flatware, Cutlery, Cookware, Bakeware, Kitchen Gadgets and Melamine.</w:t>
      </w: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Home - Picture Frames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Home - Window Treatments (Curtains, Panels, Valences, Window Scarves, Kitchen Curtains and Decorative Window Hardware)</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Home – Bedding, Towels, and other Bath Linens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Home – Paper Plates, Napkins, and Serveware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Furniture, Rugs, Accent Lighting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Hydration Products, Shopping Bags, Diaper Bags, Light Luggage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Audio Products (Headphones and Ear-Buds), iPad and iPod Cases, USB Devices, SmartPhone Charers and Cords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Music compilations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also in negotiations and/or discussions with licensees to license the Isaac Mizrahi Brands in additional categories. In certain cases, the Company has engaged licensing agents to assist in the procurement of such licenses for which IM Brands or the licensees pay such agents fees based upon a percentage of the net sales of licensed products by such licensees. While many of the new and proposed licensing agreements will likely require the Company to provide seasonal design guidance, most of our new and prospective licensing partners have their own design staff, and the Company therefore expects to have low incremental overhead related to expanding our licensing business. The Company will endeavor, where possible, to require licensees to provide guaranteed minimum royalties under their license agreements.</w:t>
      </w:r>
    </w:p>
    <w:p>
      <w:pPr>
        <w:spacing w:after="0" w:line="193"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Company’s licensees plan to sell licensed products through bricks-and-mortar retailers, internet websites, and in certain cases will supply products to QVC for sale through its Direct-Response Television programs and/or through its internet website. Based upon the time required to design, market, and produce products for sale through these distribution channels, the Company does not expect any of these licensees to sell licensed products under the Isaac Mizrahi brands prior to the Fall 2012 season. However, based upon guaranteed minimum royalties required under many of the license agreements, the Company has recognized and expects to continue to recognize revenue related to the licensing of the Isaac Mizrahi Brands prior to the sale of licensed products by its licensees. The Company also intends to enter into distribution agreements and/or licensing agreements with international partners through which its licensees can sell products under the Isaac Mizrahi Brands internationally.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Design Services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provides design services to certain of its licensees, and in some cases, to select brands owned by third parties. The Company intends to provide seasonal design guidance (such as style guides) and product approvals for its licensees, but in general with the exception of the QVC Agreement and LCNY Agreement, the design of products is expected to be completed by the licensees. Under the QVC Agreement, the Company is required to provide product designs to QVC for the “IsaacMizrahiLIVE” brand.</w:t>
      </w:r>
    </w:p>
    <w:p>
      <w:pPr>
        <w:spacing w:after="0" w:line="187"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i w:val="1"/>
          <w:iCs w:val="1"/>
          <w:color w:val="auto"/>
        </w:rPr>
        <w:t xml:space="preserve">Liz Claiborne New York Design Services Agreement </w:t>
      </w:r>
      <w:r>
        <w:rPr>
          <w:rFonts w:ascii="Arial" w:cs="Arial" w:eastAsia="Arial" w:hAnsi="Arial"/>
          <w:sz w:val="17"/>
          <w:szCs w:val="17"/>
          <w:color w:val="auto"/>
        </w:rPr>
        <w:t>. In connection with the acquisition of the Isaac Mizrahi Business, the Company assumed and</w:t>
      </w:r>
      <w:r>
        <w:rPr>
          <w:rFonts w:ascii="Arial" w:cs="Arial" w:eastAsia="Arial" w:hAnsi="Arial"/>
          <w:sz w:val="17"/>
          <w:szCs w:val="17"/>
          <w:i w:val="1"/>
          <w:iCs w:val="1"/>
          <w:color w:val="auto"/>
        </w:rPr>
        <w:t xml:space="preserve"> </w:t>
      </w:r>
      <w:r>
        <w:rPr>
          <w:rFonts w:ascii="Arial" w:cs="Arial" w:eastAsia="Arial" w:hAnsi="Arial"/>
          <w:sz w:val="17"/>
          <w:szCs w:val="17"/>
          <w:color w:val="auto"/>
        </w:rPr>
        <w:t>entered into an amended and restated agreement (the “LCNY Agreement”) with Liz Claiborne Inc. (“LC”) and QVC. Pursuant to the LCNY Agreement, the Company provides design services to LC for the Liz Claiborne New York brand, which is sold exclusively through QVC.</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0" w:name="page11"/>
    <w:bookmarkEnd w:id="10"/>
    <w:p>
      <w:pPr>
        <w:ind w:right="80" w:firstLine="648"/>
        <w:spacing w:after="0" w:line="255" w:lineRule="auto"/>
        <w:rPr>
          <w:sz w:val="20"/>
          <w:szCs w:val="20"/>
          <w:color w:val="auto"/>
        </w:rPr>
      </w:pPr>
      <w:r>
        <w:rPr>
          <w:rFonts w:ascii="Arial" w:cs="Arial" w:eastAsia="Arial" w:hAnsi="Arial"/>
          <w:sz w:val="18"/>
          <w:szCs w:val="18"/>
          <w:color w:val="auto"/>
        </w:rPr>
        <w:t>Pursuant to the LCNY Agreement, Isaac Mizrahi or another spokesperson agreeable to the Company, QVC and LC (any such person, the “Designer”), must be made available to act as creative director for the LCNY line of products and for print or other media campaigns (Isaac Mizrahi does not currently promote the products or line, but QVC and LC may require that a Designer promote the products on QVC in the future). As creative director, the Designer works with and directs a LCNY design staff employed by the Company. The initial term of the LCNY Agreement lasts until July 31, 2013 (with five automatic, one-year renewal periods thereafter unless the LCNY Agreement is terminated by either party or LC’s separate agreement with QVC is not renewed or otherwise terminates).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develops a design calendar for each season for the development of each line of products for Liz Claiborne New York, working jointly with QVC and LC. For each product line, the Company must: (i) develop concepts, ideas and inspirations; (ii) create, develop and provide design sketches and prototypes, including packaging and labels; and (iii) refresh product lines and formulate additional designs as required by LC and/or QVC during the selling stages.</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has absolute approval over any use of the Designer’s name and/or likeness, but it has otherwise granted to LC all rights in any works (or contributions to works) comprised in design or advertising materials that are used in connection with products under the Liz Claiborne New York label, other than the trademark, name, image, or likeness of the Designer. The Company has also granted to LC the right to use the Designer’s name, signature, photograph, voice or other sound effects, likeness, personality, endorsement, biography and statements in connection with the design, manufacture, importation, distribution, sale, marketing and advertising in any media of the products under the Liz Claiborne New York label. Additionally, LC and QVC may use the Isaac Mizrahi name, image, or likeness to promote the role of the Company in the design of products under the LCNY Brand, but may not use the Isaac Mizrahi name, image or likeness as part of the Liz Claiborne New York label itself. Under the LCNY Agreement, The Company has agreed that neither it nor the Designer may, directly or indirectly, associate or affiliate the Designer’s name or trademark with Wal-Mart, Kmart and Sears.</w:t>
      </w:r>
    </w:p>
    <w:p>
      <w:pPr>
        <w:spacing w:after="0" w:line="166"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In consideration for the design services and all other rights provided by the Company to LC pursuant to the LCNY Agreement, LC is obligated to pay to the Company 25% of the royalty revenues LC receives from QVC (pursuant to a separate license agreement by and between LC and QVC) for sale of products through QVC-owned, -operated and -branded Direct-Response Television programs, website and retail stores. In the event that LC uses the design and technical specifications of products for merchandise that is sold by LC to international customers or through its own retail stores, the Company is entitled to additional royalty fees with respect to such merchandise to be agreed with LC. In addition to compensation to be paid by LC to the Company as described above, LC is also obliged to pay to The Company twenty-five percent (25%) of the royalty revenues LC receives from Elizabeth Arden during the term of the LCNY Agreement for fragrance products bearing the Liz Claiborne New York label. Finally, if LC enters into any new licenses with respect to the Liz Claiborne New York label during the term of the LCNY Agreement, LC has agreed to pay to the Company 25% of the royalty revenues LC receives from such new licenses.</w:t>
      </w:r>
    </w:p>
    <w:p>
      <w:pPr>
        <w:spacing w:after="0" w:line="19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consideration for the termination and replacement of a previous design agreement between IM Ready and LC, the Isaac Mizrahi Business received a one-time fee of $9,000,000, which was recorded as a deferred royalty payment. This amount was being amortized by IM Ready on a straight line basis over the life of the LCNY Agreement. Included in revenues of IM Ready for the period January 1, 2011to September 28, 2011 and the year ended December 31, 2010 is amortized revenue of $1.7 million and $2.3 million, respectively. Following the acquisition of the Isaac Mizrahi Brands and LCNY Agreement, the Company is not receiving the benefits of the one-time payment and will not record any deferred royalty payment as a result of the one-time payment.</w:t>
      </w:r>
    </w:p>
    <w:p>
      <w:pPr>
        <w:spacing w:after="0" w:line="193"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For the period January 1, 2011 to September 28, 2011 and the year ended December 31, 2010, the LCNY Agreement accounted for 8% and 4%, respectively, of the Isaac Mizrahi Business’s revenue. For the period September 29, 2011 to December 31, 2011, the LCNY Agreement represented 13% of the Company’s revenues.</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IM Brands also assumed an agreement with QVC pursuant to which IM Brands receives an annual design fee from QVC for the term of the LCNY Agreement (the “Design Agreement”), which fee is intended to cover certain design expenses of the Company related to the LCNY Brand. The Design Agreement accounted for approximately 9% and 11% of total revenue for the period January 1, 2011 to September 28, 2011 and the year ended December 31, 2010, respectively. For the period September 29, 2011 to December 31, 2011 the Design Agreement represented 10% of the Company’s revenues.</w:t>
      </w:r>
    </w:p>
    <w:p>
      <w:pPr>
        <w:spacing w:after="0" w:line="154"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order to provide the design services for the Isaac Mizrahi Business and under the LCNY Agreement and Design Agreement, the Company employs a design team. Although the Company does not currently expect to offer design services to third parties other than under the LCNY Agreement and QVC Agreement, and the limited design services it provides to other licensees of the Isaac Mizrahi Brands, given the Company’s design capabilities and relationships with QVC, the Company may consider appropriate opportunities to leverage its resources to provide design services or other resources to selected brands that are not owned by the Company in the future.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Future Brands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may acquire or enter into licensing or other agreements for brands in the future that it believes it may be able to generate revenues through its Omnichannel retail sales strategy by leveraging its licensing, design, and/or marketing expertise. In the event the Company does decide to enter into a transaction with other brands, the Company will analyze such potential transactions for their growth potential, ability to sell products across platforms, fit with the Company’s existing business and the economic and strategic impact on the Company. The Company would also seek to leverage its existing operational infrastructure to operate any acquired business or intellectual property, and may need to hire additional design, marketing or other personnel or incur additional expenses to operate the business. Each acquisition opportunity will be analyzed on a case-by-case basis. Based on its current cash position, a transaction may require the Company to raise additional equity financing, which may be dilutive, or debt financing, which may impose operating restrictions on the Company, unless substantially all of the consideration paid for a transaction is paid through the issuance of capital stock or a note to the other party, or such transaction does not require any up-front capital to be paid to the other party.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923" w:gutter="0" w:footer="0" w:header="0"/>
        </w:sectPr>
      </w:pPr>
    </w:p>
    <w:bookmarkStart w:id="11" w:name="page12"/>
    <w:bookmarkEnd w:id="11"/>
    <w:p>
      <w:pPr>
        <w:ind w:left="660"/>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believe that marketing is a critical element to maximize brand value to our licensees and the Company. Therefore, we provide social media marketing and other marketing and public relations support for the Isaac Mizrahi Brand.</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Given the Company’s Omnichannel retail sales strategy focusing on the sale of branded products through various distribution channels (including Internet, Direct-Response Television, and traditional bricks-and-mortar Sales Channels, our marketing efforts currently focus on social media campaigns, appearances, and digital content in order to drive retail sales of product and consumer awareness across our various sales distribution channels. As such, our marketing is currently conducted primarily through (i) Twitter campaigns both through Isaac Mizrahi personally and by our employees, (ii) Facebook campaigns, and (iii) blogs, videos, and other internet content that are all updated regularly. Our efforts also include promoting Isaac Mizrahi as a brand and personality through various media including television (Project Runway All-Stars, Live with Kelly), design for performances, and other events. We also work with QVC to leverage QVC’s Internet resources including discussion boards, Facebook and Twitter campaigns, and QVC’s website. In order to drive smartphone and tablet sales of IsaacMizrahiLIVE products, QVC has developed an application for the I-Phone and I-Pad to enable customers to browse and purchase products under the IsaacMizrahiLIVE brand.</w:t>
      </w:r>
    </w:p>
    <w:p>
      <w:pPr>
        <w:spacing w:after="0" w:line="182"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We do not currently promote the Isaac Mizrahi Brands through print or other traditional advertising, however we will endeavor to require licensees where possible to contribute an advertising royalty to IM Brands under their license agreements, and will use such monies to further promote the Isaac Mizrahi Brands as we deem appropriate. Certain of IM Brands’ licensees may be required to, or elect to, provide advertising or marketing for the IM Trademarks under their license agreements with IM Brands. In most cases, we will work with our licensees on such marketing activities as appropriate. If we acquire additional brands, we would seek to expand our marketing efforts to address the specific needs of such acquired brands.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Isaac Mizrahi Brands are, and additional brands that the Company may acquire will be, subject to extensive competition from various domestic and foreign brands. Each of the Isaac Mizrahi Brands and any acquired brand will likely have many competitors within each of its specific distribution channels that span a broad variety of product categories, including the apparel, footwear, accessories, home furnishings and décor, food products and sporting goods industries. These competitors have the ability to compete with the Company and the Company’s licensees in terms of fashion, quality, price, products and/or marketing.</w:t>
      </w:r>
    </w:p>
    <w:p>
      <w:pPr>
        <w:spacing w:after="0" w:line="18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To the extent the Company seeks to acquire additional brands, it will face competition to retain licenses and to complete the acquisitions of additional brands. The ownership, licensing, and management of brands is becoming a more widely utilized method of managing consumer brands as production continues to become commoditized and manufacturing capacity increases worldwide. The Company will face competition from numerous direct competitors, including publicly and privately-held companies, including traditional apparel and consumer brand companies, other brand management companies and private equity groups. Companies that traditionally focused on wholesale manufacturing and sourcing models are also exploring licensing as a way of growing their businesses through strategic licensing partners and direct-to-retail licensing arrangements. Finally, the retailers and manufacturers to which the Company currently licenses (or may in the future license) its brands may decide to develop or purchase brands rather than entering into license agreements with the Company.</w:t>
      </w:r>
    </w:p>
    <w:p>
      <w:pPr>
        <w:spacing w:after="0" w:line="19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Because the Company has recently entered into the brand ownership, marketing, licensing and design business and because many of its competitors have significantly more cash and revenues than it, the Company must work to differentiate itself from its direct and indirect competitors and successfully compete for market share with the brands it owns and for future acquisitions. The Company believes that its management team (including its managers’ and directors’ historical track records and relationships within the industry) as well as its operating strategy of licensing brands with significant media presence in its Omnichannel retail sales strategy across Direct-Response Television, bricks-and-mortar and internet retail channels will help differentiate itself in an increasingly crowded competitive landscape.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The Company, through IM Brands, acquired the Isaac Mizrahi Brands which includes the trademarks and brands “Isaac Mizrahi”, “Isaac Mizrahi New York”, “Isaac Mizrahi Jeans”, “M.” and “IsaacMizrahiLIVE”. These trademarks and associated marks are registered or pending registration with the U.S. Patent and Trademark Office in block letter and/or logo formats, as well as in combination with a variety of ancillary marks for use with respect to a variety of product categories, including apparel, footwear and various other goods and services, including in some cases, home furnishings and decor. The Company intends to renew these registrations as appropriate prior to expiration. In addition, the Company registers its trademarks in certain other countries and regions around the world as it deems appropriate.</w:t>
      </w:r>
    </w:p>
    <w:p>
      <w:pPr>
        <w:spacing w:after="0" w:line="193"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and its licensees do not presently have a material amount of revenue from either the licensing of the Company’s trademarks internationally or the sale of products under its trademarks internationally. If the Company or a licensee begins, or plans, to license or sell products under the Company’s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right="20" w:firstLine="648"/>
        <w:spacing w:after="0" w:line="255" w:lineRule="auto"/>
        <w:rPr>
          <w:sz w:val="20"/>
          <w:szCs w:val="20"/>
          <w:color w:val="auto"/>
        </w:rPr>
      </w:pPr>
      <w:r>
        <w:rPr>
          <w:rFonts w:ascii="Arial" w:cs="Arial" w:eastAsia="Arial" w:hAnsi="Arial"/>
          <w:sz w:val="18"/>
          <w:szCs w:val="18"/>
          <w:color w:val="auto"/>
        </w:rPr>
        <w:t>Generally, the Company is primarily responsible for monitoring and protecting its trademarks around the world. The Company engages the services of legal counsel to maintain and monitor its existing trademarks, and may register its existing trademarks or new trademarks in various territories around the world based upon its current and planned business strategy. Additionally, the Company seeks to require its licensing partners to advise the Company of any violations of its trademark rights of which its licensing partners become aware. The Company monitors on an ongoing basis unauthorized use and filings of the Company’s trademarks, and the Company relies primarily upon a combination of federal, state, and local laws, as well as contractual restrictions to protect its intellectual property rights both domestically and internationally.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we had 28 full- time employees and 3 part-time employees.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33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i w:val="1"/>
          <w:iCs w:val="1"/>
          <w:color w:val="auto"/>
        </w:rPr>
        <w:t>The Company’s securities are highly speculative in nature, involve a high degree of risk. Prospective investors should carefully consider, along with other matters referred to herein, the following risk factors in evaluating our business. This Annual Report on Form 8-10 contains forward-looking statements which involve risks and uncertainties. Our actual results could differ materially from those anticipated in these forward-looking statements as a result of certain factors, including those set forth in the following risk factors and elsewhere in this Form 8-10.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2011, we had cash and cash equivalents of approximately $2.7 million. Although we believe that our existing cash and our anticipated cash flow from operations will be sufficient to sustain our operations, at our current expense levels, for at least the following 12 months, we may require significant additional cash to expand our operations or acquire additional brands. Our inability to finance our growth, either internally or externally, may limit our growth potential and our ability to execute our business strategy. If we issue securities to raise capital to finance operations and/or pay down debt, our existing stockholders may experience dilution or the new securities may have rights senior to those of our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our historical operations were conducted as part of a larger, more diverse business.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Although the Isaac Mizrahi brand name has been an established brand for over 20 years, the QVC Agreement and LCNY Agreement relate to businesses at QVC that have been operating only since December 2009, and the Isaac Mizrahi Business was run by Isaac Mizrahi, our Chief Designer, and Marisa Gardini, our Executive Vice President of Strategic Planning prior to our acquisition of the Isaac Mizrahi Brands on September 29, 2011. Certain other members of our management performed consulting services for IM Ready, but were not responsible for its operations. While our management has extensive experience operating branding companies, it does not have a relevant operating history operating the Isaac Mizrahi Business. In addition, we have entered into additional licenses for the Isaac Mizrahi Brands who have not yet sold licensed products under the Isaac Mizrahi Brands and generally do not expect these licenses to sell products under the Isaac Mizrahi Brands until Fall 2012, at the earliest. Accordingly, the operating results of the Isaac Mizrahi Business are not necessarily indicative of the future and you should not place undue reliance on the Isaac Mizrahi Business’s past performance.</w:t>
      </w:r>
    </w:p>
    <w:p>
      <w:pPr>
        <w:spacing w:after="0" w:line="166"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The failure of our licensees to adequately produce, market and sell products bearing our brand names in their license categories or to pay their obligations under their license agreements could result in a decline in our results of operations and impact our ability to service our debt obligations.</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sometimes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their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and distribution requirements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Moreover, the concurrent failure by several of our material licensees to meet their financial obligations to us could jeopardize our ability to meet the debt service coverage ratios required in connection with our debt facility or facilities. Further, this failure may impact our ability to make required payments with respect to such indebtedness. The failure to meet such debt service coverage ratios or to make such required payments may give the lenders thereunder the right to foreclose on the Company’s trademarks, license agreements, and other related assets securing such notes.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right="620"/>
        <w:spacing w:after="0" w:line="277" w:lineRule="auto"/>
        <w:rPr>
          <w:sz w:val="20"/>
          <w:szCs w:val="20"/>
          <w:color w:val="auto"/>
        </w:rPr>
      </w:pPr>
      <w:r>
        <w:rPr>
          <w:rFonts w:ascii="Arial" w:cs="Arial" w:eastAsia="Arial" w:hAnsi="Arial"/>
          <w:sz w:val="18"/>
          <w:szCs w:val="18"/>
          <w:b w:val="1"/>
          <w:bCs w:val="1"/>
          <w:i w:val="1"/>
          <w:iCs w:val="1"/>
          <w:color w:val="auto"/>
        </w:rPr>
        <w:t>Our business is dependent on continued market acceptance of the Isaac Mizrahi Brand and any future brands we acquire and the products of our licensees.</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Although many of our licensees guarantee minimum net sales and minimum royalties to us, most of our licensees are not yet selling licensed products and a failure of our brands or of products bearing our brands to achieve or maintain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the Isaac Mizrahi Brand and our licensees’ products, as well as market acceptance of any future products bearing any future brands we acquire, is subject to a high degree of uncertainty, made more so by constantly changing consumer tastes and preferences.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we may or may not have available to spend. Additional marketing efforts and expenditures may not, however, result in either increased market acceptance of, or additional licenses for, our trademarks or increased market acceptance, or sales, of our licensees’ products. Furthermore, while we believe that we currently maintain sufficient control over the products our licensees’ produce under our brand names through the provision of trend direction and our right to preview and approve a majority of such products, including their presentation and packaging, we do not actually design or manufacture all of the products bearing our marks and therefore have more limited control over such products’ quality and design than a traditional product manufacturer might have.</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debt obligations could impair our liquidity and financial condition, and in the event we are unable to meet our debt obligations we could lose title to our trademarks and/or other assets.</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entered into a five-year senior secured term facility (the “Loan”) with MidMarket pursuant to which we incurred $13.5 million principal amount of senior secured term debt. In addition, we issued to IM Ready a Note in the principal amount of $7,377,432, subject to adjustment as set forth herein, and assumed the obligation of payments to Earthbound aggregating $1,500,000 (recorded as an installment debt obligation of $1.158 million as of December 31, 2011) under the Services Agreement. The Company may also assume or incur additional debt, including secured debt, in the future in connection with, or to fund, future acquisitions, subject to limited exceptions. The Loan also requires us to repay the principal loan balance from net cash proceeds received by the Company, IM Brands or any subsidiary in excess of $1,000,000 from the sale of equity securities to the extent such proceeds are not used to fund the purchase price, costs or expenses of a potential acquisition. Our debt obligations:</w:t>
      </w:r>
    </w:p>
    <w:p>
      <w:pPr>
        <w:spacing w:after="0" w:line="17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70" w:lineRule="exact"/>
        <w:rPr>
          <w:rFonts w:ascii="Arial" w:cs="Arial" w:eastAsia="Arial" w:hAnsi="Arial"/>
          <w:sz w:val="18"/>
          <w:szCs w:val="18"/>
          <w:color w:val="auto"/>
        </w:rPr>
      </w:pPr>
    </w:p>
    <w:p>
      <w:pPr>
        <w:ind w:left="660" w:right="5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225"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licensing markets;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place us at a competitive disadvantage when compared to our competitors who have less debt.</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While we believe that by virtue of the guaranteed minimum and percentage royalty payments due to us under certain of our licenses, we will generate sufficient revenues from our licensing operations to satisfy our obligations for the foreseeable future, in the event that we were to fail in the future to make any required payment under agreements governing our indebtedness or fail to comply with the financial and operating covenants contained in those agreements, we would be in default regarding that indebtedness and the lenders could declare such indebtedness to be immediately due and payable. A debt default could significantly diminish the market value and marketability of our common stock and could result in the acceleration of the payment obligations under all or a portion of our consolidated indebtedness. It may also enable our senior lender or lenders to foreclose on the Company’s and IM Brands’ assets and/or our membership interests in IM Brands, which currently constitutes substantially all of intangible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right="160"/>
        <w:spacing w:after="0" w:line="277" w:lineRule="auto"/>
        <w:rPr>
          <w:sz w:val="20"/>
          <w:szCs w:val="20"/>
          <w:color w:val="auto"/>
        </w:rPr>
      </w:pPr>
      <w:r>
        <w:rPr>
          <w:rFonts w:ascii="Arial" w:cs="Arial" w:eastAsia="Arial" w:hAnsi="Arial"/>
          <w:sz w:val="18"/>
          <w:szCs w:val="18"/>
          <w:b w:val="1"/>
          <w:bCs w:val="1"/>
          <w:i w:val="1"/>
          <w:iCs w:val="1"/>
          <w:color w:val="auto"/>
        </w:rPr>
        <w:t>We expect to achieve growth based upon our plans to expand the Isaac Mizrahi Business. If we fail to manage our expected future growth, our business and operating results could be harmed.</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project growth in the Isaac Mizrahi Business based upon engaging additional licensees for the Isaac Mizrahi Brands as well as projected growth of the IsaacMizrahiLIVE business with QVC. We may also evaluate and pursue appropriate opportunities with other brands (including acquiring and/or entering into licensing and/or design agreements with such brands) to the extent we believe that such opportunities would be in the best interests of our company and our stockholders.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expected growth will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their fair values and our business, financial condition and results of operations. In addition, we may be unable to leverage our core competencies in managing apparel brands to managing brands in new product categories.</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Also, there can be no assurance that we will be able to achieve and sustain meaningful growth. Our growth may be limited by a number of factors including increased competition among branded products at bricks-and-mortar, internet, and direct-response retailers, competition for retail license and brand acquisitions, insufficient capitalization for future transactions.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While the Company’s current focus is on growing the Isaac Mizrahi Brands, the Company may seek to acquire additional intellectual property. Historically, our management team has been involved in numerous acquisitions of varying sizes. We will continue to explore new acquisitions. However, as our competitors continue to pursue our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we will seek to temper our acquisition risks by following acquisition guidelines relating to the existing strength of the brand, its diversification benefits to us, its potential licensing scale and credit worthiness of licensee base, acquisitions, whether they be of additional intellectual property assets or of the companies that own them, entail numerous risks, any of which could detrimentally affect our results of operations and/or the value of our equity. These risks include, among others:</w:t>
      </w:r>
    </w:p>
    <w:p>
      <w:pPr>
        <w:spacing w:after="0" w:line="18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appropriate business opportunities, including potential licenses and new product lines and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amortization of acquired intangibles;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225"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potential difficulties associated with the retention of key employees, and difficulties, delays and unanticipated costs associated with the assimilation of personnel, operations and systems, which may be retained by us in connection with or as a result of our acquisitions; and</w:t>
      </w:r>
    </w:p>
    <w:p>
      <w:pPr>
        <w:spacing w:after="0" w:line="146"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5" w:name="page16"/>
    <w:bookmarkEnd w:id="15"/>
    <w:p>
      <w:pPr>
        <w:ind w:right="80"/>
        <w:spacing w:after="0" w:line="270" w:lineRule="auto"/>
        <w:rPr>
          <w:sz w:val="20"/>
          <w:szCs w:val="20"/>
          <w:color w:val="auto"/>
        </w:rPr>
      </w:pPr>
      <w:r>
        <w:rPr>
          <w:rFonts w:ascii="Arial" w:cs="Arial" w:eastAsia="Arial" w:hAnsi="Arial"/>
          <w:sz w:val="17"/>
          <w:szCs w:val="17"/>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as discussed below,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because it could reduce our earnings per share, and any such dilution could reduce the market price of our Common Stock unless and until we were able to achieve revenue growth or cost savings and other business economies sufficient to offset the effect of such an issuance. As a result, there is no guarantee that our stockholders will achieve greater returns as a result of any future acquisitions we complete.</w:t>
      </w:r>
    </w:p>
    <w:p>
      <w:pPr>
        <w:spacing w:after="0" w:line="1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Because of the intense competition within our existing and potential licensees’ markets and the strength of some of their competitors, we and our licensees may not be able to continue to compete successfully.</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We expect our existing and future licenses to relate to products in the apparel, fashion accessories, footwear, beauty and fragrance, and home products and decor industries, in which our licensees face intense competition, including from our other brands and licensees. In general, competitive factors include quality, price, style, name recognition and service. In addition, various fads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competition for licenses increases, or any of our current licensees elect not to renew their licenses or renew on term less favorable than today, our growth plans could be slowed.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may face increasing competition in the future for licenses as other companies owning established brands may decide to enter into licensing arrangements with retailers or interactive media companies similar to the ones we currently have in place. Furthermore, our current or potential licensees may decide to develop or purchase brands rather than renew or enter into license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8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Our licensees are subject to risks and uncertainties of foreign manufacturing and the price, availability and quality of raw materials that could interrupt their operations or increase their operating costs, thereby affecting their ability to deliver goods to the market, reduce or delay their sales and decrease our potential royalty revenues.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the products sold by our licensees are manufactured overseas. There are substantial risks associated with foreign manufacturing, including changes in laws relating to quotas, and the payment of tariffs and duties, fluctuations in foreign currency exchange rates, shipping delays and international political, regulatory and economic developments. Further, our licensees may experience fluctuations in the price, availability and quality of fabrics and raw materials used by them in their manufactured apparel or purchased finished goods. Any of these risks could increase our licensees’ operating costs. Our licensees also import finished products and assume all risk of loss and damage with respect to these goods once they are shipped by their suppliers. If these goods are destroyed or damaged during shipment, the revenues of our licensees, and thus our royalty revenues over and above the guaranteed minimums, could be reduced as a result of our licensees’ inability to deliver or their delay in delivering their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own, through our wholly-owned subsidiary, IM Brands, U.S. federal trademark registrations and foreign trademark registrations for our Isaac Mizrahi Brands that are vital to the success and further growth of our business and which we believe have significant value. We will monitor on an ongoing basis unauthorized filings of our trademarks and imitations thereof, and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registerability vary internationally. Consequently, in certain foreign jurisdictions, we have elected or may elect not to apply for trademark registrations. 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16" w:name="page17"/>
    <w:bookmarkEnd w:id="16"/>
    <w:p>
      <w:pPr>
        <w:ind w:right="180"/>
        <w:spacing w:after="0" w:line="255" w:lineRule="auto"/>
        <w:rPr>
          <w:sz w:val="20"/>
          <w:szCs w:val="20"/>
          <w:color w:val="auto"/>
        </w:rPr>
      </w:pPr>
      <w:r>
        <w:rPr>
          <w:rFonts w:ascii="Arial" w:cs="Arial" w:eastAsia="Arial" w:hAnsi="Arial"/>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In addition, to the extent that any of our trademarks were ever deemed to violate the proprietary rights of others in any litigation or proceeding or as a result of any claim, we may be prevented from using them, which could cause a termination of our licensing arrangements, and thus our revenue stream, with respect to those trademarks. Litigation could also result in a judgment or monetary damages being levied against us.</w:t>
      </w:r>
    </w:p>
    <w:p>
      <w:pPr>
        <w:spacing w:after="0" w:line="19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Since January 1, 2010 a substantial portion of the revenues has been paid by QVC, either through the Company’s existing license agreement with QVC for the “IsaacMizrahiLIVE” brand or through the Design Agreement related to the LCNY Brand. Because we are dependent on these agreements with QVC for a significant portion of our revenue, if QVC were to have financial difficulties, or if QVC decides not to renew or extend its existing agreements with us, our revenue and cash flows could be reduced substantially. Additionally, we have limited control over the programming that QVC devotes to the IsaacMizrahiLIVE and LCNY Brand or its promotional sales with the IsaacMizrahiLIVE and LCNY Brand (such as Today’s Special Value sales). If QVC reduces or modifies its programming or promotional sales related to the Isaac MizrahiLIVE and/or the Liz Claiborne New York brands, our revenues and cash flows could be reduced substantially.</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initial term of the QVC Agreement expires on September 30, 2015, with automatic one-year renewal periods unless terminated by either party.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initial term of the Design Agreement expires on July 31, 2013 and provides for five one-year renewal periods based on meeting minimum sales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thresholds. There can be no assurance that the agreements will be renewed upon expiration of the initial terms, that the minimum sales thresholds will be met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that QVC will not terminate our licensing agreement or its agreement with LC for non-performance.</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QVC Agreement and Design Agreement were originally entered into in 2009, and have been in place for less than 3 years. While the businesses have seen growth since they were launched in 2009 and 2010, there is no guarantee that they will continue to grow in the future. Additionally, while we have entered into additional license agreements for the Isaac Mizrahi Brands in order to diversify and grow our revenues there are no guarantees that our new licensees will be able to generate sales of products under the Isaac Mizrahi Brands, and if they do generate sales, there is no guarantee that they will not cause a decline in sales of product being sold through QVC.</w:t>
      </w:r>
    </w:p>
    <w:p>
      <w:pPr>
        <w:spacing w:after="0" w:line="188"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4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success as a marketer and licensor of intellectual property is largely dependent upon the efforts of Robert D’Loren, our chief executive officer and chairman. Our continued success is largely dependent upon his continued efforts and those of our other key executives. Although we entered into an employment agreement with Robert D’Loren, as well as employment agreements with other of our key executives and employees, including Isaac Mizrahi,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w:t>
      </w:r>
    </w:p>
    <w:p>
      <w:pPr>
        <w:spacing w:after="0" w:line="16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dependent upon the design and promotional services of Isaac Mizrahi as it relates to the Isaac Mizrahi brand, which is currently our primary business.</w:t>
      </w:r>
    </w:p>
    <w:p>
      <w:pPr>
        <w:spacing w:after="0" w:line="17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If we lose the services of Isaac Mizrahi, we may not be able to fully comply with the terms of our license agreements with QVC or our design agreements with LC and QVC and it may result in significant reductions in the value of the Isaac Mizrahi brands and our prospects, revenues and cash flows. Isaac Mizrahi is a key individual in our continued design and promotion under the Isaac Mizrahi brands and the principal salesperson of the Isaac Mizrahi brands on QVC. Although we have entered into an employment agreement with Isaac Mizrahi and he is a significant shareholder of the Company, there is no guarantee that we will not lose his services. To the extent that any of Mr. Mizrahi’s services become unavailable to us, we will likely need to find a replacement to Mr. Mizrahi to become Chief Designer for the Isaac Mizrahi brands. Compensation for skilled designers is intense and there is no guarantee that we would be able to identify and attract a qualified replacement, or if Mr. Mizrahi’s services are not available to us, that we would be able to create designs, provide design guidance, or promote the Isaac Mizrahi brands as well as we are able to with Mr. Mizrahi. This could significantly affect the value of the Isaac Mizrahi brands and our ability to market the brands, and could impede our ability to fully implement our business plan and future growth strategy, which would harm our business and prospects. Additionally, while we are acquiring all trademarks, image, and likeness of Isaac Mizrahi, pursuant to his employment agreement, Mr. Mizrahi has retained certain rights to participate in outside business activities, including hosting and appearing in television shows, movies and theater productions, writing and publishing books and other publications, and selling his couture collections under his name in his own stores and other retail locations. Mr. Mizrahi’s participation in these personal business ventures could limit his availability to us and affect his ability to perform under this employment agreement. There is no guarantee that Mr. Mizrahi will not take an action that the consumer views as negative, which may harm the Isaac Mizrahi brands as well as our business and prospects.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right="20"/>
        <w:spacing w:after="0" w:line="286" w:lineRule="auto"/>
        <w:rPr>
          <w:sz w:val="20"/>
          <w:szCs w:val="20"/>
          <w:color w:val="auto"/>
        </w:rPr>
      </w:pPr>
      <w:r>
        <w:rPr>
          <w:rFonts w:ascii="Arial" w:cs="Arial" w:eastAsia="Arial" w:hAnsi="Arial"/>
          <w:sz w:val="17"/>
          <w:szCs w:val="17"/>
          <w:b w:val="1"/>
          <w:bCs w:val="1"/>
          <w:i w:val="1"/>
          <w:iCs w:val="1"/>
          <w:color w:val="auto"/>
        </w:rPr>
        <w:t>The LCNY Agreement (our design agreement with LC related to the LCNY Brand on QVC) could be terminated by LC and/or QVC in the event that QVC or LC decides not to renew its licensing agreement with respect to the LCNY Brand, or if we were to lose the services of Isaac Mizrahi as the designer with respect to LCNY Brandbranded products, thereby decreasing our expected revenues and cash flows.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have the LCNY Agreement in place with LC, pursuant to which Isaac Mizrahi designs the LCNY Brand line to be sold on QVC in exchange for the Company receiving a percentage of the royalties that LC receives from QVC under a separate license agreement between LC and QVC (the LCNY Agreement), and an expense reimbursement agreement with QVC pursuant to which QVC reimburses us for certain expenses related to such design services (the Design Agreement). Both of these agreements are co-terminous with the license agreement between LC and QVC, which has an initial term through July 31, 2013. There is no guarantee that LC or QVC will renew the agreement past its initial term, or in the event that LC sells certain or all if its assets, that its successor will renew the agreement past its initial term, which would impair our revenues and cash flows. Additionally, LC has the right at its option to terminate its design agreement with us if the services of Isaac Mizrahi as designer for LCNY Brand products are no longer available to LC and we do not agree upon a replacement designer. Although we have entered into an employment agreement with Mr. Mizrahi, there can be no assurance that if his services are required by LC he will provide such services or that in the event we, and thus QVC, were to lose the ability to draw on such services, LC would continue its design agreement with us. The loss of the LCNY Agreement would significantly decrease our expected revenues and cash flows until we were able to enter into one or more replacement agreements.</w:t>
      </w:r>
    </w:p>
    <w:p>
      <w:pPr>
        <w:spacing w:after="0" w:line="1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We expect to have a material amount of intangible assets, including our trademarks, recorded on our balance sheet. As a result of changes in market conditions and declines in the estimated fair value of these assets, we may, in the future, be required to write down a portion of this intangible assets and such write-down would, as applicable, either decrease our net income or increase our net loss.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Trademarks represent a significant portion of our assets. Under current U.S. GAAP accounting standards, indefinite life intangible assets, including our trademarks, are no longer amortized, but instead are subject to impairment evaluation based on related estimated fair values, with such testing to be done at least annually. Any write-down of intangible assets resulting from future periodic evaluations would, as applicable, either decrease our net income or increase our net loss and those decreases or increases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effective tax rates or adverse outcomes resulting from examination of our income or other tax returns could adversely affect our results.</w:t>
      </w:r>
    </w:p>
    <w:p>
      <w:pPr>
        <w:spacing w:after="0" w:line="248"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Our future effective tax rates could be adversely affected by changes in the valuation of our deferred tax assets and liabilities, or by changes in tax laws or interpretations thereof. In addition, we are subject to the continuous examination of our income tax returns by the Internal Revenue Service and other tax authorities.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We cannot guarantee that the outcomes of these evaluations and continuous examinations will not harm our reported operating results and financial conditions.</w:t>
      </w:r>
    </w:p>
    <w:p>
      <w:pPr>
        <w:spacing w:after="0" w:line="158" w:lineRule="exact"/>
        <w:rPr>
          <w:sz w:val="20"/>
          <w:szCs w:val="20"/>
          <w:color w:val="auto"/>
        </w:rPr>
      </w:pPr>
    </w:p>
    <w:p>
      <w:pPr>
        <w:ind w:right="520"/>
        <w:spacing w:after="0" w:line="381" w:lineRule="auto"/>
        <w:rPr>
          <w:sz w:val="20"/>
          <w:szCs w:val="20"/>
          <w:color w:val="auto"/>
        </w:rPr>
      </w:pPr>
      <w:r>
        <w:rPr>
          <w:rFonts w:ascii="Arial" w:cs="Arial" w:eastAsia="Arial" w:hAnsi="Arial"/>
          <w:sz w:val="15"/>
          <w:szCs w:val="15"/>
          <w:b w:val="1"/>
          <w:bCs w:val="1"/>
          <w:i w:val="1"/>
          <w:iCs w:val="1"/>
          <w:color w:val="auto"/>
        </w:rPr>
        <w:t>Our management and a limited number of stockholders, many of whom are related parties, collectively hold a controlling interest in us. They have significant influence over our management and their interests may not be aligned with our interests or the interests of our other stockholders.</w:t>
      </w:r>
    </w:p>
    <w:p>
      <w:pPr>
        <w:spacing w:after="0" w:line="101"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management and a limited number of stockholders have majority control over us and our business plans and minority stockholders may be unable to meaningfully influence our course of action. The existing management and a limited number of stockholders, many of whom are related parties, are able to control substantially all matters requiring stockholder approval, including nomination and election of directors and approval or rejection of significant corporate transactions.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rely on various information technology systems to manage our operations, which subjects us to inherent costs and risks associated with maintaining, upgrading, replacing and changing these systems, including impairment of our information technology, potential disruption of our internal control systems, substantial capital expenditures, demands on management time and other risks of delays or difficulties in upgrading, transitioning to new systems or of integrating new systems into our current systems.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consumer-spending levels and an inability to access capital may adversely affect our business.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economic factors beyond our control may impact our forecasts and actual performance. These factors include consumer confidence, consumer spending levels, employment levels, availability of consumer credit, recession, deflation, inflation, a general slowdown of the U.S. economy or an uncertain economic outlook.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risks associated with our business are more acute during periods of economic slowdown or recession. In addition to other consequences, these periods may be accompanied by decreased consumer spending generally, as well as decreased demand for, or additional downward pricing pressure on, the products carrying our brands.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8" w:name="page19"/>
    <w:bookmarkEnd w:id="18"/>
    <w:p>
      <w:pPr>
        <w:jc w:val="center"/>
        <w:ind w:right="-59"/>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combined voting power of the Common Stock ownership of our officers and directors and key employees is approximately 88% of our voting securities. Additionally, pursuant to the Voting Agreement, IM Ready agreed to appoint a person designated by the board of directors as IM Ready’s irrevocable proxy and attorney-in-fact with respect to the shares of the Common Stock received by IM Ready in connection with the Merger. The proxy holder shall vote in favor of matters recommended or approved by the board of directors.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 result, our management and key employees through such stock ownership exercises significant control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shareholders other than management.</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incurs increased costs as a result of being a public company, which may adversely affect its business.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a public company, we incur significant legal, accounting and other expenses that the Isaac Mizrahi Business did not incur as a private company. In addition, the Sarbanes-Oxley Act of 2002 and new rules subsequently implemented by the SEC have required changes in corporate governance practices of public companies. These rules and regulations create legal and financial compliance costs and make some activities more time consuming and costly than if we were private. For example, as a public company, the Company has adopted policies regarding internal controls and disclosure controls and procedures in order to comply with public company internal control and disclosure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reduce the market price of our Common Stock.</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publicly traded shares of our Common Stock are not initially widely held, and do not have significant trading volume, and therefore may experience significant price and volume fluctuations. This market volatility could reduce the market price of the Common Stock, regardless of our operating performance. In addition, the trading price of the Common Stock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6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b w:val="1"/>
          <w:bCs w:val="1"/>
          <w:i w:val="1"/>
          <w:iCs w:val="1"/>
          <w:color w:val="auto"/>
        </w:rPr>
        <w:t>We are subject to the penny stock rules adopted by the Securities and Exchange Commission that require brokers to provide extensive disclosure to their customers prior to executing trades in penny stocks. These disclosure requirements may cause a reduction in the trading activity of our Common Stock, which in all likelihood would make it difficult for our stockholders to sell their securities.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Rule 3a51-1 of the Securities Exchange Act of 1934 establishes the definition of a “penny stock,” for purposes relevant to us, as any equity security that has a minimum bid price of less than $5.00 per share or with an exercise price of less than $5.00 per share, subject to a limited number of exceptions which are not available to us. This classification would severely and adversely affect any market liquidity for our Common Stock.</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19" w:name="page20"/>
    <w:bookmarkEnd w:id="19"/>
    <w:p>
      <w:pPr>
        <w:ind w:right="580"/>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if and when our Common Stock becomes publicly traded. In addition, the liquidity for our Common Stock may decrease, with a corresponding decrease in the price of our Common Stock. Our Common Stock, in all probability, will be subject to such penny stock rules for the foreseeable future and our stockholders will, in all likelihood, find it difficult to sell their Common Stock.</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Future sales of Common Stock in the public market or the issuance of Common Stock or securities senior to the Common Stock could adversely affect the trading price of our Common Stock.</w:t>
      </w:r>
    </w:p>
    <w:p>
      <w:pPr>
        <w:spacing w:after="0" w:line="17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Our Certificate of Incorporation currently authorizes our board of directors to issue shares of Common Stock in excess of the Common Stock outstanding after this Offering. Any additional issuances of any of our authorized but unissued shares will not require the approval of stockholders and may have the effect of further diluting the equity interest of stockholders.</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may issue Common Stock in the future for a number of reasons, including to attract and retain key personnel, to lenders, investment banks, or investors in order to achieve more favorable terms from these parties and align their interests with our common equity holders, to management and/or employees to reward performance to finance our operations and growth strategy, to adjust our ratio of debt to equity, to satisfy outstanding obligations or for other reasons. If we issue securities, our existing stockholders may experience dilution. Future sales of the Common Stock, the perception that such sales could occur or the availability for future sale of shares of the Common Stock or securities convertible into or exercisable for our Common Stock could adversely affect the market prices of our Common Stock prevailing from time to time. The sale of shares issued upon the exercise of our derivative securities could also further dilute the holdings of our then existing stockholders, including holders of the convertible notes that receive shares of the Common Stock upon conversion of their notes. In addition, future public sales of shares of the Common Stock could impair our ability to raise capital by offering equity securities.</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as payment of our obligations under the Note and to satisfy obligations to IM Ready if royalty revenue targets are met.</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outstanding warrants and options to purchase 1,487,244 shares of common stock, of which warrants to purchase 794,928 shares are exercisable at a price of $0.01 per share.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 In addition, we may issue shares of common stock to satisfy up to $32,765,500 of earn-out payments to IM Ready if royalty revenue targets are met by the Isaac Mizrahi Business.</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may also satisfy our obligations under the $7,377,000 principal amount Seller Note payable to IM Ready by issuing shares of common stock. The number of shares which we issue to satisfy our earn-out payment obligations or obligations under the Note will be based on the future market price of our common stock and are currently net determinable. The issuance of shares to satisfy such obligations and upon exercise of outstanding warrants and options will dilute our then-existing stockholders’ percentage ownership of our company, and such dilution could be substantial. Sales or the potential for sale of a substantial number of such shares could adversely affect the market price of our common stock, particularly if our common stock remains thinly traded at such time.</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Common Stock is not currently traded at high volume, and you may be unable to sell at or near ask prices or at all if you need to sell or liquidate a substantial number of shares at one time.</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Common Stock is currently traded, but with very low, if any, volume, based on quotations on the “Over-the-Counter Pink Sheets”, meaning that the number of persons interested in purchasing our Common Stock at or near bid prices at any given time may be relatively small or non-existent. This situation is attributable to a number of factors, including the fact that prior to the Closing Date, we did not have an operating business, however, we are a small company which is still relatively unknown to stock analysts, stock brokers, institutional investors and others in the investment community that generate or influence sales volume, and that even if we came to the attention of such persons, they tend to be risk-averse and would be reluctant to follow an unproven company such as ours or purchase or recommend the purchase of our shares until such time as we became more seasoned and viable. As a consequence, there may be periods of several days or more when trading activity in our shares is minimal or non-existent, as compared to a seasoned issuer which has a large and steady volume of trading activity that will generally support continuous sales without an adverse effect on share price. We cannot give you any assurance that a broader or more active public trading market for our Common Stock will develop or be sustained, or that trading levels will be sustained.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140" w:gutter="0" w:footer="0" w:header="0"/>
        </w:sectPr>
      </w:pPr>
    </w:p>
    <w:bookmarkStart w:id="20" w:name="page21"/>
    <w:bookmarkEnd w:id="20"/>
    <w:p>
      <w:pPr>
        <w:ind w:right="80"/>
        <w:spacing w:after="0" w:line="289" w:lineRule="auto"/>
        <w:rPr>
          <w:sz w:val="20"/>
          <w:szCs w:val="20"/>
          <w:color w:val="auto"/>
        </w:rPr>
      </w:pPr>
      <w:r>
        <w:rPr>
          <w:rFonts w:ascii="Arial" w:cs="Arial" w:eastAsia="Arial" w:hAnsi="Arial"/>
          <w:sz w:val="16"/>
          <w:szCs w:val="16"/>
          <w:color w:val="auto"/>
        </w:rPr>
        <w:t>Stockholders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 The occurrence of these patterns or practices could increase the future volatility of our share price.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paying cash dividends on the Common Stock.</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You should not rely on an investment in our Common Stock to provide dividend income, as we currently do not plan to pay any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the Loan prohibits us from paying any cash dividends while it is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Certificate of Incorporate authorizes our board of directors to issue up to 1,000,000 shares of “blank check”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In addition, we intend to amend our Certificate of Incorporation to divide our board of directors into three classes, serving staggered three-year terms. Following such amendment, at least two annual meetings, instead of one, will be required to effect a change in a majority of our board of directors. The designation of preferred stock in the future, the classification of our board of directors, its three classes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Historically, the SEC has taken the position that Rule 144 under the Securities Act, as amended, is not available for the resale of securities initially issued by companies that are, or previously were, blank check companies like us,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October 2005, holders of “restricted securities” within the meaning of Rule 144, when reselling their shares pursuant to Rule 144, shall be subject to the conditions set forth herein.</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Property</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own any real property. We currently lease and maintain our corporate offices and operations located at 475 Tenth Avenue, New York, New York, 10018 in a commercial office building. We occupy one full floor out of fourteen. We believe that this space will be sufficient to meet our current operating needs.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no pending legal proceedings to which the Company is a party or in which, to the Company’s knowledge any director, officer or affiliate of the Company, any owner of record or beneficially of more than 5% of any class of voting securities of the Company, or security holder is a party adverse to the Company or has a material interest adverse to the Company. The Company’s property is not the subject of any pending legal proceedings.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840"/>
        <w:spacing w:after="0" w:line="503"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Small Business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common stock has been quoted on the Over-the Counter Bulletin Board ("OTCBB") under the trading symbol "NFBH" since March of 2001. On September 29, 2011, our name was changed from NetFabric Holdings, Inc. to Xcel Brands, Inc. and our stock symbol was changed from "NFBH" to “XELB”. Our common stock has been quoted on the OTC Markets under the ticker symbol “NFBH” since May 7, 2008 and under the ticker symbol “XELB” since November 9, 2011.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sets forth the range of quarterly high and low closing sales prices for our common stock for the 2011 and 2010. The quotations below reflect inter-dealer prices, without retail mark-up, mark-down or commission and may not represent actual transactions: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YEAR ENDED DECEMBER 31, 2011</w:t>
            </w:r>
          </w:p>
        </w:tc>
        <w:tc>
          <w:tcPr>
            <w:tcW w:w="2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First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26.04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18.23</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Third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2.60</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YEAR ENDED DECEMBER 31, 2010</w:t>
            </w:r>
          </w:p>
        </w:tc>
        <w:tc>
          <w:tcPr>
            <w:tcW w:w="28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First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Third Quarter</w:t>
            </w:r>
          </w:p>
        </w:tc>
        <w:tc>
          <w:tcPr>
            <w:tcW w:w="3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3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12.50</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23, 2012 the number of stockholders of record was approximately 486 (excluding beneficial owners and any shares held in street name or by nominees).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declared or paid any cash dividends on our common stock nor do we anticipate paying any in the foreseeable future. In addition, the Loan prohibits us from paying any cash dividends while it is outstanding. Furthermore, we expect to retain any future earnings to finance its operations and expansion. The payment of cash dividends in the future will be at the discretion of our Board of Directors and will depend upon our earnings levels, capital requirements, any restrictive loan covenants and other factors the Board considers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Stock Option Plan</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March 2005, our Board and stockholders adopted our 2005 Stock Option Plan, pursuant to which 17,289 shares of Common Stock, 9,000,000 shares on a pre-reverse split basis were reserved for issuance upon exercise of options. Our stock option plan is designed to serve as an incentive for retaining qualified and competent employees, directors and consultants. Our Board or a committee of our Board administers our stock option plan and is authorized, in its discretion, to grant options under our stock option plan to all eligible employees, including our officers, directors (whether or not employees) and consultants. We do not intend to grant any future awards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As of the Closing Date, the Company assumed the 2011 Equity Incentive Plan (the “Plan”) of Old XCel as approved by Old XCel’s board of directors and stockholders. The purpose of the Plan is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7" w:lineRule="exact"/>
        <w:rPr>
          <w:sz w:val="20"/>
          <w:szCs w:val="20"/>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018" w:gutter="0" w:footer="0" w:header="0"/>
        </w:sectPr>
      </w:pPr>
    </w:p>
    <w:bookmarkStart w:id="22" w:name="page23"/>
    <w:bookmarkEnd w:id="22"/>
    <w:p>
      <w:pPr>
        <w:ind w:left="660" w:right="2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total of 2,500,000 shares of Common Stock are eligible for issuance under the Plan, and the maximum number of shares of Common Stock with respect to which incentive stock options may be granted under the Plan is 2,000,000.</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spacing w:after="0" w:line="170" w:lineRule="exact"/>
        <w:rPr>
          <w:rFonts w:ascii="Arial" w:cs="Arial" w:eastAsia="Arial" w:hAnsi="Arial"/>
          <w:sz w:val="18"/>
          <w:szCs w:val="18"/>
          <w:color w:val="auto"/>
        </w:rPr>
      </w:pPr>
    </w:p>
    <w:p>
      <w:pPr>
        <w:ind w:left="660" w:right="20" w:hanging="328"/>
        <w:spacing w:after="0" w:line="30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154" w:lineRule="exact"/>
        <w:rPr>
          <w:rFonts w:ascii="Arial" w:cs="Arial" w:eastAsia="Arial" w:hAnsi="Arial"/>
          <w:sz w:val="16"/>
          <w:szCs w:val="16"/>
          <w:color w:val="auto"/>
        </w:rPr>
      </w:pPr>
    </w:p>
    <w:p>
      <w:pPr>
        <w:ind w:left="660" w:right="10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81"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6"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86"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92"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the Company issues stock-based compensation to its officers, directors, employees and consultants. The maximum term of options granted is generally 10 years and generally options vest over a period of one to four years. However, the Board of Directors of the Company may approve other vesting schedules. Options may be exercised in whole or in part. The exercise price of stock options granted is generally the fair market value of the Company's common stock as determined by the Board of Directors on the date of grant, considering factors such as the sale of stock, results of operations, and consideration of the fair value of comparable private companies in the industry.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each stock option award is estimated using a Black-Scholes option pricing model based on certain assumptions. The assumption for expected term is based on evaluations of expected future employee exercise behavior.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assumed a 0% dividend yield.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The following table sets forth information as of December 31, 2011 regarding compensation plans under which our equity securities are authorized for issuance.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74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300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Number of Securities</w:t>
            </w: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Future Issuance Under</w:t>
            </w:r>
          </w:p>
        </w:tc>
      </w:tr>
      <w:tr>
        <w:trPr>
          <w:trHeight w:val="216"/>
        </w:trPr>
        <w:tc>
          <w:tcPr>
            <w:tcW w:w="300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to be Issued Upon</w:t>
            </w:r>
          </w:p>
        </w:tc>
        <w:tc>
          <w:tcPr>
            <w:tcW w:w="440" w:type="dxa"/>
            <w:vAlign w:val="bottom"/>
          </w:tcPr>
          <w:p>
            <w:pPr>
              <w:spacing w:after="0"/>
              <w:rPr>
                <w:sz w:val="18"/>
                <w:szCs w:val="18"/>
                <w:color w:val="auto"/>
              </w:rPr>
            </w:pP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89"/>
              </w:rPr>
              <w:t>Weighted Average</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Equity Compensation</w:t>
            </w:r>
          </w:p>
        </w:tc>
      </w:tr>
      <w:tr>
        <w:trPr>
          <w:trHeight w:val="216"/>
        </w:trPr>
        <w:tc>
          <w:tcPr>
            <w:tcW w:w="300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Exercise of</w:t>
            </w:r>
          </w:p>
        </w:tc>
        <w:tc>
          <w:tcPr>
            <w:tcW w:w="440" w:type="dxa"/>
            <w:vAlign w:val="bottom"/>
          </w:tcPr>
          <w:p>
            <w:pPr>
              <w:spacing w:after="0"/>
              <w:rPr>
                <w:sz w:val="18"/>
                <w:szCs w:val="18"/>
                <w:color w:val="auto"/>
              </w:rPr>
            </w:pP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90"/>
              </w:rPr>
              <w:t>Exercise Price of</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Plans (Excluding</w:t>
            </w:r>
          </w:p>
        </w:tc>
      </w:tr>
      <w:tr>
        <w:trPr>
          <w:trHeight w:val="216"/>
        </w:trPr>
        <w:tc>
          <w:tcPr>
            <w:tcW w:w="300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Outstanding Options,</w:t>
            </w:r>
          </w:p>
        </w:tc>
        <w:tc>
          <w:tcPr>
            <w:tcW w:w="440" w:type="dxa"/>
            <w:vAlign w:val="bottom"/>
          </w:tcPr>
          <w:p>
            <w:pPr>
              <w:spacing w:after="0"/>
              <w:rPr>
                <w:sz w:val="18"/>
                <w:szCs w:val="18"/>
                <w:color w:val="auto"/>
              </w:rPr>
            </w:pP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91"/>
              </w:rPr>
              <w:t>Outstanding Options,</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Securities Reflected in</w:t>
            </w:r>
          </w:p>
        </w:tc>
      </w:tr>
      <w:tr>
        <w:trPr>
          <w:trHeight w:val="216"/>
        </w:trPr>
        <w:tc>
          <w:tcPr>
            <w:tcW w:w="300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Warrants and Rights</w:t>
            </w:r>
          </w:p>
        </w:tc>
        <w:tc>
          <w:tcPr>
            <w:tcW w:w="440" w:type="dxa"/>
            <w:vAlign w:val="bottom"/>
          </w:tcPr>
          <w:p>
            <w:pPr>
              <w:spacing w:after="0"/>
              <w:rPr>
                <w:sz w:val="18"/>
                <w:szCs w:val="18"/>
                <w:color w:val="auto"/>
              </w:rPr>
            </w:pP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88"/>
              </w:rPr>
              <w:t>Warrants and Rights</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Column (a))</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Plan Category</w:t>
            </w:r>
          </w:p>
        </w:tc>
        <w:tc>
          <w:tcPr>
            <w:tcW w:w="27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w:t>
            </w:r>
          </w:p>
        </w:tc>
        <w:tc>
          <w:tcPr>
            <w:tcW w:w="440" w:type="dxa"/>
            <w:vAlign w:val="bottom"/>
          </w:tcPr>
          <w:p>
            <w:pPr>
              <w:spacing w:after="0"/>
              <w:rPr>
                <w:sz w:val="20"/>
                <w:szCs w:val="20"/>
                <w:color w:val="auto"/>
              </w:rPr>
            </w:pPr>
          </w:p>
        </w:tc>
        <w:tc>
          <w:tcPr>
            <w:tcW w:w="2520" w:type="dxa"/>
            <w:vAlign w:val="bottom"/>
          </w:tcPr>
          <w:p>
            <w:pPr>
              <w:jc w:val="center"/>
              <w:ind w:right="450"/>
              <w:spacing w:after="0"/>
              <w:rPr>
                <w:sz w:val="20"/>
                <w:szCs w:val="20"/>
                <w:color w:val="auto"/>
              </w:rPr>
            </w:pPr>
            <w:r>
              <w:rPr>
                <w:rFonts w:ascii="Arial" w:cs="Arial" w:eastAsia="Arial" w:hAnsi="Arial"/>
                <w:sz w:val="18"/>
                <w:szCs w:val="18"/>
                <w:color w:val="auto"/>
                <w:w w:val="99"/>
              </w:rPr>
              <w:t>(b)</w:t>
            </w:r>
          </w:p>
        </w:tc>
        <w:tc>
          <w:tcPr>
            <w:tcW w:w="27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(c)</w:t>
            </w:r>
          </w:p>
        </w:tc>
      </w:tr>
      <w:tr>
        <w:trPr>
          <w:trHeight w:val="216"/>
        </w:trPr>
        <w:tc>
          <w:tcPr>
            <w:tcW w:w="3000" w:type="dxa"/>
            <w:vAlign w:val="bottom"/>
            <w:shd w:val="clear" w:color="auto" w:fill="CCFFCC"/>
          </w:tcPr>
          <w:p>
            <w:pPr>
              <w:spacing w:after="0"/>
              <w:rPr>
                <w:sz w:val="20"/>
                <w:szCs w:val="20"/>
                <w:color w:val="auto"/>
              </w:rPr>
            </w:pPr>
            <w:r>
              <w:rPr>
                <w:rFonts w:ascii="Arial" w:cs="Arial" w:eastAsia="Arial" w:hAnsi="Arial"/>
                <w:sz w:val="18"/>
                <w:szCs w:val="18"/>
                <w:color w:val="auto"/>
              </w:rPr>
              <w:t>Equity Compensation Plans(1)</w:t>
            </w:r>
          </w:p>
        </w:tc>
        <w:tc>
          <w:tcPr>
            <w:tcW w:w="27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576</w:t>
            </w:r>
          </w:p>
        </w:tc>
        <w:tc>
          <w:tcPr>
            <w:tcW w:w="4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25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728.77</w:t>
            </w:r>
          </w:p>
        </w:tc>
        <w:tc>
          <w:tcPr>
            <w:tcW w:w="2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Equity compensation Plans (2)</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267,125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jc w:val="right"/>
              <w:ind w:right="130"/>
              <w:spacing w:after="0"/>
              <w:rPr>
                <w:sz w:val="20"/>
                <w:szCs w:val="20"/>
                <w:color w:val="auto"/>
              </w:rPr>
            </w:pPr>
            <w:r>
              <w:rPr>
                <w:rFonts w:ascii="Arial" w:cs="Arial" w:eastAsia="Arial" w:hAnsi="Arial"/>
                <w:sz w:val="18"/>
                <w:szCs w:val="18"/>
                <w:color w:val="auto"/>
              </w:rPr>
              <w:t>5.00</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2,215,750</w:t>
            </w:r>
          </w:p>
        </w:tc>
        <w:tc>
          <w:tcPr>
            <w:tcW w:w="20" w:type="dxa"/>
            <w:vAlign w:val="bottom"/>
          </w:tcPr>
          <w:p>
            <w:pPr>
              <w:spacing w:after="0"/>
              <w:rPr>
                <w:sz w:val="18"/>
                <w:szCs w:val="18"/>
                <w:color w:val="auto"/>
              </w:rPr>
            </w:pPr>
          </w:p>
        </w:tc>
      </w:tr>
      <w:tr>
        <w:trPr>
          <w:trHeight w:val="250"/>
        </w:trPr>
        <w:tc>
          <w:tcPr>
            <w:tcW w:w="3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267,701</w:t>
            </w:r>
          </w:p>
        </w:tc>
        <w:tc>
          <w:tcPr>
            <w:tcW w:w="120" w:type="dxa"/>
            <w:vAlign w:val="bottom"/>
            <w:tcBorders>
              <w:bottom w:val="single" w:sz="8" w:color="CCFFCC"/>
            </w:tcBorders>
            <w:shd w:val="clear" w:color="auto" w:fill="CCFFCC"/>
          </w:tcPr>
          <w:p>
            <w:pPr>
              <w:spacing w:after="0"/>
              <w:rPr>
                <w:sz w:val="21"/>
                <w:szCs w:val="21"/>
                <w:color w:val="auto"/>
              </w:rPr>
            </w:pPr>
          </w:p>
        </w:tc>
        <w:tc>
          <w:tcPr>
            <w:tcW w:w="440" w:type="dxa"/>
            <w:vAlign w:val="bottom"/>
            <w:tcBorders>
              <w:bottom w:val="single" w:sz="8" w:color="CCFFCC"/>
            </w:tcBorders>
            <w:shd w:val="clear" w:color="auto" w:fill="CCFFCC"/>
          </w:tcPr>
          <w:p>
            <w:pPr>
              <w:spacing w:after="0"/>
              <w:rPr>
                <w:sz w:val="21"/>
                <w:szCs w:val="21"/>
                <w:color w:val="auto"/>
              </w:rPr>
            </w:pPr>
          </w:p>
        </w:tc>
        <w:tc>
          <w:tcPr>
            <w:tcW w:w="2520" w:type="dxa"/>
            <w:vAlign w:val="bottom"/>
            <w:tcBorders>
              <w:bottom w:val="single" w:sz="8" w:color="CCFFCC"/>
            </w:tcBorders>
            <w:shd w:val="clear" w:color="auto" w:fill="CCFFCC"/>
          </w:tcPr>
          <w:p>
            <w:pPr>
              <w:spacing w:after="0"/>
              <w:rPr>
                <w:sz w:val="21"/>
                <w:szCs w:val="21"/>
                <w:color w:val="auto"/>
              </w:rPr>
            </w:pPr>
          </w:p>
        </w:tc>
        <w:tc>
          <w:tcPr>
            <w:tcW w:w="27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2,215,750</w:t>
            </w:r>
          </w:p>
        </w:tc>
        <w:tc>
          <w:tcPr>
            <w:tcW w:w="20" w:type="dxa"/>
            <w:vAlign w:val="bottom"/>
          </w:tcPr>
          <w:p>
            <w:pPr>
              <w:spacing w:after="0"/>
              <w:rPr>
                <w:sz w:val="21"/>
                <w:szCs w:val="21"/>
                <w:color w:val="auto"/>
              </w:rPr>
            </w:pPr>
          </w:p>
        </w:tc>
      </w:tr>
    </w:tbl>
    <w:p>
      <w:pPr>
        <w:spacing w:after="0" w:line="202"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our 2005 Stock Option Plan. We do not intend to issue any further grants from this plan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Pursuant to our 2011 Equity Incentive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Safe Harbor Statement under the Private Securities Litigation Reform Act of 1995 </w:t>
      </w:r>
      <w:r>
        <w:rPr>
          <w:rFonts w:ascii="Arial" w:cs="Arial" w:eastAsia="Arial" w:hAnsi="Arial"/>
          <w:sz w:val="18"/>
          <w:szCs w:val="18"/>
          <w:color w:val="auto"/>
        </w:rPr>
        <w:t>. The statements that are not historical facts contained in this report are</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 looking statements. These risks are detailed in Risk Section of this Form 10-K. The words “believe”, “anticipate,” “expect”, “confident”, “project”, “provide”, “plan”, “likely”, “future”, “ongoing”, “intend”, may”, should”, would”, “could”, “guidance” and similar expressions identify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September 29, 2011 (the “Closing Date”), the Company acquired the Isaac Mizrahi Business in connection with the Merger and the Short Form Merger (collectively, the “Transaction”). The Company engages in the design, licensing, and marketing of the Isaac Mizrahi brand with a focus on a variety of product categories featuring the Isaac Mizrahi Brand. The Company operates in a “working capital light” business model, licensing the Isaac Mizrahi Brands through its wholly-owned subsidiary IM Brands and generating royalty and design revenues through licensing and other agreements with wholesale manufacturers, sourcing and design companies, and retailers. Prior to our acquisition of the Isaac Mizrahi Business, the business was a division of IM Ready.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our consolidated financial statements and related notes included elsewhere in this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and related notes included elsewhere in this Form 10-K are as of, or for, one of two periods, the Company (the “Successor”) that consists of the period following the closing date of the Transaction (the “Closing Date”) (September 29, 2011) and of the Isaac Mizrahi Business (the “Predecessor”) for the periods prior to the Closing Date. All statements related to calendar year 2010 are considered Predecessor periods. For calendar year 2011 the consolidated statements of operations, consolidated statements of cash flows and statement of stockholders equity are presented for the Predecessor period prior to the Closing Date (January 1, 2011 to September 28, 2011), and for the Successor period including and following the Closing Date (September 29, 2011 to December 31, 2011).</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We review all significant estimates affecting the financial statements on a recurring basis and record the effect of any adjustments when necessary.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In connection with our licensing model, we have entered into various trademark license agreements that provide revenues based on minimum royalties and additional revenues based on a percentage of defined sales. Minimum royalty revenue is recognized on a straight-line basis over each period, as defined, in each license agreement. Royalties exceeding the defined minimum amounts are recognized as income during the period corresponding to the licensee's sales. Design service fees are recorded and recognized in accordance with the terms and conditions of each design fee contract, including the Isaac Mizrahi Business meeting its obligations and providing the relevant services under each contract. Generally this is recording on a straight line basis each base fee as stated in each design fee service agreement for the covered period and, if applicable recognizing additional payments in the period that it applies to. The rationale for recording design service fee income on the straight-line is based on annual even fixed payments.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stock-based compensation in accordance with ASC Topic 718 by recognizing the fair value of stock-based compensation in the consolidated statement of operations. The fair value of the Company’s stock option awards are estimated using a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Other significant accounting policies are summarized in Note 2 of Notes to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discussion and analysis of our financial condition and result of operations is based on the consolidated financial statements and related notes included elsewhere in this Form 10-K, consisting of the Company (the “Successor”) for the period including and following the Closing Date (September 29, 2011) and of the Isaac Mizrahi Business (the “Predecessor”) for the periods prior to the Closing Date. All references to calendar year 2010 and the period January 1, 2011 to September 28, 2011are considered Predecessor periods. The period September 29, 2011 to December 31, 2011 are considered Successor periods.</w:t>
      </w:r>
    </w:p>
    <w:p>
      <w:pPr>
        <w:spacing w:after="0" w:line="154" w:lineRule="exact"/>
        <w:rPr>
          <w:sz w:val="20"/>
          <w:szCs w:val="20"/>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had a net loss of $0.869 million for the period from September 29, 2011 to December 31, 2011. The Predecessor had net income $4.173 million and $4.627 million for the period January 1, 2011 to September 28, 2011 and the year ended December 31, 2010, respectively.</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had an operating loss of $0.513 million for the period from September 29, 2011 to December 31, 2011. The Predecessor had operating income of $4.348 million and $4.847 million for the period January 1, 2011 to September 28, 2011 and the year ended December 31, 2010, respectively.</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 additional discussion is presented for the comparison of results from operations of 2011 unaudited pro-forma and results from operations of 2010 unaudited pro-forma for the year ended December 31, 2010.</w:t>
      </w:r>
    </w:p>
    <w:p>
      <w:pPr>
        <w:spacing w:after="0" w:line="170"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presents pro-forma net income of $1.172 million and $1.418 million for the years ended December 31, 2011 and December 31, 2010, respectively.</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presents pro-forma operating income of $3.939 million and $4.318 million the years ended December 31, 2011 and December 31, 2010,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Consolidated Statement of Operations (Successor Period)</w:t>
      </w:r>
    </w:p>
    <w:p>
      <w:pPr>
        <w:spacing w:after="0" w:line="225" w:lineRule="exact"/>
        <w:rPr>
          <w:sz w:val="20"/>
          <w:szCs w:val="20"/>
          <w:color w:val="auto"/>
        </w:rPr>
      </w:pPr>
    </w:p>
    <w:p>
      <w:pPr>
        <w:jc w:val="both"/>
        <w:spacing w:after="0" w:line="248" w:lineRule="auto"/>
        <w:rPr>
          <w:sz w:val="20"/>
          <w:szCs w:val="20"/>
          <w:color w:val="auto"/>
        </w:rPr>
      </w:pPr>
      <w:r>
        <w:rPr>
          <w:rFonts w:ascii="Arial" w:cs="Arial" w:eastAsia="Arial" w:hAnsi="Arial"/>
          <w:sz w:val="17"/>
          <w:szCs w:val="17"/>
          <w:i w:val="1"/>
          <w:iCs w:val="1"/>
          <w:color w:val="auto"/>
        </w:rPr>
        <w:t xml:space="preserve">Licensing and Other Revenue. </w:t>
      </w:r>
      <w:r>
        <w:rPr>
          <w:rFonts w:ascii="Arial" w:cs="Arial" w:eastAsia="Arial" w:hAnsi="Arial"/>
          <w:sz w:val="17"/>
          <w:szCs w:val="17"/>
          <w:color w:val="auto"/>
        </w:rPr>
        <w:t>Licensing and design fee revenue for the period September 29, 2011 to December 31, 2011 (the “Successor Period”) was</w:t>
      </w:r>
      <w:r>
        <w:rPr>
          <w:rFonts w:ascii="Arial" w:cs="Arial" w:eastAsia="Arial" w:hAnsi="Arial"/>
          <w:sz w:val="17"/>
          <w:szCs w:val="17"/>
          <w:i w:val="1"/>
          <w:iCs w:val="1"/>
          <w:color w:val="auto"/>
        </w:rPr>
        <w:t xml:space="preserve"> </w:t>
      </w:r>
      <w:r>
        <w:rPr>
          <w:rFonts w:ascii="Arial" w:cs="Arial" w:eastAsia="Arial" w:hAnsi="Arial"/>
          <w:sz w:val="17"/>
          <w:szCs w:val="17"/>
          <w:color w:val="auto"/>
        </w:rPr>
        <w:t>$2.898 million. The Company incurred direct licensing costs consisting of royalty participation and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party commissions of $0.252, resulting in net licensing and design revenues of $2.646 million. Revenues from QVC for the Successor Period were $1.936 million, or 67% of revenues. Revenues from LCNY Agreement and the Design Agreement for the Successor Period were $0.383 million and $0.282 million, or 13% and 10% of revenues, respectively. Revenues from new license agreements for the Successor Period were $0.297 million, or 10% of revenues.</w:t>
      </w:r>
    </w:p>
    <w:p>
      <w:pPr>
        <w:spacing w:after="0" w:line="1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Operating and Marketing Costs. </w:t>
      </w:r>
      <w:r>
        <w:rPr>
          <w:rFonts w:ascii="Arial" w:cs="Arial" w:eastAsia="Arial" w:hAnsi="Arial"/>
          <w:sz w:val="16"/>
          <w:szCs w:val="16"/>
          <w:color w:val="auto"/>
        </w:rPr>
        <w:t>Operating and marketing costs for the Successor Period was $1.010 million. The bulk of these costs were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design and marketing staff of approximately $0.887 million. Other operating costs of $0.123 million consisted of supplies, marketing and appearances.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 for the Successor Period was $0.910 million. These costs consisted of $0.393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and administrative compensation, $0.145 million of rent expense, $0.078 million professional fees and $0.294 million of other general expenses.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ind w:right="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Successor Period was $0.211 million. Depreciation expense was $0.76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of intangibles was $0.135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For the Successor Period, the Company incurred $0.530 million in stock based compensation and $0.498 million in acquisition and due</w:t>
      </w:r>
      <w:r>
        <w:rPr>
          <w:rFonts w:ascii="Arial" w:cs="Arial" w:eastAsia="Arial" w:hAnsi="Arial"/>
          <w:sz w:val="18"/>
          <w:szCs w:val="18"/>
          <w:i w:val="1"/>
          <w:iCs w:val="1"/>
          <w:color w:val="auto"/>
        </w:rPr>
        <w:t xml:space="preserve"> </w:t>
      </w:r>
      <w:r>
        <w:rPr>
          <w:rFonts w:ascii="Arial" w:cs="Arial" w:eastAsia="Arial" w:hAnsi="Arial"/>
          <w:sz w:val="18"/>
          <w:szCs w:val="18"/>
          <w:color w:val="auto"/>
        </w:rPr>
        <w:t>diligence related expenses. The stock based compensation includes an issuance of stock to a former Director valued at $0.158 million and $0.372 million to executives and directors. The acquisition and due diligence expenses were related to the acquisition of the Isaac Mizrahi brand, and are not expected to be recurring.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Interest and other finance costs. </w:t>
      </w:r>
      <w:r>
        <w:rPr>
          <w:rFonts w:ascii="Arial" w:cs="Arial" w:eastAsia="Arial" w:hAnsi="Arial"/>
          <w:sz w:val="18"/>
          <w:szCs w:val="18"/>
          <w:color w:val="auto"/>
        </w:rPr>
        <w:t>For the Successor Period, the Company incurred interest expense from debt of $0.296 million and other interest and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of $0.253 million. Other interest and finance costs consist $0.127 million of amortization of the discounted Seller Note, $0.058 million amortization of Lender Warrants discount, $0.025 million of amortized other imputed interest, $.01 million Seller Note interest and $0.033 million of amortization of deferred finance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For the Successor Period, the Company earned $3,000 in 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For the Successor Period, the Company had a deferred net tax benefit of $190,000.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year ended 2011 compared with year ended 2010</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following tables present unaudited pro-forma information presents a summary of the Company’s consolidated results of operations for the years ended December 31, 2011 and 2010, respectively, as if the acquisition of the Isaac Mizrahi Business and the related financing had occurred on January 1,</w:t>
      </w:r>
    </w:p>
    <w:p>
      <w:pPr>
        <w:ind w:right="540"/>
        <w:spacing w:after="0" w:line="261" w:lineRule="auto"/>
        <w:rPr>
          <w:sz w:val="20"/>
          <w:szCs w:val="20"/>
          <w:color w:val="auto"/>
        </w:rPr>
      </w:pPr>
      <w:r>
        <w:rPr>
          <w:rFonts w:ascii="Arial" w:cs="Arial" w:eastAsia="Arial" w:hAnsi="Arial"/>
          <w:sz w:val="18"/>
          <w:szCs w:val="18"/>
          <w:color w:val="auto"/>
        </w:rPr>
        <w:t>2010. These pro-forma results have been prepared for comparative purposes only and do not purport to be indicative of the results of operations which actually would have occurred on January 1, 2010, or which may result in the future.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Pro-forma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Successor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Predecessor</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4"/>
              </w:rPr>
              <w:t>Period From</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2"/>
              </w:rPr>
              <w:t>Period From</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Pro-forma Year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September 29,</w:t>
            </w:r>
          </w:p>
        </w:tc>
        <w:tc>
          <w:tcPr>
            <w:tcW w:w="80" w:type="dxa"/>
            <w:vAlign w:val="bottom"/>
          </w:tcPr>
          <w:p>
            <w:pPr>
              <w:spacing w:after="0"/>
              <w:rPr>
                <w:sz w:val="18"/>
                <w:szCs w:val="18"/>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January 1, 2011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2011 through</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through</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28,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2011[1]</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Adjustments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2011[1]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Licensing &amp; design revenues</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11,627,000</w:t>
            </w:r>
          </w:p>
        </w:tc>
        <w:tc>
          <w:tcPr>
            <w:tcW w:w="280" w:type="dxa"/>
            <w:vAlign w:val="bottom"/>
            <w:shd w:val="clear" w:color="auto" w:fill="CCFFCC"/>
          </w:tcPr>
          <w:p>
            <w:pPr>
              <w:spacing w:after="0"/>
              <w:rPr>
                <w:sz w:val="18"/>
                <w:szCs w:val="18"/>
                <w:color w:val="auto"/>
              </w:rPr>
            </w:pP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2,898,000</w:t>
            </w:r>
          </w:p>
        </w:tc>
        <w:tc>
          <w:tcPr>
            <w:tcW w:w="120" w:type="dxa"/>
            <w:vAlign w:val="bottom"/>
            <w:shd w:val="clear" w:color="auto" w:fill="CCFFCC"/>
          </w:tcPr>
          <w:p>
            <w:pPr>
              <w:spacing w:after="0"/>
              <w:rPr>
                <w:sz w:val="18"/>
                <w:szCs w:val="18"/>
                <w:color w:val="auto"/>
              </w:rPr>
            </w:pP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Direct licensing costs</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Net licensing &amp; design revenues</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11,375,000</w:t>
            </w:r>
          </w:p>
        </w:tc>
        <w:tc>
          <w:tcPr>
            <w:tcW w:w="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2,646,000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Operating and marketing</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3,796,000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2,786,000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2,294,000</w:t>
            </w:r>
          </w:p>
        </w:tc>
        <w:tc>
          <w:tcPr>
            <w:tcW w:w="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910,000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530,000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816,000[2]</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394,000</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211,000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Acquisition and due diligence costs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(498,000)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Expenses</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7,436,000</w:t>
            </w:r>
          </w:p>
        </w:tc>
        <w:tc>
          <w:tcPr>
            <w:tcW w:w="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(104,000)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3,159,000</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4,381,000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74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3,939,000</w:t>
            </w:r>
          </w:p>
        </w:tc>
        <w:tc>
          <w:tcPr>
            <w:tcW w:w="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104,000</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(513,000)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4,348,000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74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(expenses)</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Interest expenses – term debt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(1,148,000)[4]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(852,000)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(296,000)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interest and finance costs</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(1,000,000)[4]</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(747,000)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(253,000)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12,000[4]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7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other income (expenses)</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(2,136,000)</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(1,590,000)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(546,000)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74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before income tax provision</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1,803,000</w:t>
            </w:r>
          </w:p>
        </w:tc>
        <w:tc>
          <w:tcPr>
            <w:tcW w:w="2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(1,486,000)</w:t>
            </w: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(1,059,000)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4,348,000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 (benefit)</w:t>
            </w:r>
          </w:p>
        </w:tc>
        <w:tc>
          <w:tcPr>
            <w:tcW w:w="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631,000[5]</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646,000</w:t>
            </w: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3740" w:type="dxa"/>
            <w:vAlign w:val="bottom"/>
            <w:tcBorders>
              <w:top w:val="single" w:sz="8" w:color="CCFFCC"/>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80" w:type="dxa"/>
            <w:vAlign w:val="bottom"/>
            <w:vMerge w:val="continue"/>
          </w:tcPr>
          <w:p>
            <w:pPr>
              <w:spacing w:after="0"/>
              <w:rPr>
                <w:sz w:val="22"/>
                <w:szCs w:val="22"/>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1,172,000</w:t>
            </w:r>
          </w:p>
        </w:tc>
        <w:tc>
          <w:tcPr>
            <w:tcW w:w="280" w:type="dxa"/>
            <w:vAlign w:val="bottom"/>
            <w:shd w:val="clear" w:color="auto" w:fill="CCFFCC"/>
          </w:tcPr>
          <w:p>
            <w:pPr>
              <w:spacing w:after="0"/>
              <w:rPr>
                <w:sz w:val="22"/>
                <w:szCs w:val="22"/>
                <w:color w:val="auto"/>
              </w:rPr>
            </w:pPr>
          </w:p>
        </w:tc>
        <w:tc>
          <w:tcPr>
            <w:tcW w:w="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(2,132,000)</w:t>
            </w: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(869,000)</w:t>
            </w:r>
          </w:p>
        </w:tc>
        <w:tc>
          <w:tcPr>
            <w:tcW w:w="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4,173,000</w:t>
            </w:r>
          </w:p>
        </w:tc>
        <w:tc>
          <w:tcPr>
            <w:tcW w:w="100" w:type="dxa"/>
            <w:vAlign w:val="bottom"/>
            <w:shd w:val="clear" w:color="auto" w:fill="CCFFCC"/>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0" w:type="dxa"/>
            <w:vAlign w:val="bottom"/>
            <w:vMerge w:val="restart"/>
          </w:tcPr>
          <w:p>
            <w:pPr>
              <w:spacing w:after="0"/>
              <w:rPr>
                <w:sz w:val="17"/>
                <w:szCs w:val="17"/>
                <w:color w:val="auto"/>
              </w:rPr>
            </w:pPr>
          </w:p>
        </w:tc>
        <w:tc>
          <w:tcPr>
            <w:tcW w:w="3740" w:type="dxa"/>
            <w:vAlign w:val="bottom"/>
            <w:tcBorders>
              <w:top w:val="single" w:sz="8" w:color="CCFFCC"/>
            </w:tcBorders>
          </w:tcPr>
          <w:p>
            <w:pPr>
              <w:spacing w:after="0"/>
              <w:rPr>
                <w:sz w:val="17"/>
                <w:szCs w:val="17"/>
                <w:color w:val="auto"/>
              </w:rPr>
            </w:pPr>
          </w:p>
        </w:tc>
        <w:tc>
          <w:tcPr>
            <w:tcW w:w="42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37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 average number of common shares</w:t>
            </w:r>
          </w:p>
        </w:tc>
        <w:tc>
          <w:tcPr>
            <w:tcW w:w="4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outstanding</w:t>
            </w:r>
          </w:p>
        </w:tc>
        <w:tc>
          <w:tcPr>
            <w:tcW w:w="4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Basic:</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5,750,259</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74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Fully dilutive:</w:t>
            </w:r>
          </w:p>
        </w:tc>
        <w:tc>
          <w:tcPr>
            <w:tcW w:w="42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12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6,542,690</w:t>
            </w:r>
          </w:p>
        </w:tc>
        <w:tc>
          <w:tcPr>
            <w:tcW w:w="28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40" w:type="dxa"/>
            <w:vAlign w:val="bottom"/>
            <w:tcBorders>
              <w:bottom w:val="single" w:sz="8" w:color="CCFFCC"/>
            </w:tcBorders>
            <w:shd w:val="clear" w:color="auto" w:fill="CCFFCC"/>
          </w:tcPr>
          <w:p>
            <w:pPr>
              <w:spacing w:after="0"/>
              <w:rPr>
                <w:sz w:val="20"/>
                <w:szCs w:val="20"/>
                <w:color w:val="auto"/>
              </w:rPr>
            </w:pPr>
          </w:p>
        </w:tc>
        <w:tc>
          <w:tcPr>
            <w:tcW w:w="12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2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3740" w:type="dxa"/>
            <w:vAlign w:val="bottom"/>
          </w:tcPr>
          <w:p>
            <w:pPr>
              <w:spacing w:after="0" w:line="196" w:lineRule="exact"/>
              <w:rPr>
                <w:sz w:val="20"/>
                <w:szCs w:val="20"/>
                <w:color w:val="auto"/>
              </w:rPr>
            </w:pPr>
            <w:r>
              <w:rPr>
                <w:rFonts w:ascii="Arial" w:cs="Arial" w:eastAsia="Arial" w:hAnsi="Arial"/>
                <w:sz w:val="18"/>
                <w:szCs w:val="18"/>
                <w:color w:val="auto"/>
              </w:rPr>
              <w:t>Basic earnings per share</w:t>
            </w: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0.20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374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Fully diluted earnings per share</w:t>
            </w:r>
          </w:p>
        </w:tc>
        <w:tc>
          <w:tcPr>
            <w:tcW w:w="520" w:type="dxa"/>
            <w:vAlign w:val="bottom"/>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line="196" w:lineRule="exact"/>
              <w:rPr>
                <w:sz w:val="20"/>
                <w:szCs w:val="20"/>
                <w:color w:val="auto"/>
              </w:rPr>
            </w:pPr>
            <w:r>
              <w:rPr>
                <w:rFonts w:ascii="Arial" w:cs="Arial" w:eastAsia="Arial" w:hAnsi="Arial"/>
                <w:sz w:val="18"/>
                <w:szCs w:val="18"/>
                <w:color w:val="auto"/>
              </w:rPr>
              <w:t>0.18</w:t>
            </w:r>
          </w:p>
        </w:tc>
        <w:tc>
          <w:tcPr>
            <w:tcW w:w="28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2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2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3740" w:type="dxa"/>
            <w:vAlign w:val="bottom"/>
            <w:tcBorders>
              <w:top w:val="single" w:sz="8" w:color="CCFFCC"/>
              <w:bottom w:val="single" w:sz="8" w:color="auto"/>
            </w:tcBorders>
          </w:tcPr>
          <w:p>
            <w:pPr>
              <w:spacing w:after="0"/>
              <w:rPr>
                <w:sz w:val="24"/>
                <w:szCs w:val="24"/>
                <w:color w:val="auto"/>
              </w:rPr>
            </w:pPr>
          </w:p>
        </w:tc>
        <w:tc>
          <w:tcPr>
            <w:tcW w:w="42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120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6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22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80" w:type="dxa"/>
            <w:vAlign w:val="bottom"/>
            <w:tcBorders>
              <w:top w:val="single" w:sz="8" w:color="CCFFCC"/>
              <w:bottom w:val="single" w:sz="8" w:color="auto"/>
            </w:tcBorders>
          </w:tcPr>
          <w:p>
            <w:pPr>
              <w:spacing w:after="0"/>
              <w:rPr>
                <w:sz w:val="24"/>
                <w:szCs w:val="24"/>
                <w:color w:val="auto"/>
              </w:rPr>
            </w:pPr>
          </w:p>
        </w:tc>
        <w:tc>
          <w:tcPr>
            <w:tcW w:w="124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3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[1] The December 31, 2011 and December 31, 2010 pro-forma statements assumes for the Predecessor Periods that the Isaac Mizrahi Business was</w:t>
      </w:r>
    </w:p>
    <w:p>
      <w:pPr>
        <w:spacing w:after="0" w:line="46" w:lineRule="exact"/>
        <w:rPr>
          <w:sz w:val="20"/>
          <w:szCs w:val="20"/>
          <w:color w:val="auto"/>
        </w:rPr>
      </w:pPr>
    </w:p>
    <w:p>
      <w:pPr>
        <w:jc w:val="both"/>
        <w:ind w:right="340"/>
        <w:spacing w:after="0" w:line="234" w:lineRule="auto"/>
        <w:rPr>
          <w:sz w:val="20"/>
          <w:szCs w:val="20"/>
          <w:color w:val="auto"/>
        </w:rPr>
      </w:pPr>
      <w:r>
        <w:rPr>
          <w:rFonts w:ascii="Arial" w:cs="Arial" w:eastAsia="Arial" w:hAnsi="Arial"/>
          <w:sz w:val="16"/>
          <w:szCs w:val="16"/>
          <w:color w:val="auto"/>
        </w:rPr>
        <w:t>operated under the structure of the Predecessor. This includes (1) Earthbound acting as a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party servicer, (2) royalty revenues including amortization of deferred revenue (discussed under the caption “Trend Information Discussion”) and (3) amortization of prepaid expenses relating to the deferred revenue.</w:t>
      </w:r>
    </w:p>
    <w:p>
      <w:pPr>
        <w:spacing w:after="0" w:line="2" w:lineRule="exact"/>
        <w:rPr>
          <w:sz w:val="20"/>
          <w:szCs w:val="20"/>
          <w:color w:val="auto"/>
        </w:rPr>
      </w:pPr>
    </w:p>
    <w:p>
      <w:pPr>
        <w:ind w:left="920" w:hanging="264"/>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2011.</w:t>
      </w:r>
    </w:p>
    <w:p>
      <w:pPr>
        <w:spacing w:after="0" w:line="210" w:lineRule="exact"/>
        <w:rPr>
          <w:rFonts w:ascii="Arial" w:cs="Arial" w:eastAsia="Arial" w:hAnsi="Arial"/>
          <w:sz w:val="18"/>
          <w:szCs w:val="18"/>
          <w:color w:val="auto"/>
        </w:rPr>
      </w:pPr>
    </w:p>
    <w:p>
      <w:pPr>
        <w:ind w:right="580" w:firstLine="656"/>
        <w:spacing w:after="0" w:line="258"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adjustment eliminates non-recurring expenses relating to the acquisition of the Isaac Mizrahi Business. These expenses would not be typically incurred in the operations of the Company.</w:t>
      </w:r>
    </w:p>
    <w:p>
      <w:pPr>
        <w:spacing w:after="0" w:line="1" w:lineRule="exact"/>
        <w:rPr>
          <w:rFonts w:ascii="Arial" w:cs="Arial" w:eastAsia="Arial" w:hAnsi="Arial"/>
          <w:sz w:val="18"/>
          <w:szCs w:val="18"/>
          <w:color w:val="auto"/>
        </w:rPr>
      </w:pPr>
    </w:p>
    <w:p>
      <w:pPr>
        <w:ind w:right="120" w:firstLine="656"/>
        <w:spacing w:after="0" w:line="250" w:lineRule="auto"/>
        <w:tabs>
          <w:tab w:leader="none" w:pos="903"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January 1, 2011.</w:t>
      </w:r>
    </w:p>
    <w:p>
      <w:pPr>
        <w:ind w:left="1000" w:hanging="344"/>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35% income tax rate.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Pro-forma Consolidated Statements of Operations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5"/>
              </w:rPr>
              <w:t>Pro-forma Year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Predecessor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 (1)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Adjustments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 (1)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Licensing &amp; design revenues</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9,796,000</w:t>
            </w:r>
          </w:p>
        </w:tc>
        <w:tc>
          <w:tcPr>
            <w:tcW w:w="28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9,796,000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Operating and marketing</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3,143,000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1,523,000</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1,523,000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812,000[2]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529,000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Total Expenses</w:t>
            </w:r>
          </w:p>
        </w:tc>
        <w:tc>
          <w:tcPr>
            <w:tcW w:w="64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4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5,478,000</w:t>
            </w:r>
          </w:p>
        </w:tc>
        <w:tc>
          <w:tcPr>
            <w:tcW w:w="2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529,000</w:t>
            </w:r>
          </w:p>
        </w:tc>
        <w:tc>
          <w:tcPr>
            <w:tcW w:w="80" w:type="dxa"/>
            <w:vAlign w:val="bottom"/>
            <w:tcBorders>
              <w:bottom w:val="single" w:sz="8" w:color="CCFFCC"/>
            </w:tcBorders>
            <w:shd w:val="clear" w:color="auto" w:fill="CCFFCC"/>
          </w:tcPr>
          <w:p>
            <w:pPr>
              <w:spacing w:after="0"/>
              <w:rPr>
                <w:sz w:val="18"/>
                <w:szCs w:val="18"/>
                <w:color w:val="auto"/>
              </w:rPr>
            </w:pPr>
          </w:p>
        </w:tc>
        <w:tc>
          <w:tcPr>
            <w:tcW w:w="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4,949,000</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4,318,000</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(529,000)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4,847,000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(expenses)</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Interest expenses – term debt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(1,148,000)[3]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(1,148,000)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Other interest and finance costs</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(1,000,000)[3]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12,000[3]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Total other income (expenses)</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(2,136,000)</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(2,138,000)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 before income tax provision</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2,182,000</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(2,667,000)</w:t>
            </w: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4,849,000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Income tax provision</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764,000[4]</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542,000</w:t>
            </w: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FFCC"/>
            </w:tcBorders>
          </w:tcPr>
          <w:p>
            <w:pPr>
              <w:spacing w:after="0"/>
              <w:rPr>
                <w:sz w:val="18"/>
                <w:szCs w:val="18"/>
                <w:color w:val="auto"/>
              </w:rPr>
            </w:pPr>
          </w:p>
        </w:tc>
        <w:tc>
          <w:tcPr>
            <w:tcW w:w="64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1,418,000</w:t>
            </w:r>
          </w:p>
        </w:tc>
        <w:tc>
          <w:tcPr>
            <w:tcW w:w="280" w:type="dxa"/>
            <w:vAlign w:val="bottom"/>
            <w:shd w:val="clear" w:color="auto" w:fill="CCFFCC"/>
          </w:tcPr>
          <w:p>
            <w:pPr>
              <w:spacing w:after="0"/>
              <w:rPr>
                <w:sz w:val="22"/>
                <w:szCs w:val="22"/>
                <w:color w:val="auto"/>
              </w:rPr>
            </w:pPr>
          </w:p>
        </w:tc>
        <w:tc>
          <w:tcPr>
            <w:tcW w:w="2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(3,209,000)</w:t>
            </w: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4,627,000</w:t>
            </w:r>
          </w:p>
        </w:tc>
        <w:tc>
          <w:tcPr>
            <w:tcW w:w="8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CCFFCC"/>
            </w:tcBorders>
          </w:tcPr>
          <w:p>
            <w:pPr>
              <w:spacing w:after="0"/>
              <w:rPr>
                <w:sz w:val="17"/>
                <w:szCs w:val="17"/>
                <w:color w:val="auto"/>
              </w:rPr>
            </w:pPr>
          </w:p>
        </w:tc>
        <w:tc>
          <w:tcPr>
            <w:tcW w:w="640" w:type="dxa"/>
            <w:vAlign w:val="bottom"/>
            <w:tcBorders>
              <w:top w:val="single" w:sz="8" w:color="CCFF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60" w:type="dxa"/>
            <w:vAlign w:val="bottom"/>
            <w:tcBorders>
              <w:top w:val="single" w:sz="8" w:color="CCFFC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6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5,743,319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Fully dilutive:</w:t>
            </w:r>
          </w:p>
        </w:tc>
        <w:tc>
          <w:tcPr>
            <w:tcW w:w="64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144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6,539,312</w:t>
            </w:r>
          </w:p>
        </w:tc>
        <w:tc>
          <w:tcPr>
            <w:tcW w:w="28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16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6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CCFFCC"/>
            </w:tcBorders>
            <w:shd w:val="clear" w:color="auto" w:fill="CCFFCC"/>
          </w:tcPr>
          <w:p>
            <w:pPr>
              <w:spacing w:after="0"/>
              <w:rPr>
                <w:sz w:val="20"/>
                <w:szCs w:val="20"/>
                <w:color w:val="auto"/>
              </w:rPr>
            </w:pPr>
          </w:p>
        </w:tc>
        <w:tc>
          <w:tcPr>
            <w:tcW w:w="1320" w:type="dxa"/>
            <w:vAlign w:val="bottom"/>
            <w:tcBorders>
              <w:bottom w:val="single" w:sz="8" w:color="CCFFCC"/>
            </w:tcBorders>
            <w:shd w:val="clear" w:color="auto" w:fill="CCFFCC"/>
          </w:tcPr>
          <w:p>
            <w:pPr>
              <w:spacing w:after="0"/>
              <w:rPr>
                <w:sz w:val="20"/>
                <w:szCs w:val="20"/>
                <w:color w:val="auto"/>
              </w:rPr>
            </w:pPr>
          </w:p>
        </w:tc>
        <w:tc>
          <w:tcPr>
            <w:tcW w:w="80" w:type="dxa"/>
            <w:vAlign w:val="bottom"/>
            <w:tcBorders>
              <w:bottom w:val="single" w:sz="8" w:color="CCFFCC"/>
            </w:tcBorders>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Pr>
          <w:p>
            <w:pPr>
              <w:spacing w:after="0" w:line="196" w:lineRule="exact"/>
              <w:rPr>
                <w:sz w:val="20"/>
                <w:szCs w:val="20"/>
                <w:color w:val="auto"/>
              </w:rPr>
            </w:pPr>
            <w:r>
              <w:rPr>
                <w:rFonts w:ascii="Arial" w:cs="Arial" w:eastAsia="Arial" w:hAnsi="Arial"/>
                <w:sz w:val="18"/>
                <w:szCs w:val="18"/>
                <w:color w:val="auto"/>
              </w:rPr>
              <w:t>Basic earnings per share</w:t>
            </w:r>
          </w:p>
        </w:tc>
        <w:tc>
          <w:tcPr>
            <w:tcW w:w="7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0.25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74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Fully diluted earnings per share</w:t>
            </w:r>
          </w:p>
        </w:tc>
        <w:tc>
          <w:tcPr>
            <w:tcW w:w="760" w:type="dxa"/>
            <w:vAlign w:val="bottom"/>
            <w:gridSpan w:val="2"/>
            <w:shd w:val="clear" w:color="auto" w:fill="CCFFC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spacing w:after="0" w:line="196" w:lineRule="exact"/>
              <w:rPr>
                <w:sz w:val="20"/>
                <w:szCs w:val="20"/>
                <w:color w:val="auto"/>
              </w:rPr>
            </w:pPr>
            <w:r>
              <w:rPr>
                <w:rFonts w:ascii="Arial" w:cs="Arial" w:eastAsia="Arial" w:hAnsi="Arial"/>
                <w:sz w:val="18"/>
                <w:szCs w:val="18"/>
                <w:color w:val="auto"/>
              </w:rPr>
              <w:t>0.22</w:t>
            </w: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color w:val="auto"/>
        </w:rPr>
        <w:t>[1] The December 31, 2011 and December 31, 2010 pro-forma statements assumes for the Predecessor Periods that the Isaac Mizrahi Business was operated under the structure of the Predecessor. This includes (1) Earthbound acting as a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party servicer, (2) royalty revenues including amortization of deferred revenues (discussed under the caption “Trend Information Discussion”) and (3) amortization of prepaid expenses relating to the deferred revenues.</w:t>
      </w:r>
    </w:p>
    <w:p>
      <w:pPr>
        <w:spacing w:after="0" w:line="3"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adjustment assumes the Company amortized intangible assets since January 1, 2010.</w:t>
      </w:r>
    </w:p>
    <w:p>
      <w:pPr>
        <w:spacing w:after="0" w:line="9" w:lineRule="exact"/>
        <w:rPr>
          <w:rFonts w:ascii="Arial" w:cs="Arial" w:eastAsia="Arial" w:hAnsi="Arial"/>
          <w:sz w:val="18"/>
          <w:szCs w:val="18"/>
          <w:color w:val="auto"/>
        </w:rPr>
      </w:pPr>
    </w:p>
    <w:p>
      <w:pPr>
        <w:ind w:right="120" w:firstLine="656"/>
        <w:spacing w:after="0" w:line="250"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This adjustment is designed to state interest expense and other finance costs as if acquisition of the Isaac Mizrahi Business and related financing occurred January 1, 2010.</w:t>
      </w: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 expense is adjusted to reflect an effective 35% income tax rate.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discussion compares the year ended December 31, 2011 pro-forma statement of operations (“2011”) and the year ended December 31, 2010 pro-forma statement of operations of the Predecessor (“2010”).</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 Net licensing and design service fee revenue for 2011 increased to $11,375,000 from $9,796,000 from 2010. The increase in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increased net royalties of $2,880,000 and $115,000, for QVC and LC, respectively and new licensees added $295,000 of royalty revenues. This was partly offset by a decrease in vendor royalty revenues from 2010 to 2011 by $1,461,000 and the Company incurring direct royalty expenses of $252,000 in 2011. Design fees remained unchanged from 2010 to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 Total expenses for 2011 increased to $7,436,000 from $5,478,000 for 2010.</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Total operating and marketing costs expenses for 2011 increased by $653,000 to $3,796,000 from 2010. The increase is attributable to a combination of increased product sales volume and activity relating to seventeen new licensees. Operating and marketing cost as a percentage of net revenues increased slightly to 33.4% in 2011 compared to 32% for 2010.</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costs increased in 2011 by $771,000 to $2,294,000 compared with $1,523,000 for 2010. Increased salaries of $284,000 represent the largest increase to general and administrative expenses as compared to 2010. This is due primarily to the executive staff needed to operate as a public company. Other costs relating to being a public company such as professional fees, insurance, compliance and other fees added approximately $310,000 in expenses for 2011. Rent was approximately $50,000 higher in 2011 compared to 2010.</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expenses increased by $4,000 for 2011 compared with 2010. The difference is the Company acquired and purchased additional fixed assets in 2011. Amortization of intangibles remained the same for each year at $529,000.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accounted for $530,000 of 2011 and none for 2010. This amount consists of $372,000 for employees and the board of directors and $158,000 for the former director.</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and other finance costs, net of interest income for 2011 and 2010 was $2,136,000 for both years. Interest consists of $1,148,000 of current interest relating to the Company’s term debt for both 2011 and 2010. All of the other interest and finance costs are based on amortization of (1) imputed interest and</w:t>
      </w:r>
    </w:p>
    <w:p>
      <w:pPr>
        <w:jc w:val="both"/>
        <w:ind w:firstLine="8"/>
        <w:spacing w:after="0" w:line="255" w:lineRule="auto"/>
        <w:tabs>
          <w:tab w:leader="none" w:pos="28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deferred finance costs). Amortization of imputed interest consists of Seller note discount $511,000; lender warrant discount of $232,000; and other imputed interest amortization of $104,000 and amortization of deferred finance costs is approximately $125,000. The Company prepaid $122,000 of Seller Note interest of which $36,000 is current expense 2011.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Income taxes were higher for 2010 by $107,000 based on higher taxable income and the same effective tax rate of 35%.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 discussion: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beginning of 2010 the Isaac Mizrahi Business has moved towards higher royalty revenues and less design service fees. Royalty revenues have been primarily dependent on product sales on QVC. Following the acquisition of the Isaac Mizrahi brand by the Company, new license agreements became effective for the Isaac Mizrahi brand, which are expected to increase overall revenues. In addition, the Company is looking to expand product offerings and increase licensed royalty revenue by adding new product categories and entering into new license agreements. As the Company adds new licenses it will reduce the QVC license revenue concentration.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royalty revenues to increase based on the new licenses that have been signed in 2011, the ones that have been signed in 2012 and the prospects of new categories and new licensees. The Company expects its new licensees to begin to sell product by the fall of 2012 or the spring of 2013. Currently, the Company has recognized only guaranteed minimum payments from its new licensees.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consideration for the termination and replacement of a previous design agreement between IM Ready and LC, the Isaac Mizrahi Business received a one-time fee of $9,000,000, which was recorded as a deferred royalty payment. This amount was being amortized by the Isaac Mizrahi Business on a straight line basis over the life of the LCNY Agreement. Included in revenues for the period from January 1, 2011 to December 31, 2011 and year ended 2010 is amortized revenue of $1.7 million and $2.3 million, respectively. Following the acquisition of the Isaac Mizrahi Business, the Company is not receiving the benefits of the one-time payment and will not record any deferred royalty payment as a result of the one-time payment.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operating expense will have a different structure than the predecessor operated under. The Earthbound service fee is replaced by an in-house design and management team. The termination of the Earthbound Agreement is expected to have minimal effect on direct expenses and operating margins for the short term. Based on the current level of revenues, the Company’s first year projected wages and salaries, including the salaries payable to our executive officers, are expected to be slightly less than IM Ready’s historical wages and salaries and the service provided from Earthbound. Direct expense savings will be realized by the Company as license royalty revenues increase and the incremental direct costs are expected to be minimal compared with the fee structure under the Earthbound Agreement. Under XCel’s operating structure, XCel expects total expenses to decrease as a percentage of revenue as revenues increase.</w:t>
      </w:r>
    </w:p>
    <w:p>
      <w:pPr>
        <w:spacing w:after="0" w:line="16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is obligated to pay additional consideration to IM Ready upon meeting certain revenue target amounts over the four years following the acquisition. The amount is payable by the Company in stock so long as the Loan is outstanding, otherwise cash or stock at the sole discretion of the Company. The Company has recorded a contingent obligation based on the discounted projected earn-out payments. The revenue that determines the annual earn-out consideration is based solely on the Isaac Mizrahi Business. If revenues from the Isaac Mizrahi Business increase and constitute at least 76% of the Net Royalty Income targets described below, IM Ready will be eligible to earn the Earn-Out Value each year for four consecutive years after the Closing Date, with the number of shares to be issued based upon the greater of (i) $4.50 and (ii) average stock price for the last twenty days in such period. The Earn-Out Value is payable solely in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NET ROYALTY</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2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8"/>
              </w:rPr>
              <w:t>ROYALTY TARGET PERIODS</w:t>
            </w:r>
          </w:p>
        </w:tc>
        <w:tc>
          <w:tcPr>
            <w:tcW w:w="1860" w:type="dxa"/>
            <w:vAlign w:val="bottom"/>
            <w:gridSpan w:val="4"/>
          </w:tcPr>
          <w:p>
            <w:pPr>
              <w:ind w:left="100"/>
              <w:spacing w:after="0" w:line="194" w:lineRule="exact"/>
              <w:rPr>
                <w:sz w:val="20"/>
                <w:szCs w:val="20"/>
                <w:color w:val="auto"/>
              </w:rPr>
            </w:pPr>
            <w:r>
              <w:rPr>
                <w:rFonts w:ascii="Arial" w:cs="Arial" w:eastAsia="Arial" w:hAnsi="Arial"/>
                <w:sz w:val="18"/>
                <w:szCs w:val="18"/>
                <w:b w:val="1"/>
                <w:bCs w:val="1"/>
                <w:color w:val="auto"/>
              </w:rPr>
              <w:t>INCOME TARGET</w:t>
            </w:r>
          </w:p>
        </w:tc>
        <w:tc>
          <w:tcPr>
            <w:tcW w:w="17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EARN-OUT VALUE</w:t>
            </w:r>
          </w:p>
        </w:tc>
      </w:tr>
      <w:tr>
        <w:trPr>
          <w:trHeight w:val="21"/>
        </w:trPr>
        <w:tc>
          <w:tcPr>
            <w:tcW w:w="7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First Royalty Target Period</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16,000,000</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FFCC"/>
          </w:tcPr>
          <w:p>
            <w:pPr>
              <w:spacing w:after="0"/>
              <w:rPr>
                <w:sz w:val="18"/>
                <w:szCs w:val="18"/>
                <w:color w:val="auto"/>
              </w:rPr>
            </w:pPr>
          </w:p>
        </w:tc>
      </w:tr>
      <w:tr>
        <w:trPr>
          <w:trHeight w:val="216"/>
        </w:trPr>
        <w:tc>
          <w:tcPr>
            <w:tcW w:w="7280" w:type="dxa"/>
            <w:vAlign w:val="bottom"/>
          </w:tcPr>
          <w:p>
            <w:pPr>
              <w:jc w:val="center"/>
              <w:spacing w:after="0"/>
              <w:rPr>
                <w:sz w:val="20"/>
                <w:szCs w:val="20"/>
                <w:color w:val="auto"/>
              </w:rPr>
            </w:pPr>
            <w:r>
              <w:rPr>
                <w:rFonts w:ascii="Arial" w:cs="Arial" w:eastAsia="Arial" w:hAnsi="Arial"/>
                <w:sz w:val="18"/>
                <w:szCs w:val="18"/>
                <w:color w:val="auto"/>
                <w:w w:val="89"/>
              </w:rPr>
              <w:t>Second Royalty Target Period</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20,000,000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tcPr>
          <w:p>
            <w:pPr>
              <w:spacing w:after="0"/>
              <w:rPr>
                <w:sz w:val="18"/>
                <w:szCs w:val="18"/>
                <w:color w:val="auto"/>
              </w:rPr>
            </w:pPr>
          </w:p>
        </w:tc>
      </w:tr>
      <w:tr>
        <w:trPr>
          <w:trHeight w:val="216"/>
        </w:trPr>
        <w:tc>
          <w:tcPr>
            <w:tcW w:w="7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Third Royalty Target Period</w:t>
            </w:r>
          </w:p>
        </w:tc>
        <w:tc>
          <w:tcPr>
            <w:tcW w:w="2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79"/>
              </w:rPr>
              <w:t>$</w:t>
            </w:r>
          </w:p>
        </w:tc>
        <w:tc>
          <w:tcPr>
            <w:tcW w:w="16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22,000,000</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FFCC"/>
          </w:tcPr>
          <w:p>
            <w:pPr>
              <w:spacing w:after="0"/>
              <w:rPr>
                <w:sz w:val="18"/>
                <w:szCs w:val="18"/>
                <w:color w:val="auto"/>
              </w:rPr>
            </w:pPr>
          </w:p>
        </w:tc>
      </w:tr>
      <w:tr>
        <w:trPr>
          <w:trHeight w:val="230"/>
        </w:trPr>
        <w:tc>
          <w:tcPr>
            <w:tcW w:w="7280" w:type="dxa"/>
            <w:vAlign w:val="bottom"/>
          </w:tcPr>
          <w:p>
            <w:pPr>
              <w:jc w:val="center"/>
              <w:spacing w:after="0"/>
              <w:rPr>
                <w:sz w:val="20"/>
                <w:szCs w:val="20"/>
                <w:color w:val="auto"/>
              </w:rPr>
            </w:pPr>
            <w:r>
              <w:rPr>
                <w:rFonts w:ascii="Arial" w:cs="Arial" w:eastAsia="Arial" w:hAnsi="Arial"/>
                <w:sz w:val="18"/>
                <w:szCs w:val="18"/>
                <w:color w:val="auto"/>
                <w:w w:val="91"/>
              </w:rPr>
              <w:t>Fourth Royalty Target Period</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24,000,000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IM Ready will receive a percentage of the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 OF EARN-OUT VALUE</w:t>
            </w:r>
          </w:p>
        </w:tc>
        <w:tc>
          <w:tcPr>
            <w:tcW w:w="0" w:type="dxa"/>
            <w:vAlign w:val="bottom"/>
          </w:tcPr>
          <w:p>
            <w:pPr>
              <w:spacing w:after="0"/>
              <w:rPr>
                <w:sz w:val="1"/>
                <w:szCs w:val="1"/>
                <w:color w:val="auto"/>
              </w:rPr>
            </w:pPr>
          </w:p>
        </w:tc>
      </w:tr>
      <w:tr>
        <w:trPr>
          <w:trHeight w:val="23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APPLICABLE PERCENTAGE</w:t>
            </w:r>
          </w:p>
        </w:tc>
        <w:tc>
          <w:tcPr>
            <w:tcW w:w="120" w:type="dxa"/>
            <w:vAlign w:val="bottom"/>
          </w:tcPr>
          <w:p>
            <w:pPr>
              <w:spacing w:after="0"/>
              <w:rPr>
                <w:sz w:val="20"/>
                <w:szCs w:val="20"/>
                <w:color w:val="auto"/>
              </w:rPr>
            </w:pPr>
          </w:p>
        </w:tc>
        <w:tc>
          <w:tcPr>
            <w:tcW w:w="23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96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120" w:type="dxa"/>
            <w:vAlign w:val="bottom"/>
            <w:shd w:val="clear" w:color="auto" w:fill="CCFFCC"/>
          </w:tcPr>
          <w:p>
            <w:pPr>
              <w:spacing w:after="0"/>
              <w:rPr>
                <w:sz w:val="18"/>
                <w:szCs w:val="18"/>
                <w:color w:val="auto"/>
              </w:rPr>
            </w:pPr>
          </w:p>
        </w:tc>
        <w:tc>
          <w:tcPr>
            <w:tcW w:w="23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76% up to 80%</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FFCC"/>
          </w:tcPr>
          <w:p>
            <w:pPr>
              <w:spacing w:after="0"/>
              <w:rPr>
                <w:sz w:val="20"/>
                <w:szCs w:val="20"/>
                <w:color w:val="auto"/>
              </w:rPr>
            </w:pPr>
            <w:r>
              <w:rPr>
                <w:rFonts w:ascii="Arial" w:cs="Arial" w:eastAsia="Arial" w:hAnsi="Arial"/>
                <w:sz w:val="18"/>
                <w:szCs w:val="18"/>
                <w:color w:val="auto"/>
              </w:rPr>
              <w:t>80% up to 90%</w:t>
            </w:r>
          </w:p>
        </w:tc>
        <w:tc>
          <w:tcPr>
            <w:tcW w:w="24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90% up to 95%</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FFCC"/>
          </w:tcPr>
          <w:p>
            <w:pPr>
              <w:spacing w:after="0"/>
              <w:rPr>
                <w:sz w:val="20"/>
                <w:szCs w:val="20"/>
                <w:color w:val="auto"/>
              </w:rPr>
            </w:pPr>
            <w:r>
              <w:rPr>
                <w:rFonts w:ascii="Arial" w:cs="Arial" w:eastAsia="Arial" w:hAnsi="Arial"/>
                <w:sz w:val="18"/>
                <w:szCs w:val="18"/>
                <w:color w:val="auto"/>
              </w:rPr>
              <w:t>95% up to 100%</w:t>
            </w:r>
          </w:p>
        </w:tc>
        <w:tc>
          <w:tcPr>
            <w:tcW w:w="244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100% or greater</w:t>
            </w:r>
          </w:p>
        </w:tc>
        <w:tc>
          <w:tcPr>
            <w:tcW w:w="24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earn-out value for the acquisition was determined to be $15,000,000 (the “Earn-Out Obligation”). This amount was based on projected royalties during the Royalty Target Periods and the aggregate amount of earn-out consideration due for each Royalty Target Period. The Earn-out Obligation balance at December 31, 2011 is $15,000,000.</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IM Ready will also be eligible to earn up to $2,765,500, payable in cash or Common Stock, at the Company’s option, contingent upon the Isaac Mizrahi Business receiving net royalty income of at least $2,500,000 from QVC in the twelve month period ending on the four year anniversary of the Closing Date with such stock based upon the greater of (x) $4.50 and (y) fair market value of the common stock at the time of such issuance (the “QVC Earn-out”).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Management will assess no less frequent than each reporting period the status of these contingent obligations. Any change in the expected obligation will result in an expense or income in the period in which it is determined fair market value of the carrying value has changed.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seek to expand and diversify the types of licensed products being produced under our the Isaac Mizrahi brand, as well as diversify the distribution channels within which licensed products are sold, in an effort to reduce dependence on any particular retailer, consumer or market sector. The success of our company, however, will still remain largely dependent on our ability to build and maintain brand awareness and contract with and retain key licensees and on our licensees’ ability to accurately predict upcoming fashion trends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8%, the expected effect on net income would be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capital requirements have been to fund working capital needs, and to a lesser extent, capital expenditures. At December 31, 2011 our unrestricted cash and cash equivalents totaled $2,718,000.</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ind w:right="60" w:firstLine="648"/>
        <w:spacing w:after="0" w:line="259" w:lineRule="auto"/>
        <w:rPr>
          <w:sz w:val="20"/>
          <w:szCs w:val="20"/>
          <w:color w:val="auto"/>
        </w:rPr>
      </w:pPr>
      <w:r>
        <w:rPr>
          <w:rFonts w:ascii="Arial" w:cs="Arial" w:eastAsia="Arial" w:hAnsi="Arial"/>
          <w:sz w:val="18"/>
          <w:szCs w:val="18"/>
          <w:color w:val="auto"/>
        </w:rPr>
        <w:t>The Company financed the acquisition of the Isaac Mizrahi Business with approximately $4.3 million of proceeds received from the issuance of common stock and warrants in the Offering and $13.1 million of net proceeds from the Loan. As part of the consideration to IM Ready, the Company paid to IM Ready approximately $10.1 million and $1.5 million in an assumed obligation of IM Ready and incurred transaction costs and fees of $1.2 million. Following the acquisition, the Company had $4.6 million in cash.</w:t>
      </w:r>
    </w:p>
    <w:p>
      <w:pPr>
        <w:spacing w:after="0" w:line="18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As part of the financing for the acquisition, the Company also assumed a $1.5 million non-interest bearing installment obligation and issued approximately $7.4 million principal amount Note to IM Ready (the “Seller Note”). The Company prepaid $122,000, the full amount of the Seller Note interest, to IM Ready on the Closing Date. The Seller Note is due 3 years from the Closing Date, payable in stock or cash at the Company’s option. Through December 31, 2012, the Company has approximately $1.3 million of cash payment obligations under the Loan and installment obligation. The Company expects to meet these obligations from existing cash and operating cash flow. Neither the Loan nor the installment obligation is subject to change in cost structure. The Company has minimal capital expenditure requirements and has no future capital commitments.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term loan facility requires us to repay current interest quarterly at 8.5% per annum. Principal payments are not required until 2013.</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expects that existing cash and operating cash flows will be adequate to meet the Company’s operating needs, debt service obligations and capital expenditure needs for the next twelve months. The Company is dependent on its licensees for all of its revenues, and there is no assurance that the licensees will perform as projected.</w:t>
      </w:r>
    </w:p>
    <w:p>
      <w:pPr>
        <w:spacing w:after="0" w:line="18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also believe that cash from future operations as well as currently available cash will be sufficient to satisfy our anticipated working capital requirements for the foreseeable future, including the debt service of the $13.5 million Loan and making necessary upgrades to the Company’s infrastructure and technology.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the working capital ratio (current assets to current liabilities) was 3.73</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Company’s business model does not require significant capital expenditures, nor does it require the Company to advance expenses such as inventory. Although the Company is limited to $400,000 per year in capital expenditures under the Loan, the Company estimates that capital expenditures for the next twelve months will be less than this amount, including for upgrading technology and equipment and fixture needs and making necessary improvements to our leased premises. Therefore, the Company does not believe that this covenant will restrict its expected operations.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The Predecessor </w:t>
      </w:r>
      <w:r>
        <w:rPr>
          <w:rFonts w:ascii="Arial" w:cs="Arial" w:eastAsia="Arial" w:hAnsi="Arial"/>
          <w:sz w:val="18"/>
          <w:szCs w:val="18"/>
          <w:color w:val="auto"/>
        </w:rPr>
        <w:t>- Prior to September 29, 2011 cash flow requirements for the Isaac Mizrahi Business were funded by IM Ready, and cash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were not performed at the Isaac Mizrahi Business level. The Isaac Mizrahi Business did not maintain a separate cash account and it is not possible to determine the cash flows directly attributable to the Isaac Mizrahi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for the period September 29, 2011 to December 31, 2011 decreased approximately $2.1 million. This decrease in net cash provided by operating activities of $2.1 million is primarily due to a net loss of $0.869 million and an increase in accounts receivable by $2.2 million, which was collected January 2012. Our net loss of $0.869 million included non-cash items (1) stock-based compensation expense of approximately $0.530 million, (2) $0.252 million of imputed interest amortization of discounted obligations and depreciation and amortization of $0.211 million. . There are no comparable results for the prior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$11,991,000 for the period September 29, 2011 to December 31, 2011. The use of cash related to the acquisition of the Isaac Mizrahi Business, including paying $10,174,000 to IM Ready and $1,500,000 of IM Ready assumed obligation on September 29, 2011 (the “Closing Date”) and the purchase of equipment and fixtures of $142,000. The Company also has reserved $175,000 as security for the Company’s real property lease. There are no comparable results for the prior period.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provided by financing activities was $16,768,000 for the period September 29, 2011 to December 31, 2011. The Company received $13,500,000 in proceeds from the Loan and $4,305,000 from the issuance of common stock on the Closing Date and an additional $500 from the issuance of common stock upon exercise of options in December. The Company incurred deferred finance costs and expenses related to equity and recapitalization of $562,000, and $472,000, respectively. The Company prepaid $4,000 in capital lease obligations. There are no comparable results for the prior period.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jc w:val="both"/>
        <w:ind w:firstLine="51"/>
        <w:spacing w:after="0" w:line="255" w:lineRule="auto"/>
        <w:rPr>
          <w:sz w:val="20"/>
          <w:szCs w:val="20"/>
          <w:color w:val="auto"/>
        </w:rPr>
      </w:pPr>
      <w:r>
        <w:rPr>
          <w:rFonts w:ascii="Arial" w:cs="Arial" w:eastAsia="Arial" w:hAnsi="Arial"/>
          <w:sz w:val="18"/>
          <w:szCs w:val="18"/>
          <w:color w:val="auto"/>
        </w:rPr>
        <w:t>In connection with the acquisition of the Isaac Mizrahi Business, we entered into a five-year term loan facility (the “Loan”) pursuant to which we borrowed and received proceeds of $13,500,000. Our obligations under our Loan are secured by the Isaac Mizrahi Trademarks and essentially all of the assets of IM Brands, LLC. The Loan bears interest at a fixed rate of 8.5% per annum, payable quarterly. The principal amount of the Loan is payable quarterly as follows: $337,500 on January 5, 2013 through October 5, 2013, $506,250 on January 5, 2014 through October 5, 2014; $843,750 on January 5, 2015 through October 5, 2015; $1,687,500 on January 5, 2016 through the maturity date, which is the date that is 5 years after the closing date. The principal balance as of December 31, 2011 was $13,500,000.</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acquisition of the Isaac Mizrahi Business, the Company assumed an obligation to Earthbound for $1,500,000, non-interest bearing payable quarterly over 5 years commencing March 31, 2012. The obligation is discounted by 9.25% (the Company’s estimated borrowing rate) and originally recorded as an installment obligation of $1,132,167. The obligation is payable quarterly as follows: $37,500 on March 31, 2012 through December 31, 2012, $81,250 on March 31, 2013 through December 31, 2014, $87,500 on March 31, 2015 through December 31, 2016. The balance as of December 31, 2011 is $1,158,348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contractual cash obligations, including interest for the periods that existed as of December 31, 2011:</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2015 and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tcPr>
          <w:p>
            <w:pPr>
              <w:ind w:left="1380"/>
              <w:spacing w:after="0"/>
              <w:rPr>
                <w:sz w:val="20"/>
                <w:szCs w:val="20"/>
                <w:color w:val="auto"/>
              </w:rPr>
            </w:pPr>
            <w:r>
              <w:rPr>
                <w:rFonts w:ascii="Arial" w:cs="Arial" w:eastAsia="Arial" w:hAnsi="Arial"/>
                <w:sz w:val="18"/>
                <w:szCs w:val="18"/>
                <w:b w:val="1"/>
                <w:bCs w:val="1"/>
                <w:color w:val="auto"/>
              </w:rPr>
              <w:t>Obligation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after</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Loan</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1,350,000</w:t>
            </w:r>
          </w:p>
        </w:tc>
        <w:tc>
          <w:tcPr>
            <w:tcW w:w="4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2,025,000</w:t>
            </w:r>
          </w:p>
        </w:tc>
        <w:tc>
          <w:tcPr>
            <w:tcW w:w="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10,125,000</w:t>
            </w:r>
          </w:p>
        </w:tc>
        <w:tc>
          <w:tcPr>
            <w:tcW w:w="4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13,500,000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Loan - interest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1,148,000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1,104,000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1,112,000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4,332,000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Earthbound obligation (including interest)</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325,000</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325,000</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contractual obligations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20"/>
                <w:szCs w:val="20"/>
                <w:color w:val="auto"/>
              </w:rPr>
            </w:pPr>
            <w:r>
              <w:rPr>
                <w:rFonts w:ascii="Arial" w:cs="Arial" w:eastAsia="Arial" w:hAnsi="Arial"/>
                <w:sz w:val="18"/>
                <w:szCs w:val="18"/>
                <w:color w:val="auto"/>
              </w:rPr>
              <w:t>Rent obligations</w:t>
            </w: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533,000</w:t>
            </w: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554,000</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584,000</w:t>
            </w: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703,000</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2,374,000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Employment contracts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2,156,000</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2,505,000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2,008,000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140"/>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4,005,000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5,841,000</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5,910,000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12,640,000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28,396,000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seek to expand and diversify the types of licensed products being produced under our brand, as well as diversify the distribution channels within which licensed products are sold, in an effort to reduce dependence on any particular retailer, consumer or market sector. The success of our company, however, will still remain largely dependent on our ability to build and maintain our Isaac Mizrahi brand and contract with and retain key licensees and on our licensees’ ability to execute within their respective customer bases and fulfill the product requirements of their particular retail channels within the global marketplace. Unanticipated changes in consumer fashion preferences, slowdowns in the U.S. economy, changes in the prices of 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93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w:t>
            </w: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300" w:type="dxa"/>
            <w:vAlign w:val="bottom"/>
          </w:tcPr>
          <w:p>
            <w:pPr>
              <w:jc w:val="center"/>
              <w:ind w:left="199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Statement of Changes in Parent’s Equity in Unit and Consolidated Statement of Stockholders’ Equity</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2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9300" w:type="dxa"/>
            <w:vAlign w:val="bottom"/>
            <w:tcBorders>
              <w:bottom w:val="single" w:sz="8" w:color="auto"/>
            </w:tcBorders>
          </w:tcPr>
          <w:p>
            <w:pPr>
              <w:jc w:val="right"/>
              <w:ind w:right="3430"/>
              <w:spacing w:after="0"/>
              <w:rPr>
                <w:sz w:val="20"/>
                <w:szCs w:val="20"/>
                <w:color w:val="auto"/>
              </w:rPr>
            </w:pPr>
            <w:r>
              <w:rPr>
                <w:rFonts w:ascii="Arial" w:cs="Arial" w:eastAsia="Arial" w:hAnsi="Arial"/>
                <w:sz w:val="18"/>
                <w:szCs w:val="18"/>
                <w:color w:val="auto"/>
              </w:rPr>
              <w:t>30</w:t>
            </w:r>
          </w:p>
        </w:tc>
        <w:tc>
          <w:tcPr>
            <w:tcW w:w="2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32" w:name="page33"/>
    <w:bookmarkEnd w:id="3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Xcel Brands, Inc. and Subsidiaries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 of Xcel Brands, Inc. and Subsidiaries (the “Successor”) as of December 31, 2011, and the related consolidated statements of operations, statement of stockholders’ equity, and cash flows for the period from September 29, 2011 to December 31, 2011 (referred to as the Successor period). We have also audited the balance sheet of the Isaac Mizrahi Business (a division of IM Read-Made, LLC) (the “Predecessor”) as of December 31, 2010, and the related statements of operations, changes in parent’s equity in unit, and cash flows for the periods January 1, 2011 to September 28, 2011 and the year ended December 31, 2010 (referred to as the Predecessor periods). These financial statements are the responsibility of the Successor and Predecessor management. Our responsibility is to express an opinion on these financial statements based on our audits.</w:t>
      </w:r>
    </w:p>
    <w:p>
      <w:pPr>
        <w:spacing w:after="0" w:line="16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Successor (Xcel Brands, Inc. and Subsidiaries) and the Predecessor (Isaac Mizrahi Business) for the periods set forth in the first paragraph, in conformity with accounting principles generally accepted in the United States of America.</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As described in Note 2, the financial statements covered by the Predecessor period have been prepared using the assets, liabilities, revenues and expenses related to the historical operations of Isaac Mizrahi Business on a carve-out basis and are not necessarily indicative of the costs and expenses that would have resulted if the Isaac Mizrahi Business had been operated as a separate entity. Certain expenses represent allocations and estimates of costs from IM Ready-Made, LLC. Allocations and estimates are based on assumptions that management believes are reasonable under the circumstances.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Rothstein Kass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Roseland,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4"/>
              </w:rPr>
              <w:t>Successor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0"/>
              </w:rPr>
              <w:t>Predecessor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960" w:type="dxa"/>
            <w:vAlign w:val="bottom"/>
            <w:tcBorders>
              <w:right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w w:val="93"/>
              </w:rPr>
              <w:t>December 31, 2011</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0" w:type="dxa"/>
            <w:vAlign w:val="bottom"/>
            <w:gridSpan w:val="3"/>
            <w:shd w:val="clear" w:color="auto" w:fill="CCFFCC"/>
          </w:tcPr>
          <w:p>
            <w:pPr>
              <w:spacing w:after="0" w:line="170"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FFCC"/>
          </w:tcPr>
          <w:p>
            <w:pPr>
              <w:spacing w:after="0"/>
              <w:rPr>
                <w:sz w:val="14"/>
                <w:szCs w:val="14"/>
                <w:color w:val="auto"/>
              </w:rPr>
            </w:pPr>
          </w:p>
        </w:tc>
        <w:tc>
          <w:tcPr>
            <w:tcW w:w="220" w:type="dxa"/>
            <w:vAlign w:val="bottom"/>
            <w:tcBorders>
              <w:top w:val="single" w:sz="8" w:color="auto"/>
            </w:tcBorders>
            <w:shd w:val="clear" w:color="auto" w:fill="CCFFCC"/>
          </w:tcPr>
          <w:p>
            <w:pPr>
              <w:spacing w:after="0"/>
              <w:rPr>
                <w:sz w:val="14"/>
                <w:szCs w:val="14"/>
                <w:color w:val="auto"/>
              </w:rPr>
            </w:pPr>
          </w:p>
        </w:tc>
        <w:tc>
          <w:tcPr>
            <w:tcW w:w="1220" w:type="dxa"/>
            <w:vAlign w:val="bottom"/>
            <w:tcBorders>
              <w:top w:val="single" w:sz="8" w:color="auto"/>
            </w:tcBorders>
            <w:shd w:val="clear" w:color="auto" w:fill="CCFFCC"/>
          </w:tcPr>
          <w:p>
            <w:pPr>
              <w:spacing w:after="0"/>
              <w:rPr>
                <w:sz w:val="14"/>
                <w:szCs w:val="14"/>
                <w:color w:val="auto"/>
              </w:rPr>
            </w:pPr>
          </w:p>
        </w:tc>
        <w:tc>
          <w:tcPr>
            <w:tcW w:w="120" w:type="dxa"/>
            <w:vAlign w:val="bottom"/>
            <w:tcBorders>
              <w:right w:val="single" w:sz="8" w:color="auto"/>
            </w:tcBorders>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80" w:type="dxa"/>
            <w:vAlign w:val="bottom"/>
            <w:tcBorders>
              <w:top w:val="single" w:sz="8" w:color="auto"/>
            </w:tcBorders>
            <w:shd w:val="clear" w:color="auto" w:fill="CCFFCC"/>
          </w:tcPr>
          <w:p>
            <w:pPr>
              <w:spacing w:after="0"/>
              <w:rPr>
                <w:sz w:val="14"/>
                <w:szCs w:val="14"/>
                <w:color w:val="auto"/>
              </w:rPr>
            </w:pPr>
          </w:p>
        </w:tc>
        <w:tc>
          <w:tcPr>
            <w:tcW w:w="1280" w:type="dxa"/>
            <w:vAlign w:val="bottom"/>
            <w:tcBorders>
              <w:top w:val="single" w:sz="8" w:color="auto"/>
            </w:tcBorders>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FFCC"/>
          </w:tcPr>
          <w:p>
            <w:pPr>
              <w:spacing w:after="0" w:line="20" w:lineRule="exact"/>
              <w:rPr>
                <w:sz w:val="1"/>
                <w:szCs w:val="1"/>
                <w:color w:val="auto"/>
              </w:rPr>
            </w:pPr>
          </w:p>
        </w:tc>
        <w:tc>
          <w:tcPr>
            <w:tcW w:w="2320" w:type="dxa"/>
            <w:vAlign w:val="bottom"/>
            <w:tcBorders>
              <w:top w:val="single" w:sz="8" w:color="CCFFCC"/>
            </w:tcBorders>
            <w:shd w:val="clear" w:color="auto" w:fill="CCFFCC"/>
          </w:tcPr>
          <w:p>
            <w:pPr>
              <w:spacing w:after="0" w:line="20" w:lineRule="exact"/>
              <w:rPr>
                <w:sz w:val="1"/>
                <w:szCs w:val="1"/>
                <w:color w:val="auto"/>
              </w:rPr>
            </w:pPr>
          </w:p>
        </w:tc>
        <w:tc>
          <w:tcPr>
            <w:tcW w:w="502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2,718,000</w:t>
            </w:r>
          </w:p>
        </w:tc>
        <w:tc>
          <w:tcPr>
            <w:tcW w:w="2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175,000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2,191,000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Prepaid expenses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FFCC"/>
              <w:right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tcPr>
          <w:p>
            <w:pPr>
              <w:ind w:left="32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5,570,000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3,236,000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Property and equipment:</w:t>
            </w:r>
          </w:p>
        </w:tc>
        <w:tc>
          <w:tcPr>
            <w:tcW w:w="400" w:type="dxa"/>
            <w:vAlign w:val="bottom"/>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Leasehold improvements, furniture &amp; equipment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1,399,000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Less: accumulated depreciation</w:t>
            </w:r>
          </w:p>
        </w:tc>
        <w:tc>
          <w:tcPr>
            <w:tcW w:w="4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76,000</w:t>
            </w:r>
          </w:p>
        </w:tc>
        <w:tc>
          <w:tcPr>
            <w:tcW w:w="120" w:type="dxa"/>
            <w:vAlign w:val="bottom"/>
            <w:tcBorders>
              <w:bottom w:val="single" w:sz="8" w:color="CCFFCC"/>
              <w:right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1,302,000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tcPr>
          <w:p>
            <w:pPr>
              <w:ind w:left="320"/>
              <w:spacing w:after="0"/>
              <w:rPr>
                <w:sz w:val="20"/>
                <w:szCs w:val="20"/>
                <w:color w:val="auto"/>
              </w:rPr>
            </w:pPr>
            <w:r>
              <w:rPr>
                <w:rFonts w:ascii="Arial" w:cs="Arial" w:eastAsia="Arial" w:hAnsi="Arial"/>
                <w:sz w:val="18"/>
                <w:szCs w:val="18"/>
                <w:color w:val="auto"/>
              </w:rPr>
              <w:t>Total property and equipment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1,323,000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400" w:type="dxa"/>
            <w:vAlign w:val="bottom"/>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2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Trademarks, goodwill and other intangibles, net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57,461,000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finance costs, net</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591,000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Deposits</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FFCC"/>
            </w:tcBorders>
            <w:gridSpan w:val="3"/>
            <w:shd w:val="clear" w:color="auto" w:fill="CCFFCC"/>
          </w:tcPr>
          <w:p>
            <w:pPr>
              <w:ind w:left="320"/>
              <w:spacing w:after="0"/>
              <w:rPr>
                <w:sz w:val="20"/>
                <w:szCs w:val="20"/>
                <w:color w:val="auto"/>
              </w:rPr>
            </w:pPr>
            <w:r>
              <w:rPr>
                <w:rFonts w:ascii="Arial" w:cs="Arial" w:eastAsia="Arial" w:hAnsi="Arial"/>
                <w:sz w:val="18"/>
                <w:szCs w:val="18"/>
                <w:color w:val="auto"/>
              </w:rPr>
              <w:t>Total other assets</w:t>
            </w:r>
          </w:p>
        </w:tc>
        <w:tc>
          <w:tcPr>
            <w:tcW w:w="4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58,061,000</w:t>
            </w:r>
          </w:p>
        </w:tc>
        <w:tc>
          <w:tcPr>
            <w:tcW w:w="120" w:type="dxa"/>
            <w:vAlign w:val="bottom"/>
            <w:tcBorders>
              <w:bottom w:val="single" w:sz="8" w:color="CCFFCC"/>
              <w:right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64,954,000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4,677,000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2320" w:type="dxa"/>
            <w:vAlign w:val="bottom"/>
            <w:shd w:val="clear" w:color="auto" w:fill="CCFFCC"/>
          </w:tcPr>
          <w:p>
            <w:pPr>
              <w:spacing w:after="0"/>
              <w:rPr>
                <w:sz w:val="17"/>
                <w:szCs w:val="17"/>
                <w:color w:val="auto"/>
              </w:rPr>
            </w:pPr>
          </w:p>
        </w:tc>
        <w:tc>
          <w:tcPr>
            <w:tcW w:w="502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20" w:type="dxa"/>
            <w:vAlign w:val="bottom"/>
            <w:tcBorders>
              <w:right w:val="single" w:sz="8" w:color="auto"/>
            </w:tcBorders>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Accounts payable and accrued expenses</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878,000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1,137,000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Advance payable</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Deferred royalty payments, net of long term portion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503,000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3,049,000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Other current liabilities</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66,000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 term debt</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1,491,000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5,686,000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top w:val="single" w:sz="8" w:color="CCFFCC"/>
            </w:tcBorders>
            <w:gridSpan w:val="3"/>
          </w:tcPr>
          <w:p>
            <w:pPr>
              <w:spacing w:after="0"/>
              <w:rPr>
                <w:sz w:val="20"/>
                <w:szCs w:val="20"/>
                <w:color w:val="auto"/>
              </w:rPr>
            </w:pPr>
            <w:r>
              <w:rPr>
                <w:rFonts w:ascii="Arial" w:cs="Arial" w:eastAsia="Arial" w:hAnsi="Arial"/>
                <w:sz w:val="18"/>
                <w:szCs w:val="18"/>
                <w:b w:val="1"/>
                <w:bCs w:val="1"/>
                <w:color w:val="auto"/>
              </w:rPr>
              <w:t>Long Term Liabilities:</w:t>
            </w:r>
          </w:p>
        </w:tc>
        <w:tc>
          <w:tcPr>
            <w:tcW w:w="4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FFCC"/>
              <w:right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Deferred royalty payments, less current portion</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6,346,000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Term loan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12,344,000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Seller note</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5,765,000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Installment debt obligation</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1,114,000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Contingent obligations - due to seller</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17,765,000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Deferred tax liability</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9,831,000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Other long term liabilities, less current portion</w:t>
            </w:r>
          </w:p>
        </w:tc>
        <w:tc>
          <w:tcPr>
            <w:tcW w:w="40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26,000</w:t>
            </w:r>
          </w:p>
        </w:tc>
        <w:tc>
          <w:tcPr>
            <w:tcW w:w="120" w:type="dxa"/>
            <w:vAlign w:val="bottom"/>
            <w:tcBorders>
              <w:bottom w:val="single" w:sz="8" w:color="CCFFCC"/>
              <w:right w:val="single" w:sz="8" w:color="auto"/>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180" w:type="dxa"/>
            <w:vAlign w:val="bottom"/>
            <w:tcBorders>
              <w:bottom w:val="single" w:sz="8" w:color="auto"/>
            </w:tcBorders>
            <w:shd w:val="clear" w:color="auto" w:fill="CCFFCC"/>
          </w:tcPr>
          <w:p>
            <w:pPr>
              <w:spacing w:after="0"/>
              <w:rPr>
                <w:sz w:val="18"/>
                <w:szCs w:val="18"/>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tcPr>
          <w:p>
            <w:pPr>
              <w:ind w:left="320"/>
              <w:spacing w:after="0"/>
              <w:rPr>
                <w:sz w:val="20"/>
                <w:szCs w:val="20"/>
                <w:color w:val="auto"/>
              </w:rPr>
            </w:pPr>
            <w:r>
              <w:rPr>
                <w:rFonts w:ascii="Arial" w:cs="Arial" w:eastAsia="Arial" w:hAnsi="Arial"/>
                <w:sz w:val="18"/>
                <w:szCs w:val="18"/>
                <w:color w:val="auto"/>
              </w:rPr>
              <w:t>Total long term liabilities</w:t>
            </w:r>
          </w:p>
        </w:tc>
        <w:tc>
          <w:tcPr>
            <w:tcW w:w="4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46,845,000</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48,336,000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320" w:type="dxa"/>
            <w:vAlign w:val="bottom"/>
            <w:tcBorders>
              <w:top w:val="single" w:sz="8" w:color="CCFFCC"/>
            </w:tcBorders>
          </w:tcPr>
          <w:p>
            <w:pPr>
              <w:spacing w:after="0"/>
              <w:rPr>
                <w:sz w:val="18"/>
                <w:szCs w:val="18"/>
                <w:color w:val="auto"/>
              </w:rPr>
            </w:pPr>
          </w:p>
        </w:tc>
        <w:tc>
          <w:tcPr>
            <w:tcW w:w="50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FFCC"/>
              <w:right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1,000,000 shares authorized, none issued and outstanding</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w w:val="99"/>
              </w:rPr>
              <w:t>Common stock, $.001 par value, 25,000,000 shares authorized, 5,810,444 issued &amp; outstanding</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Paid in capital</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17,904,000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40" w:type="dxa"/>
            <w:vAlign w:val="bottom"/>
            <w:tcBorders>
              <w:right w:val="single" w:sz="8" w:color="auto"/>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(1,292,000)</w:t>
            </w: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gridSpan w:val="3"/>
          </w:tcPr>
          <w:p>
            <w:pPr>
              <w:ind w:left="160"/>
              <w:spacing w:after="0"/>
              <w:rPr>
                <w:sz w:val="20"/>
                <w:szCs w:val="20"/>
                <w:color w:val="auto"/>
              </w:rPr>
            </w:pPr>
            <w:r>
              <w:rPr>
                <w:rFonts w:ascii="Arial" w:cs="Arial" w:eastAsia="Arial" w:hAnsi="Arial"/>
                <w:sz w:val="18"/>
                <w:szCs w:val="18"/>
                <w:color w:val="auto"/>
              </w:rPr>
              <w:t>Parent's equity in unit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(7,355,000)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gridSpan w:val="3"/>
            <w:shd w:val="clear" w:color="auto" w:fill="CCFFCC"/>
          </w:tcPr>
          <w:p>
            <w:pPr>
              <w:ind w:left="320"/>
              <w:spacing w:after="0"/>
              <w:rPr>
                <w:sz w:val="20"/>
                <w:szCs w:val="20"/>
                <w:color w:val="auto"/>
              </w:rPr>
            </w:pPr>
            <w:r>
              <w:rPr>
                <w:rFonts w:ascii="Arial" w:cs="Arial" w:eastAsia="Arial" w:hAnsi="Arial"/>
                <w:sz w:val="18"/>
                <w:szCs w:val="18"/>
                <w:color w:val="auto"/>
              </w:rPr>
              <w:t>Total stockholders' equity</w:t>
            </w:r>
          </w:p>
        </w:tc>
        <w:tc>
          <w:tcPr>
            <w:tcW w:w="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16,618,000</w:t>
            </w:r>
          </w:p>
        </w:tc>
        <w:tc>
          <w:tcPr>
            <w:tcW w:w="120" w:type="dxa"/>
            <w:vAlign w:val="bottom"/>
            <w:tcBorders>
              <w:right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(7,355,000)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Borders>
              <w:top w:val="single" w:sz="8" w:color="CCFFCC"/>
            </w:tcBorders>
          </w:tcPr>
          <w:p>
            <w:pPr>
              <w:spacing w:after="0"/>
              <w:rPr>
                <w:sz w:val="18"/>
                <w:szCs w:val="18"/>
                <w:color w:val="auto"/>
              </w:rPr>
            </w:pPr>
          </w:p>
        </w:tc>
        <w:tc>
          <w:tcPr>
            <w:tcW w:w="2320" w:type="dxa"/>
            <w:vAlign w:val="bottom"/>
            <w:tcBorders>
              <w:top w:val="single" w:sz="8" w:color="CCFFCC"/>
            </w:tcBorders>
          </w:tcPr>
          <w:p>
            <w:pPr>
              <w:spacing w:after="0"/>
              <w:rPr>
                <w:sz w:val="18"/>
                <w:szCs w:val="18"/>
                <w:color w:val="auto"/>
              </w:rPr>
            </w:pPr>
          </w:p>
        </w:tc>
        <w:tc>
          <w:tcPr>
            <w:tcW w:w="5020" w:type="dxa"/>
            <w:vAlign w:val="bottom"/>
            <w:tcBorders>
              <w:top w:val="single" w:sz="8" w:color="CCFFCC"/>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FFCC"/>
              <w:right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8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liabilities and stockholders' equity</w:t>
            </w:r>
          </w:p>
        </w:tc>
        <w:tc>
          <w:tcPr>
            <w:tcW w:w="62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64,954,000</w:t>
            </w:r>
          </w:p>
        </w:tc>
        <w:tc>
          <w:tcPr>
            <w:tcW w:w="2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4,677,000</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60" w:type="dxa"/>
            <w:vAlign w:val="bottom"/>
            <w:tcBorders>
              <w:top w:val="single" w:sz="8" w:color="CCFFCC"/>
            </w:tcBorders>
          </w:tcPr>
          <w:p>
            <w:pPr>
              <w:spacing w:after="0"/>
              <w:rPr>
                <w:sz w:val="24"/>
                <w:szCs w:val="24"/>
                <w:color w:val="auto"/>
              </w:rPr>
            </w:pPr>
          </w:p>
        </w:tc>
        <w:tc>
          <w:tcPr>
            <w:tcW w:w="2320" w:type="dxa"/>
            <w:vAlign w:val="bottom"/>
            <w:tcBorders>
              <w:top w:val="single" w:sz="8" w:color="CCFFCC"/>
            </w:tcBorders>
          </w:tcPr>
          <w:p>
            <w:pPr>
              <w:spacing w:after="0"/>
              <w:rPr>
                <w:sz w:val="24"/>
                <w:szCs w:val="24"/>
                <w:color w:val="auto"/>
              </w:rPr>
            </w:pPr>
          </w:p>
        </w:tc>
        <w:tc>
          <w:tcPr>
            <w:tcW w:w="5020" w:type="dxa"/>
            <w:vAlign w:val="bottom"/>
            <w:tcBorders>
              <w:top w:val="single" w:sz="8" w:color="CCFFCC"/>
            </w:tcBorders>
          </w:tcPr>
          <w:p>
            <w:pPr>
              <w:ind w:left="1160"/>
              <w:spacing w:after="0"/>
              <w:rPr>
                <w:sz w:val="20"/>
                <w:szCs w:val="20"/>
                <w:color w:val="auto"/>
              </w:rPr>
            </w:pPr>
            <w:r>
              <w:rPr>
                <w:rFonts w:ascii="Arial" w:cs="Arial" w:eastAsia="Arial" w:hAnsi="Arial"/>
                <w:sz w:val="18"/>
                <w:szCs w:val="18"/>
                <w:color w:val="auto"/>
                <w:w w:val="99"/>
              </w:rPr>
              <w:t>See Notes to Consolidated Financial Statements</w:t>
            </w:r>
          </w:p>
        </w:tc>
        <w:tc>
          <w:tcPr>
            <w:tcW w:w="400" w:type="dxa"/>
            <w:vAlign w:val="bottom"/>
            <w:tcBorders>
              <w:top w:val="single" w:sz="8" w:color="CCFFC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7800" w:type="dxa"/>
            <w:vAlign w:val="bottom"/>
            <w:tcBorders>
              <w:bottom w:val="single" w:sz="8" w:color="auto"/>
            </w:tcBorders>
            <w:gridSpan w:val="3"/>
          </w:tcPr>
          <w:p>
            <w:pPr>
              <w:ind w:left="5600"/>
              <w:spacing w:after="0"/>
              <w:rPr>
                <w:sz w:val="20"/>
                <w:szCs w:val="20"/>
                <w:color w:val="auto"/>
              </w:rPr>
            </w:pPr>
            <w:r>
              <w:rPr>
                <w:rFonts w:ascii="Arial" w:cs="Arial" w:eastAsia="Arial" w:hAnsi="Arial"/>
                <w:sz w:val="18"/>
                <w:szCs w:val="18"/>
                <w:color w:val="auto"/>
              </w:rPr>
              <w:t>32</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4" w:name="page35"/>
    <w:bookmarkEnd w:id="34"/>
    <w:p>
      <w:pPr>
        <w:spacing w:after="0" w:line="209" w:lineRule="auto"/>
        <w:framePr w:w="260" w:h="160" w:wrap="auto" w:vAnchor="page" w:hAnchor="page" w:x="5820" w:y="10487"/>
        <w:rPr>
          <w:rFonts w:ascii="Arial" w:cs="Arial" w:eastAsia="Arial" w:hAnsi="Arial"/>
          <w:sz w:val="16"/>
          <w:szCs w:val="16"/>
          <w:color w:val="auto"/>
        </w:rPr>
      </w:pPr>
      <w:r>
        <w:rPr>
          <w:rFonts w:ascii="Arial" w:cs="Arial" w:eastAsia="Arial" w:hAnsi="Arial"/>
          <w:sz w:val="16"/>
          <w:szCs w:val="16"/>
          <w:color w:val="auto"/>
        </w:rPr>
        <w:t>33</w:t>
      </w:r>
    </w:p>
    <w:p>
      <w:pPr>
        <w:spacing w:after="0" w:line="209" w:lineRule="auto"/>
        <w:framePr w:w="800" w:h="160" w:wrap="auto" w:vAnchor="page" w:hAnchor="page" w:x="6700" w:y="9366"/>
        <w:rPr>
          <w:rFonts w:ascii="Arial" w:cs="Arial" w:eastAsia="Arial" w:hAnsi="Arial"/>
          <w:sz w:val="16"/>
          <w:szCs w:val="16"/>
          <w:color w:val="auto"/>
        </w:rPr>
      </w:pPr>
      <w:r>
        <w:rPr>
          <w:rFonts w:ascii="Arial" w:cs="Arial" w:eastAsia="Arial" w:hAnsi="Arial"/>
          <w:sz w:val="16"/>
          <w:szCs w:val="16"/>
          <w:color w:val="auto"/>
        </w:rPr>
        <w:t>5,770,266</w:t>
      </w:r>
    </w:p>
    <w:p>
      <w:pPr>
        <w:spacing w:after="0" w:line="209" w:lineRule="auto"/>
        <w:framePr w:w="3540" w:h="160" w:wrap="auto" w:vAnchor="page" w:hAnchor="page" w:x="4160" w:y="9838"/>
        <w:rPr>
          <w:rFonts w:ascii="Arial" w:cs="Arial" w:eastAsia="Arial" w:hAnsi="Arial"/>
          <w:sz w:val="16"/>
          <w:szCs w:val="16"/>
          <w:color w:val="auto"/>
        </w:rPr>
      </w:pPr>
      <w:r>
        <w:rPr>
          <w:rFonts w:ascii="Arial" w:cs="Arial" w:eastAsia="Arial" w:hAnsi="Arial"/>
          <w:sz w:val="16"/>
          <w:szCs w:val="16"/>
          <w:color w:val="auto"/>
        </w:rPr>
        <w:t>See Notes to Consolidated Financial Statements</w:t>
      </w: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9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2"/>
          </w:tcPr>
          <w:p>
            <w:pPr>
              <w:jc w:val="right"/>
              <w:ind w:right="720"/>
              <w:spacing w:after="0"/>
              <w:rPr>
                <w:sz w:val="20"/>
                <w:szCs w:val="20"/>
                <w:color w:val="auto"/>
              </w:rPr>
            </w:pPr>
            <w:r>
              <w:rPr>
                <w:rFonts w:ascii="Arial" w:cs="Arial" w:eastAsia="Arial" w:hAnsi="Arial"/>
                <w:sz w:val="22"/>
                <w:szCs w:val="22"/>
                <w:b w:val="1"/>
                <w:bCs w:val="1"/>
                <w:color w:val="auto"/>
              </w:rPr>
              <w:t>Successor</w:t>
            </w:r>
          </w:p>
        </w:tc>
        <w:tc>
          <w:tcPr>
            <w:tcW w:w="360" w:type="dxa"/>
            <w:vAlign w:val="bottom"/>
          </w:tcPr>
          <w:p>
            <w:pPr>
              <w:spacing w:after="0"/>
              <w:rPr>
                <w:sz w:val="21"/>
                <w:szCs w:val="21"/>
                <w:color w:val="auto"/>
              </w:rPr>
            </w:pPr>
          </w:p>
        </w:tc>
        <w:tc>
          <w:tcPr>
            <w:tcW w:w="2220" w:type="dxa"/>
            <w:vAlign w:val="bottom"/>
            <w:gridSpan w:val="3"/>
          </w:tcPr>
          <w:p>
            <w:pPr>
              <w:ind w:left="1020"/>
              <w:spacing w:after="0"/>
              <w:rPr>
                <w:sz w:val="20"/>
                <w:szCs w:val="20"/>
                <w:color w:val="auto"/>
              </w:rPr>
            </w:pPr>
            <w:r>
              <w:rPr>
                <w:rFonts w:ascii="Arial" w:cs="Arial" w:eastAsia="Arial" w:hAnsi="Arial"/>
                <w:sz w:val="22"/>
                <w:szCs w:val="22"/>
                <w:b w:val="1"/>
                <w:bCs w:val="1"/>
                <w:color w:val="auto"/>
                <w:w w:val="89"/>
              </w:rPr>
              <w:t>Predecessor</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120" w:type="dxa"/>
            <w:vAlign w:val="bottom"/>
            <w:gridSpan w:val="3"/>
          </w:tcPr>
          <w:p>
            <w:pPr>
              <w:ind w:left="20"/>
              <w:spacing w:after="0"/>
              <w:rPr>
                <w:sz w:val="20"/>
                <w:szCs w:val="20"/>
                <w:color w:val="auto"/>
              </w:rPr>
            </w:pPr>
            <w:r>
              <w:rPr>
                <w:rFonts w:ascii="Arial" w:cs="Arial" w:eastAsia="Arial" w:hAnsi="Arial"/>
                <w:sz w:val="18"/>
                <w:szCs w:val="18"/>
                <w:b w:val="1"/>
                <w:bCs w:val="1"/>
                <w:color w:val="auto"/>
              </w:rPr>
              <w:t>Period From September</w:t>
            </w:r>
          </w:p>
        </w:tc>
        <w:tc>
          <w:tcPr>
            <w:tcW w:w="2100" w:type="dxa"/>
            <w:vAlign w:val="bottom"/>
            <w:gridSpan w:val="3"/>
          </w:tcPr>
          <w:p>
            <w:pPr>
              <w:ind w:left="20"/>
              <w:spacing w:after="0"/>
              <w:rPr>
                <w:sz w:val="20"/>
                <w:szCs w:val="20"/>
                <w:color w:val="auto"/>
              </w:rPr>
            </w:pPr>
            <w:r>
              <w:rPr>
                <w:rFonts w:ascii="Arial" w:cs="Arial" w:eastAsia="Arial" w:hAnsi="Arial"/>
                <w:sz w:val="18"/>
                <w:szCs w:val="18"/>
                <w:b w:val="1"/>
                <w:bCs w:val="1"/>
                <w:color w:val="auto"/>
              </w:rPr>
              <w:t>Period From January 1,</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29, 2011 through</w:t>
            </w:r>
          </w:p>
        </w:tc>
        <w:tc>
          <w:tcPr>
            <w:tcW w:w="2100" w:type="dxa"/>
            <w:vAlign w:val="bottom"/>
            <w:gridSpan w:val="3"/>
          </w:tcPr>
          <w:p>
            <w:pPr>
              <w:spacing w:after="0"/>
              <w:rPr>
                <w:sz w:val="20"/>
                <w:szCs w:val="20"/>
                <w:color w:val="auto"/>
              </w:rPr>
            </w:pPr>
            <w:r>
              <w:rPr>
                <w:rFonts w:ascii="Arial" w:cs="Arial" w:eastAsia="Arial" w:hAnsi="Arial"/>
                <w:sz w:val="18"/>
                <w:szCs w:val="18"/>
                <w:b w:val="1"/>
                <w:bCs w:val="1"/>
                <w:color w:val="auto"/>
                <w:w w:val="98"/>
              </w:rPr>
              <w:t>2011 through September</w:t>
            </w:r>
          </w:p>
        </w:tc>
        <w:tc>
          <w:tcPr>
            <w:tcW w:w="18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Year Ended December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December 31, 2011</w:t>
            </w:r>
          </w:p>
        </w:tc>
        <w:tc>
          <w:tcPr>
            <w:tcW w:w="360" w:type="dxa"/>
            <w:vAlign w:val="bottom"/>
          </w:tcPr>
          <w:p>
            <w:pPr>
              <w:spacing w:after="0"/>
              <w:rPr>
                <w:sz w:val="20"/>
                <w:szCs w:val="20"/>
                <w:color w:val="auto"/>
              </w:rPr>
            </w:pPr>
          </w:p>
        </w:tc>
        <w:tc>
          <w:tcPr>
            <w:tcW w:w="1520" w:type="dxa"/>
            <w:vAlign w:val="bottom"/>
          </w:tcPr>
          <w:p>
            <w:pPr>
              <w:jc w:val="right"/>
              <w:ind w:right="529"/>
              <w:spacing w:after="0"/>
              <w:rPr>
                <w:sz w:val="20"/>
                <w:szCs w:val="20"/>
                <w:color w:val="auto"/>
              </w:rPr>
            </w:pPr>
            <w:r>
              <w:rPr>
                <w:rFonts w:ascii="Arial" w:cs="Arial" w:eastAsia="Arial" w:hAnsi="Arial"/>
                <w:sz w:val="18"/>
                <w:szCs w:val="18"/>
                <w:b w:val="1"/>
                <w:bCs w:val="1"/>
                <w:color w:val="auto"/>
              </w:rPr>
              <w:t>28, 2011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31, 2010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Licensing &amp; design revenue</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2,898,000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Direct licensing costs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Net licensing &amp; design revenue</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2,646,000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8,729,000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9,796,000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Operating &amp; marketing costs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1,010,000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2,786,000</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910,000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1,384,000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530,000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&amp; amortization</w:t>
            </w:r>
          </w:p>
        </w:tc>
        <w:tc>
          <w:tcPr>
            <w:tcW w:w="1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211,000</w:t>
            </w:r>
          </w:p>
        </w:tc>
        <w:tc>
          <w:tcPr>
            <w:tcW w:w="36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211,000</w:t>
            </w: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Acquisition and due diligence costs</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498,000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expenses</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3,159,000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4,381,000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4,949,000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(513,000)</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4,348,000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Interest expenses - debt</w:t>
            </w:r>
          </w:p>
        </w:tc>
        <w:tc>
          <w:tcPr>
            <w:tcW w:w="16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(296,000)</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60"/>
              <w:spacing w:after="0"/>
              <w:rPr>
                <w:sz w:val="20"/>
                <w:szCs w:val="20"/>
                <w:color w:val="auto"/>
              </w:rPr>
            </w:pPr>
            <w:r>
              <w:rPr>
                <w:rFonts w:ascii="Arial" w:cs="Arial" w:eastAsia="Arial" w:hAnsi="Arial"/>
                <w:sz w:val="18"/>
                <w:szCs w:val="18"/>
                <w:color w:val="auto"/>
              </w:rPr>
              <w:t>Other interest and finance charges</w:t>
            </w:r>
          </w:p>
        </w:tc>
        <w:tc>
          <w:tcPr>
            <w:tcW w:w="160" w:type="dxa"/>
            <w:vAlign w:val="bottom"/>
          </w:tcPr>
          <w:p>
            <w:pPr>
              <w:spacing w:after="0"/>
              <w:rPr>
                <w:sz w:val="18"/>
                <w:szCs w:val="18"/>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(253,000)</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other income (expenses)</w:t>
            </w:r>
          </w:p>
        </w:tc>
        <w:tc>
          <w:tcPr>
            <w:tcW w:w="1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(546,000)</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Income (loss) before income tax (benefit) expense</w:t>
            </w:r>
          </w:p>
        </w:tc>
        <w:tc>
          <w:tcPr>
            <w:tcW w:w="1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(1,059,000)</w:t>
            </w: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4,348,000</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4,849,000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Income tax (benefit) expense</w:t>
            </w:r>
          </w:p>
        </w:tc>
        <w:tc>
          <w:tcPr>
            <w:tcW w:w="160" w:type="dxa"/>
            <w:vAlign w:val="bottom"/>
            <w:shd w:val="clear" w:color="auto" w:fill="CCFFCC"/>
          </w:tcPr>
          <w:p>
            <w:pPr>
              <w:spacing w:after="0"/>
              <w:rPr>
                <w:sz w:val="18"/>
                <w:szCs w:val="18"/>
                <w:color w:val="auto"/>
              </w:rPr>
            </w:pPr>
          </w:p>
        </w:tc>
        <w:tc>
          <w:tcPr>
            <w:tcW w:w="1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(190,000)</w:t>
            </w:r>
          </w:p>
        </w:tc>
        <w:tc>
          <w:tcPr>
            <w:tcW w:w="36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175,000</w:t>
            </w:r>
          </w:p>
        </w:tc>
        <w:tc>
          <w:tcPr>
            <w:tcW w:w="4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(869,000)</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4,173,000</w:t>
            </w:r>
          </w:p>
        </w:tc>
        <w:tc>
          <w:tcPr>
            <w:tcW w:w="220" w:type="dxa"/>
            <w:vAlign w:val="bottom"/>
            <w:shd w:val="clear" w:color="auto" w:fill="CCFFCC"/>
          </w:tcPr>
          <w:p>
            <w:pPr>
              <w:spacing w:after="0"/>
              <w:rPr>
                <w:sz w:val="22"/>
                <w:szCs w:val="22"/>
                <w:color w:val="auto"/>
              </w:rPr>
            </w:pP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4,627,000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Borders>
              <w:top w:val="single" w:sz="8" w:color="CCFFC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0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15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-4810125</wp:posOffset>
            </wp:positionV>
            <wp:extent cx="7246620" cy="511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1111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Weighted average number of common shares outstanding:</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Basic and diluted</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Parent's Equity in Unit and Consolidated Statement of Stockholders' Equity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Predecessor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FFCC"/>
          </w:tcPr>
          <w:p>
            <w:pPr>
              <w:ind w:left="140"/>
              <w:spacing w:after="0"/>
              <w:rPr>
                <w:sz w:val="20"/>
                <w:szCs w:val="20"/>
                <w:color w:val="auto"/>
              </w:rPr>
            </w:pPr>
            <w:r>
              <w:rPr>
                <w:rFonts w:ascii="Arial" w:cs="Arial" w:eastAsia="Arial" w:hAnsi="Arial"/>
                <w:sz w:val="18"/>
                <w:szCs w:val="18"/>
                <w:b w:val="1"/>
                <w:bCs w:val="1"/>
                <w:color w:val="auto"/>
              </w:rPr>
              <w:t>Parent's Equity in Unit, January 1, 2010</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70"/>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(2,985,000)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4,627,000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Less: Member distributions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(8,997,000)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right w:val="single" w:sz="8" w:color="CCFFCC"/>
            </w:tcBorders>
            <w:gridSpan w:val="2"/>
            <w:shd w:val="clear" w:color="auto" w:fill="CCFFCC"/>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b w:val="1"/>
                <w:bCs w:val="1"/>
                <w:color w:val="auto"/>
              </w:rPr>
              <w:t>Parent's Equity in Unit, December 31, 2010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(7,355,000)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20" w:type="dxa"/>
            <w:vAlign w:val="bottom"/>
            <w:tcBorders>
              <w:right w:val="single" w:sz="8" w:color="CCFFCC"/>
            </w:tcBorders>
            <w:gridSpan w:val="2"/>
            <w:shd w:val="clear" w:color="auto" w:fill="CCFFCC"/>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4,173,000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Less: Member distributions</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8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(2,147,000)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8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60" w:type="dxa"/>
            <w:vAlign w:val="bottom"/>
            <w:gridSpan w:val="2"/>
            <w:shd w:val="clear" w:color="auto" w:fill="CCFFCC"/>
          </w:tcPr>
          <w:p>
            <w:pPr>
              <w:ind w:left="160"/>
              <w:spacing w:after="0"/>
              <w:rPr>
                <w:sz w:val="20"/>
                <w:szCs w:val="20"/>
                <w:color w:val="auto"/>
              </w:rPr>
            </w:pPr>
            <w:r>
              <w:rPr>
                <w:rFonts w:ascii="Arial" w:cs="Arial" w:eastAsia="Arial" w:hAnsi="Arial"/>
                <w:sz w:val="18"/>
                <w:szCs w:val="18"/>
                <w:b w:val="1"/>
                <w:bCs w:val="1"/>
                <w:color w:val="auto"/>
              </w:rPr>
              <w:t>Parent's Equity in Unit, September 28, 2011</w:t>
            </w:r>
          </w:p>
        </w:tc>
        <w:tc>
          <w:tcPr>
            <w:tcW w:w="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1060" w:type="dxa"/>
            <w:vAlign w:val="bottom"/>
            <w:shd w:val="clear" w:color="auto" w:fill="CCFFCC"/>
          </w:tcPr>
          <w:p>
            <w:pPr>
              <w:jc w:val="right"/>
              <w:ind w:right="870"/>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(5,329,000)</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80" w:type="dxa"/>
            <w:vAlign w:val="bottom"/>
            <w:tcBorders>
              <w:top w:val="single" w:sz="8" w:color="CCFFCC"/>
              <w:bottom w:val="single" w:sz="8" w:color="auto"/>
            </w:tcBorders>
          </w:tcPr>
          <w:p>
            <w:pPr>
              <w:spacing w:after="0"/>
              <w:rPr>
                <w:sz w:val="17"/>
                <w:szCs w:val="17"/>
                <w:color w:val="auto"/>
              </w:rPr>
            </w:pPr>
          </w:p>
        </w:tc>
        <w:tc>
          <w:tcPr>
            <w:tcW w:w="3080" w:type="dxa"/>
            <w:vAlign w:val="bottom"/>
            <w:tcBorders>
              <w:top w:val="single" w:sz="8" w:color="CCFFCC"/>
              <w:bottom w:val="single" w:sz="8" w:color="auto"/>
            </w:tcBorders>
          </w:tcPr>
          <w:p>
            <w:pPr>
              <w:spacing w:after="0"/>
              <w:rPr>
                <w:sz w:val="17"/>
                <w:szCs w:val="17"/>
                <w:color w:val="auto"/>
              </w:rPr>
            </w:pPr>
          </w:p>
        </w:tc>
        <w:tc>
          <w:tcPr>
            <w:tcW w:w="20" w:type="dxa"/>
            <w:vAlign w:val="bottom"/>
            <w:tcBorders>
              <w:top w:val="single" w:sz="8" w:color="CCFFCC"/>
              <w:bottom w:val="single" w:sz="8" w:color="auto"/>
            </w:tcBorders>
          </w:tcPr>
          <w:p>
            <w:pPr>
              <w:spacing w:after="0"/>
              <w:rPr>
                <w:sz w:val="17"/>
                <w:szCs w:val="17"/>
                <w:color w:val="auto"/>
              </w:rPr>
            </w:pPr>
          </w:p>
        </w:tc>
        <w:tc>
          <w:tcPr>
            <w:tcW w:w="120" w:type="dxa"/>
            <w:vAlign w:val="bottom"/>
            <w:tcBorders>
              <w:top w:val="single" w:sz="8" w:color="CCFFCC"/>
              <w:bottom w:val="single" w:sz="8" w:color="auto"/>
            </w:tcBorders>
          </w:tcPr>
          <w:p>
            <w:pPr>
              <w:spacing w:after="0"/>
              <w:rPr>
                <w:sz w:val="17"/>
                <w:szCs w:val="17"/>
                <w:color w:val="auto"/>
              </w:rPr>
            </w:pPr>
          </w:p>
        </w:tc>
        <w:tc>
          <w:tcPr>
            <w:tcW w:w="1280" w:type="dxa"/>
            <w:vAlign w:val="bottom"/>
            <w:tcBorders>
              <w:top w:val="single" w:sz="8" w:color="CCFFCC"/>
              <w:bottom w:val="single" w:sz="8" w:color="auto"/>
            </w:tcBorders>
          </w:tcPr>
          <w:p>
            <w:pPr>
              <w:spacing w:after="0"/>
              <w:rPr>
                <w:sz w:val="17"/>
                <w:szCs w:val="17"/>
                <w:color w:val="auto"/>
              </w:rPr>
            </w:pPr>
          </w:p>
        </w:tc>
        <w:tc>
          <w:tcPr>
            <w:tcW w:w="240" w:type="dxa"/>
            <w:vAlign w:val="bottom"/>
            <w:tcBorders>
              <w:top w:val="single" w:sz="8" w:color="CCFFCC"/>
              <w:bottom w:val="single" w:sz="8" w:color="auto"/>
            </w:tcBorders>
            <w:gridSpan w:val="2"/>
          </w:tcPr>
          <w:p>
            <w:pPr>
              <w:spacing w:after="0"/>
              <w:rPr>
                <w:sz w:val="17"/>
                <w:szCs w:val="17"/>
                <w:color w:val="auto"/>
              </w:rPr>
            </w:pPr>
          </w:p>
        </w:tc>
        <w:tc>
          <w:tcPr>
            <w:tcW w:w="200" w:type="dxa"/>
            <w:vAlign w:val="bottom"/>
            <w:tcBorders>
              <w:top w:val="single" w:sz="8" w:color="CCFFCC"/>
              <w:bottom w:val="single" w:sz="8" w:color="auto"/>
            </w:tcBorders>
            <w:gridSpan w:val="2"/>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3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Successor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80" w:type="dxa"/>
            <w:vAlign w:val="bottom"/>
            <w:gridSpan w:val="6"/>
          </w:tcPr>
          <w:p>
            <w:pPr>
              <w:jc w:val="right"/>
              <w:ind w:right="690"/>
              <w:spacing w:after="0"/>
              <w:rPr>
                <w:sz w:val="20"/>
                <w:szCs w:val="20"/>
                <w:color w:val="auto"/>
              </w:rPr>
            </w:pPr>
            <w:r>
              <w:rPr>
                <w:rFonts w:ascii="Arial" w:cs="Arial" w:eastAsia="Arial" w:hAnsi="Arial"/>
                <w:sz w:val="18"/>
                <w:szCs w:val="18"/>
                <w:b w:val="1"/>
                <w:bCs w:val="1"/>
                <w:color w:val="auto"/>
              </w:rPr>
              <w:t>Common Stock</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1"/>
              </w:rPr>
              <w:t>Paid - in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Accumulated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9"/>
              </w:rPr>
              <w:t>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Deficit</w:t>
            </w:r>
          </w:p>
        </w:tc>
        <w:tc>
          <w:tcPr>
            <w:tcW w:w="26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Balances, September 29, 2011</w:t>
            </w:r>
          </w:p>
        </w:tc>
        <w:tc>
          <w:tcPr>
            <w:tcW w:w="14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944,688</w:t>
            </w:r>
          </w:p>
        </w:tc>
        <w:tc>
          <w:tcPr>
            <w:tcW w:w="120" w:type="dxa"/>
            <w:vAlign w:val="bottom"/>
            <w:shd w:val="clear" w:color="auto" w:fill="CCFFCC"/>
          </w:tcPr>
          <w:p>
            <w:pPr>
              <w:spacing w:after="0"/>
              <w:rPr>
                <w:sz w:val="18"/>
                <w:szCs w:val="18"/>
                <w:color w:val="auto"/>
              </w:rPr>
            </w:pPr>
          </w:p>
        </w:tc>
        <w:tc>
          <w:tcPr>
            <w:tcW w:w="30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5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(423,000)</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(422,000)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89"/>
              </w:rPr>
              <w:t>Shares of common stock and 1,064 warrants issued on</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0"/>
              </w:rPr>
              <w:t>September 29, 2011 in connection with recapitalization</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transaction</w:t>
            </w:r>
          </w:p>
        </w:tc>
        <w:tc>
          <w:tcPr>
            <w:tcW w:w="15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186,811</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3"/>
              </w:rPr>
              <w:t>Shares issued to former Chairman in connection with</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recapitalization transaction</w:t>
            </w:r>
          </w:p>
        </w:tc>
        <w:tc>
          <w:tcPr>
            <w:tcW w:w="15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47,132</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158,000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0"/>
              </w:rPr>
              <w:t>Shares of common stock and 430,500 warrants issued</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 a private placement of September 29, 2011</w:t>
            </w:r>
          </w:p>
        </w:tc>
        <w:tc>
          <w:tcPr>
            <w:tcW w:w="14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861,000</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4,304,000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4,305,000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87"/>
              </w:rPr>
              <w:t>Shares of common stock issued on September 29, 2011</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2"/>
              </w:rPr>
              <w:t>in connection with purchase of IM Licensing Business</w:t>
            </w:r>
          </w:p>
        </w:tc>
        <w:tc>
          <w:tcPr>
            <w:tcW w:w="14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2,759,000</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9,212,000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87"/>
              </w:rPr>
              <w:t>Shares of common stock issued on September 29, 2011</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for acquisition of Earthbound contract</w:t>
            </w:r>
          </w:p>
        </w:tc>
        <w:tc>
          <w:tcPr>
            <w:tcW w:w="14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944,688</w:t>
            </w: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3,154,000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Warrants issued in connection with Term Loan</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1,214,000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Shares issued to employees in connection with</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restricted stock grants</w:t>
            </w:r>
          </w:p>
        </w:tc>
        <w:tc>
          <w:tcPr>
            <w:tcW w:w="15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17,125</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57,000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Compensation expense in connection with stock</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6"/>
              </w:rPr>
              <w:t>options and warrants to directors and management</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367,000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98"/>
              </w:rPr>
              <w:t>Direct costs relating to equity placement, including</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9,800 warrants issued to placement agent</w:t>
            </w:r>
          </w:p>
        </w:tc>
        <w:tc>
          <w:tcPr>
            <w:tcW w:w="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8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2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(438,000)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(438,000)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6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w w:val="87"/>
              </w:rPr>
              <w:t>Shares issued on exercise of warrants on December 20,</w:t>
            </w:r>
          </w:p>
        </w:tc>
        <w:tc>
          <w:tcPr>
            <w:tcW w:w="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540" w:type="dxa"/>
            <w:vAlign w:val="bottom"/>
            <w:tcBorders>
              <w:right w:val="single" w:sz="8" w:color="CCFFCC"/>
            </w:tcBorders>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3080" w:type="dxa"/>
            <w:vAlign w:val="bottom"/>
            <w:shd w:val="clear" w:color="auto" w:fill="CCFFCC"/>
          </w:tcPr>
          <w:p>
            <w:pPr>
              <w:spacing w:after="0"/>
              <w:rPr>
                <w:sz w:val="20"/>
                <w:szCs w:val="20"/>
                <w:color w:val="auto"/>
              </w:rPr>
            </w:pPr>
          </w:p>
        </w:tc>
        <w:tc>
          <w:tcPr>
            <w:tcW w:w="1540" w:type="dxa"/>
            <w:vAlign w:val="bottom"/>
            <w:gridSpan w:val="4"/>
            <w:shd w:val="clear" w:color="auto" w:fill="CCFFCC"/>
          </w:tcPr>
          <w:p>
            <w:pPr>
              <w:jc w:val="right"/>
              <w:ind w:right="12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9"/>
              </w:rPr>
              <w:t>Net loss for the period ended December 31, 2011</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54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3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(869,000)</w:t>
            </w:r>
          </w:p>
        </w:tc>
        <w:tc>
          <w:tcPr>
            <w:tcW w:w="26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(869,000)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CCFFCC"/>
            </w:tcBorders>
          </w:tcPr>
          <w:p>
            <w:pPr>
              <w:spacing w:after="0"/>
              <w:rPr>
                <w:sz w:val="18"/>
                <w:szCs w:val="18"/>
                <w:color w:val="auto"/>
              </w:rPr>
            </w:pPr>
          </w:p>
        </w:tc>
        <w:tc>
          <w:tcPr>
            <w:tcW w:w="308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spacing w:after="0"/>
              <w:rPr>
                <w:sz w:val="18"/>
                <w:szCs w:val="18"/>
                <w:color w:val="auto"/>
              </w:rPr>
            </w:pPr>
          </w:p>
        </w:tc>
        <w:tc>
          <w:tcPr>
            <w:tcW w:w="26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Balances, December 31, 2011</w:t>
            </w:r>
          </w:p>
        </w:tc>
        <w:tc>
          <w:tcPr>
            <w:tcW w:w="140" w:type="dxa"/>
            <w:vAlign w:val="bottom"/>
            <w:gridSpan w:val="2"/>
            <w:shd w:val="clear" w:color="auto" w:fill="CCFFCC"/>
          </w:tcPr>
          <w:p>
            <w:pPr>
              <w:spacing w:after="0"/>
              <w:rPr>
                <w:sz w:val="20"/>
                <w:szCs w:val="20"/>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5,810,444</w:t>
            </w:r>
          </w:p>
        </w:tc>
        <w:tc>
          <w:tcPr>
            <w:tcW w:w="120" w:type="dxa"/>
            <w:vAlign w:val="bottom"/>
            <w:shd w:val="clear" w:color="auto" w:fill="CCFFCC"/>
          </w:tcPr>
          <w:p>
            <w:pPr>
              <w:spacing w:after="0"/>
              <w:rPr>
                <w:sz w:val="20"/>
                <w:szCs w:val="20"/>
                <w:color w:val="auto"/>
              </w:rPr>
            </w:pPr>
          </w:p>
        </w:tc>
        <w:tc>
          <w:tcPr>
            <w:tcW w:w="30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6,000</w:t>
            </w:r>
          </w:p>
        </w:tc>
        <w:tc>
          <w:tcPr>
            <w:tcW w:w="5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17,904,000</w:t>
            </w:r>
          </w:p>
        </w:tc>
        <w:tc>
          <w:tcPr>
            <w:tcW w:w="1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(1,292,000)</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16,618,000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c>
          <w:tcPr>
            <w:tcW w:w="308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460" w:type="dxa"/>
            <w:vAlign w:val="bottom"/>
            <w:gridSpan w:val="10"/>
          </w:tcPr>
          <w:p>
            <w:pPr>
              <w:jc w:val="right"/>
              <w:spacing w:after="0"/>
              <w:rPr>
                <w:sz w:val="20"/>
                <w:szCs w:val="20"/>
                <w:color w:val="auto"/>
              </w:rPr>
            </w:pPr>
            <w:r>
              <w:rPr>
                <w:rFonts w:ascii="Arial" w:cs="Arial" w:eastAsia="Arial" w:hAnsi="Arial"/>
                <w:sz w:val="18"/>
                <w:szCs w:val="18"/>
                <w:color w:val="auto"/>
                <w:w w:val="88"/>
              </w:rPr>
              <w:t>See Notes to Consolidated Financial Statements</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34</w:t>
            </w: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6" w:name="page37"/>
    <w:bookmarkEnd w:id="36"/>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gridSpan w:val="2"/>
            <w:vMerge w:val="restart"/>
          </w:tcPr>
          <w:p>
            <w:pPr>
              <w:jc w:val="right"/>
              <w:ind w:right="600"/>
              <w:spacing w:after="0"/>
              <w:rPr>
                <w:sz w:val="20"/>
                <w:szCs w:val="20"/>
                <w:color w:val="auto"/>
              </w:rPr>
            </w:pPr>
            <w:r>
              <w:rPr>
                <w:rFonts w:ascii="Arial" w:cs="Arial" w:eastAsia="Arial" w:hAnsi="Arial"/>
                <w:sz w:val="22"/>
                <w:szCs w:val="22"/>
                <w:b w:val="1"/>
                <w:bCs w:val="1"/>
                <w:color w:val="auto"/>
              </w:rPr>
              <w:t>Successor</w:t>
            </w:r>
          </w:p>
        </w:tc>
        <w:tc>
          <w:tcPr>
            <w:tcW w:w="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180" w:type="dxa"/>
            <w:vAlign w:val="bottom"/>
            <w:gridSpan w:val="3"/>
            <w:vMerge w:val="restart"/>
          </w:tcPr>
          <w:p>
            <w:pPr>
              <w:ind w:left="1080"/>
              <w:spacing w:after="0"/>
              <w:rPr>
                <w:sz w:val="20"/>
                <w:szCs w:val="20"/>
                <w:color w:val="auto"/>
              </w:rPr>
            </w:pPr>
            <w:r>
              <w:rPr>
                <w:rFonts w:ascii="Arial" w:cs="Arial" w:eastAsia="Arial" w:hAnsi="Arial"/>
                <w:sz w:val="22"/>
                <w:szCs w:val="22"/>
                <w:b w:val="1"/>
                <w:bCs w:val="1"/>
                <w:color w:val="auto"/>
                <w:w w:val="81"/>
              </w:rPr>
              <w:t>Predecessor</w:t>
            </w: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gridSpan w:val="3"/>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Period From September</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ind w:left="20"/>
              <w:spacing w:after="0"/>
              <w:rPr>
                <w:sz w:val="20"/>
                <w:szCs w:val="20"/>
                <w:color w:val="auto"/>
              </w:rPr>
            </w:pPr>
            <w:r>
              <w:rPr>
                <w:rFonts w:ascii="Arial" w:cs="Arial" w:eastAsia="Arial" w:hAnsi="Arial"/>
                <w:sz w:val="18"/>
                <w:szCs w:val="18"/>
                <w:b w:val="1"/>
                <w:bCs w:val="1"/>
                <w:color w:val="auto"/>
              </w:rPr>
              <w:t>Period From January 1,</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29, 2011 through</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2011 through</w:t>
            </w:r>
          </w:p>
        </w:tc>
        <w:tc>
          <w:tcPr>
            <w:tcW w:w="2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 2011</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September 28, 2011</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(869,000)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4,173,000</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4,627,000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4"/>
              </w:rPr>
              <w:t>Adjustments to reconcile net income (loss) to net cash provided by (used</w:t>
            </w: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6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in) operating activities:</w:t>
            </w:r>
          </w:p>
        </w:tc>
        <w:tc>
          <w:tcPr>
            <w:tcW w:w="160" w:type="dxa"/>
            <w:vAlign w:val="bottom"/>
            <w:tcBorders>
              <w:bottom w:val="single" w:sz="8" w:color="CCFFCC"/>
            </w:tcBorders>
            <w:shd w:val="clear" w:color="auto" w:fill="CCFFCC"/>
          </w:tcPr>
          <w:p>
            <w:pPr>
              <w:spacing w:after="0"/>
              <w:rPr>
                <w:sz w:val="21"/>
                <w:szCs w:val="21"/>
                <w:color w:val="auto"/>
              </w:rPr>
            </w:pPr>
          </w:p>
        </w:tc>
        <w:tc>
          <w:tcPr>
            <w:tcW w:w="17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7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right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211,000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211,000</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deferred finance costs</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530,000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Seller note discount</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Amortization of other imputed interest</w:t>
            </w: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Amortization of senior note discount</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58,000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Deferred income tax provision</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(190,000)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(2,191,000)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(183,000)</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2,872,000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323,000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94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220,000</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(94,000)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(32,000)</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(423,000)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94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213,000</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(164,000)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480"/>
              <w:spacing w:after="0"/>
              <w:rPr>
                <w:sz w:val="20"/>
                <w:szCs w:val="20"/>
                <w:color w:val="auto"/>
              </w:rPr>
            </w:pPr>
            <w:r>
              <w:rPr>
                <w:rFonts w:ascii="Arial" w:cs="Arial" w:eastAsia="Arial" w:hAnsi="Arial"/>
                <w:sz w:val="18"/>
                <w:szCs w:val="18"/>
                <w:color w:val="auto"/>
              </w:rPr>
              <w:t>Advance payable</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Royalty advances</w:t>
            </w:r>
          </w:p>
        </w:tc>
        <w:tc>
          <w:tcPr>
            <w:tcW w:w="16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516,000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(2,270,000)</w:t>
            </w: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FFCC"/>
          </w:tcPr>
          <w:p>
            <w:pPr>
              <w:spacing w:after="0"/>
              <w:rPr>
                <w:sz w:val="18"/>
                <w:szCs w:val="18"/>
                <w:color w:val="auto"/>
              </w:rPr>
            </w:pP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49,000</w:t>
            </w:r>
          </w:p>
        </w:tc>
        <w:tc>
          <w:tcPr>
            <w:tcW w:w="100" w:type="dxa"/>
            <w:vAlign w:val="bottom"/>
            <w:tcBorders>
              <w:bottom w:val="single" w:sz="8" w:color="CCFFCC"/>
            </w:tcBorders>
            <w:shd w:val="clear" w:color="auto" w:fill="CCFFCC"/>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FFCC"/>
              <w:right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2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(2,059,000)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2,332,000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8,746,000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9"/>
              </w:rPr>
              <w:t>Acquisition of Isaac Mizrahi Trademarks &amp; related intangible property</w:t>
            </w: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and tangible property and equipment</w:t>
            </w:r>
          </w:p>
        </w:tc>
        <w:tc>
          <w:tcPr>
            <w:tcW w:w="160" w:type="dxa"/>
            <w:vAlign w:val="bottom"/>
            <w:shd w:val="clear" w:color="auto" w:fill="CCFFCC"/>
          </w:tcPr>
          <w:p>
            <w:pPr>
              <w:spacing w:after="0"/>
              <w:rPr>
                <w:sz w:val="20"/>
                <w:szCs w:val="20"/>
                <w:color w:val="auto"/>
              </w:rPr>
            </w:pPr>
          </w:p>
        </w:tc>
        <w:tc>
          <w:tcPr>
            <w:tcW w:w="1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(10,174,000)</w:t>
            </w:r>
          </w:p>
        </w:tc>
        <w:tc>
          <w:tcPr>
            <w:tcW w:w="20" w:type="dxa"/>
            <w:vAlign w:val="bottom"/>
            <w:shd w:val="clear" w:color="auto" w:fill="000000"/>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(142,000)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Restricted cash for security deposit</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(175,000)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Payment of assumed obligation of Seller</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(1,500,000)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(11,991,000)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term loan</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13,500,000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Proceeds from sale of common stock and warrants</w:t>
            </w:r>
          </w:p>
        </w:tc>
        <w:tc>
          <w:tcPr>
            <w:tcW w:w="16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4,305,000</w:t>
            </w:r>
          </w:p>
        </w:tc>
        <w:tc>
          <w:tcPr>
            <w:tcW w:w="1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Proceeds from exercise of warrants</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Deferred finance costs</w:t>
            </w:r>
          </w:p>
        </w:tc>
        <w:tc>
          <w:tcPr>
            <w:tcW w:w="160" w:type="dxa"/>
            <w:vAlign w:val="bottom"/>
          </w:tcPr>
          <w:p>
            <w:pPr>
              <w:spacing w:after="0"/>
              <w:rPr>
                <w:sz w:val="18"/>
                <w:szCs w:val="18"/>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(472,000)</w:t>
            </w: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Member distributions</w:t>
            </w: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94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(2,147,000)</w:t>
            </w: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(8,997,000)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Payment of expenses related to equity &amp; recapitalization</w:t>
            </w:r>
          </w:p>
        </w:tc>
        <w:tc>
          <w:tcPr>
            <w:tcW w:w="160" w:type="dxa"/>
            <w:vAlign w:val="bottom"/>
          </w:tcPr>
          <w:p>
            <w:pPr>
              <w:spacing w:after="0"/>
              <w:rPr>
                <w:sz w:val="22"/>
                <w:szCs w:val="22"/>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(562,000)</w:t>
            </w:r>
          </w:p>
        </w:tc>
        <w:tc>
          <w:tcPr>
            <w:tcW w:w="20" w:type="dxa"/>
            <w:vAlign w:val="bottom"/>
            <w:shd w:val="clear" w:color="auto" w:fill="000000"/>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Repayment of lease obligation</w:t>
            </w:r>
          </w:p>
        </w:tc>
        <w:tc>
          <w:tcPr>
            <w:tcW w:w="160" w:type="dxa"/>
            <w:vAlign w:val="bottom"/>
            <w:shd w:val="clear" w:color="auto" w:fill="CCFFCC"/>
          </w:tcPr>
          <w:p>
            <w:pPr>
              <w:spacing w:after="0"/>
              <w:rPr>
                <w:sz w:val="18"/>
                <w:szCs w:val="18"/>
                <w:color w:val="auto"/>
              </w:rPr>
            </w:pPr>
          </w:p>
        </w:tc>
        <w:tc>
          <w:tcPr>
            <w:tcW w:w="18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(4,000)</w:t>
            </w: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4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16,768,000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(2,147,000)</w:t>
            </w:r>
          </w:p>
        </w:tc>
        <w:tc>
          <w:tcPr>
            <w:tcW w:w="2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(8,997,000)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2,718,000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185,000</w:t>
            </w:r>
          </w:p>
        </w:tc>
        <w:tc>
          <w:tcPr>
            <w:tcW w:w="2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(327,000)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74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46,000</w:t>
            </w:r>
          </w:p>
        </w:tc>
        <w:tc>
          <w:tcPr>
            <w:tcW w:w="2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373,000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740" w:type="dxa"/>
            <w:vAlign w:val="bottom"/>
            <w:tcBorders>
              <w:top w:val="single" w:sz="8" w:color="auto"/>
            </w:tcBorders>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2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2,718,000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231,000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6"/>
              </w:rPr>
              <w:t>Value of common stock issued to Sellers as partial consideration in the</w:t>
            </w:r>
          </w:p>
        </w:tc>
        <w:tc>
          <w:tcPr>
            <w:tcW w:w="16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74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acquisition of Isaac Mizrahi Business</w:t>
            </w:r>
          </w:p>
        </w:tc>
        <w:tc>
          <w:tcPr>
            <w:tcW w:w="1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9,215,000</w:t>
            </w: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74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right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line="182" w:lineRule="exact"/>
              <w:rPr>
                <w:sz w:val="20"/>
                <w:szCs w:val="20"/>
                <w:color w:val="auto"/>
              </w:rPr>
            </w:pPr>
            <w:r>
              <w:rPr>
                <w:rFonts w:ascii="Arial" w:cs="Arial" w:eastAsia="Arial" w:hAnsi="Arial"/>
                <w:sz w:val="18"/>
                <w:szCs w:val="18"/>
                <w:color w:val="auto"/>
                <w:w w:val="95"/>
              </w:rPr>
              <w:t>Value of common stock issued to Earthbound as partial consideration in</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the acquisition of Isaac Mizrahi Business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3,155,000</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FFCC"/>
          </w:tcPr>
          <w:p>
            <w:pPr>
              <w:ind w:left="160"/>
              <w:spacing w:after="0" w:line="182" w:lineRule="exact"/>
              <w:rPr>
                <w:sz w:val="20"/>
                <w:szCs w:val="20"/>
                <w:color w:val="auto"/>
              </w:rPr>
            </w:pPr>
            <w:r>
              <w:rPr>
                <w:rFonts w:ascii="Arial" w:cs="Arial" w:eastAsia="Arial" w:hAnsi="Arial"/>
                <w:sz w:val="18"/>
                <w:szCs w:val="18"/>
                <w:color w:val="auto"/>
              </w:rPr>
              <w:t>Issuance of Seller Notes as partial consideration in the acquisition of</w:t>
            </w:r>
          </w:p>
        </w:tc>
        <w:tc>
          <w:tcPr>
            <w:tcW w:w="16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200" w:type="dxa"/>
            <w:vAlign w:val="bottom"/>
            <w:tcBorders>
              <w:right w:val="single" w:sz="8" w:color="CCFFCC"/>
            </w:tcBorders>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Isaac Mizrahi Business (net of debt discount - see Note 5)</w:t>
            </w:r>
          </w:p>
        </w:tc>
        <w:tc>
          <w:tcPr>
            <w:tcW w:w="1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5,637,000</w:t>
            </w: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74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right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line="182" w:lineRule="exact"/>
              <w:rPr>
                <w:sz w:val="20"/>
                <w:szCs w:val="20"/>
                <w:color w:val="auto"/>
              </w:rPr>
            </w:pPr>
            <w:r>
              <w:rPr>
                <w:rFonts w:ascii="Arial" w:cs="Arial" w:eastAsia="Arial" w:hAnsi="Arial"/>
                <w:sz w:val="18"/>
                <w:szCs w:val="18"/>
                <w:color w:val="auto"/>
                <w:w w:val="99"/>
              </w:rPr>
              <w:t>Value of Warrants to purchase 364,428 of common stock for $.01 per</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share issued to Noteholders</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1,214,000</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FFCC"/>
          </w:tcPr>
          <w:p>
            <w:pPr>
              <w:ind w:left="160"/>
              <w:spacing w:after="0" w:line="182" w:lineRule="exact"/>
              <w:rPr>
                <w:sz w:val="20"/>
                <w:szCs w:val="20"/>
                <w:color w:val="auto"/>
              </w:rPr>
            </w:pPr>
            <w:r>
              <w:rPr>
                <w:rFonts w:ascii="Arial" w:cs="Arial" w:eastAsia="Arial" w:hAnsi="Arial"/>
                <w:sz w:val="18"/>
                <w:szCs w:val="18"/>
                <w:color w:val="auto"/>
              </w:rPr>
              <w:t>Contingent equity pay-out relating to acquisition of Isaac Mizrahi</w:t>
            </w:r>
          </w:p>
        </w:tc>
        <w:tc>
          <w:tcPr>
            <w:tcW w:w="16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200" w:type="dxa"/>
            <w:vAlign w:val="bottom"/>
            <w:tcBorders>
              <w:right w:val="single" w:sz="8" w:color="CCFFCC"/>
            </w:tcBorders>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Business</w:t>
            </w:r>
          </w:p>
        </w:tc>
        <w:tc>
          <w:tcPr>
            <w:tcW w:w="16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15,000,000</w:t>
            </w:r>
          </w:p>
        </w:tc>
        <w:tc>
          <w:tcPr>
            <w:tcW w:w="20" w:type="dxa"/>
            <w:vAlign w:val="bottom"/>
            <w:shd w:val="clear" w:color="auto" w:fill="000000"/>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1740" w:type="dxa"/>
            <w:vAlign w:val="bottom"/>
            <w:shd w:val="clear" w:color="auto" w:fill="CCFFCC"/>
          </w:tcPr>
          <w:p>
            <w:pPr>
              <w:spacing w:after="0"/>
              <w:rPr>
                <w:sz w:val="23"/>
                <w:szCs w:val="23"/>
                <w:color w:val="auto"/>
              </w:rPr>
            </w:pPr>
          </w:p>
        </w:tc>
        <w:tc>
          <w:tcPr>
            <w:tcW w:w="200" w:type="dxa"/>
            <w:vAlign w:val="bottom"/>
            <w:tcBorders>
              <w:right w:val="single" w:sz="8" w:color="CCFFCC"/>
            </w:tcBorders>
            <w:shd w:val="clear" w:color="auto" w:fill="CCFFCC"/>
          </w:tcPr>
          <w:p>
            <w:pPr>
              <w:spacing w:after="0"/>
              <w:rPr>
                <w:sz w:val="23"/>
                <w:szCs w:val="23"/>
                <w:color w:val="auto"/>
              </w:rPr>
            </w:pPr>
          </w:p>
        </w:tc>
        <w:tc>
          <w:tcPr>
            <w:tcW w:w="240" w:type="dxa"/>
            <w:vAlign w:val="bottom"/>
            <w:shd w:val="clear" w:color="auto" w:fill="CCFFCC"/>
          </w:tcPr>
          <w:p>
            <w:pPr>
              <w:spacing w:after="0"/>
              <w:rPr>
                <w:sz w:val="23"/>
                <w:szCs w:val="23"/>
                <w:color w:val="auto"/>
              </w:rPr>
            </w:pPr>
          </w:p>
        </w:tc>
        <w:tc>
          <w:tcPr>
            <w:tcW w:w="122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tcBorders>
              <w:top w:val="single" w:sz="8" w:color="CCFFCC"/>
            </w:tcBorders>
          </w:tcPr>
          <w:p>
            <w:pPr>
              <w:ind w:left="160"/>
              <w:spacing w:after="0" w:line="196" w:lineRule="exact"/>
              <w:rPr>
                <w:sz w:val="20"/>
                <w:szCs w:val="20"/>
                <w:color w:val="auto"/>
              </w:rPr>
            </w:pPr>
            <w:r>
              <w:rPr>
                <w:rFonts w:ascii="Arial" w:cs="Arial" w:eastAsia="Arial" w:hAnsi="Arial"/>
                <w:sz w:val="18"/>
                <w:szCs w:val="18"/>
                <w:color w:val="auto"/>
                <w:w w:val="97"/>
              </w:rPr>
              <w:t>Contingent obligations relating to acquisition of Isaac Mizrahi Business</w:t>
            </w: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2,765,000</w:t>
            </w:r>
          </w:p>
        </w:tc>
        <w:tc>
          <w:tcPr>
            <w:tcW w:w="100" w:type="dxa"/>
            <w:vAlign w:val="bottom"/>
            <w:tcBorders>
              <w:top w:val="single" w:sz="8" w:color="CCFFCC"/>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74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122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shd w:val="clear" w:color="auto" w:fill="CCFFCC"/>
          </w:tcPr>
          <w:p>
            <w:pPr>
              <w:ind w:left="160"/>
              <w:spacing w:after="0" w:line="182" w:lineRule="exact"/>
              <w:rPr>
                <w:sz w:val="20"/>
                <w:szCs w:val="20"/>
                <w:color w:val="auto"/>
              </w:rPr>
            </w:pPr>
            <w:r>
              <w:rPr>
                <w:rFonts w:ascii="Arial" w:cs="Arial" w:eastAsia="Arial" w:hAnsi="Arial"/>
                <w:sz w:val="18"/>
                <w:szCs w:val="18"/>
                <w:color w:val="auto"/>
                <w:w w:val="94"/>
              </w:rPr>
              <w:t>Assumed Other Long Term liabilities as partial consideration of the Isaac</w:t>
            </w:r>
          </w:p>
        </w:tc>
        <w:tc>
          <w:tcPr>
            <w:tcW w:w="16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740" w:type="dxa"/>
            <w:vAlign w:val="bottom"/>
            <w:shd w:val="clear" w:color="auto" w:fill="CCFFCC"/>
          </w:tcPr>
          <w:p>
            <w:pPr>
              <w:spacing w:after="0"/>
              <w:rPr>
                <w:sz w:val="15"/>
                <w:szCs w:val="15"/>
                <w:color w:val="auto"/>
              </w:rPr>
            </w:pPr>
          </w:p>
        </w:tc>
        <w:tc>
          <w:tcPr>
            <w:tcW w:w="200" w:type="dxa"/>
            <w:vAlign w:val="bottom"/>
            <w:tcBorders>
              <w:right w:val="single" w:sz="8" w:color="CCFFCC"/>
            </w:tcBorders>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2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Mizrahi Business</w:t>
            </w:r>
          </w:p>
        </w:tc>
        <w:tc>
          <w:tcPr>
            <w:tcW w:w="1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1,132,000</w:t>
            </w:r>
          </w:p>
        </w:tc>
        <w:tc>
          <w:tcPr>
            <w:tcW w:w="100" w:type="dxa"/>
            <w:vAlign w:val="bottom"/>
            <w:tcBorders>
              <w:bottom w:val="single" w:sz="8" w:color="CCFFCC"/>
            </w:tcBorders>
            <w:shd w:val="clear" w:color="auto" w:fill="CCFFCC"/>
          </w:tcPr>
          <w:p>
            <w:pPr>
              <w:spacing w:after="0"/>
              <w:rPr>
                <w:sz w:val="23"/>
                <w:szCs w:val="23"/>
                <w:color w:val="auto"/>
              </w:rPr>
            </w:pPr>
          </w:p>
        </w:tc>
        <w:tc>
          <w:tcPr>
            <w:tcW w:w="20" w:type="dxa"/>
            <w:vAlign w:val="bottom"/>
            <w:tcBorders>
              <w:bottom w:val="single" w:sz="8" w:color="auto"/>
            </w:tcBorders>
            <w:shd w:val="clear" w:color="auto" w:fill="000000"/>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174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right w:val="single" w:sz="8" w:color="CCFFCC"/>
            </w:tcBorders>
            <w:shd w:val="clear" w:color="auto" w:fill="CCFFCC"/>
          </w:tcPr>
          <w:p>
            <w:pPr>
              <w:spacing w:after="0"/>
              <w:rPr>
                <w:sz w:val="23"/>
                <w:szCs w:val="23"/>
                <w:color w:val="auto"/>
              </w:rPr>
            </w:pPr>
          </w:p>
        </w:tc>
        <w:tc>
          <w:tcPr>
            <w:tcW w:w="240" w:type="dxa"/>
            <w:vAlign w:val="bottom"/>
            <w:tcBorders>
              <w:bottom w:val="single" w:sz="8" w:color="CCFFCC"/>
            </w:tcBorders>
            <w:shd w:val="clear" w:color="auto" w:fill="CCFFCC"/>
          </w:tcPr>
          <w:p>
            <w:pPr>
              <w:spacing w:after="0"/>
              <w:rPr>
                <w:sz w:val="23"/>
                <w:szCs w:val="23"/>
                <w:color w:val="auto"/>
              </w:rPr>
            </w:pPr>
          </w:p>
        </w:tc>
        <w:tc>
          <w:tcPr>
            <w:tcW w:w="122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ind w:left="160"/>
              <w:spacing w:after="0" w:line="182" w:lineRule="exact"/>
              <w:rPr>
                <w:sz w:val="20"/>
                <w:szCs w:val="20"/>
                <w:color w:val="auto"/>
              </w:rPr>
            </w:pPr>
            <w:r>
              <w:rPr>
                <w:rFonts w:ascii="Arial" w:cs="Arial" w:eastAsia="Arial" w:hAnsi="Arial"/>
                <w:sz w:val="18"/>
                <w:szCs w:val="18"/>
                <w:color w:val="auto"/>
                <w:w w:val="93"/>
              </w:rPr>
              <w:t>Deferred tax liability relating to the net tax effect of the excess book value</w:t>
            </w: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300"/>
              <w:spacing w:after="0"/>
              <w:rPr>
                <w:sz w:val="20"/>
                <w:szCs w:val="20"/>
                <w:color w:val="auto"/>
              </w:rPr>
            </w:pPr>
            <w:r>
              <w:rPr>
                <w:rFonts w:ascii="Arial" w:cs="Arial" w:eastAsia="Arial" w:hAnsi="Arial"/>
                <w:sz w:val="18"/>
                <w:szCs w:val="18"/>
                <w:color w:val="auto"/>
              </w:rPr>
              <w:t>over tax basis of acquired intangible asset</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9,615,000</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904"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Deferred tax liability relating to the net tax effect of the Seller Note</w:t>
            </w:r>
          </w:p>
        </w:tc>
        <w:tc>
          <w:tcPr>
            <w:tcW w:w="70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120" w:type="dxa"/>
            <w:vAlign w:val="bottom"/>
            <w:tcBorders>
              <w:right w:val="single" w:sz="8" w:color="auto"/>
            </w:tcBorders>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640" w:type="dxa"/>
            <w:vAlign w:val="bottom"/>
            <w:tcBorders>
              <w:bottom w:val="single" w:sz="8" w:color="CCFFCC"/>
            </w:tcBorders>
            <w:shd w:val="clear" w:color="auto" w:fill="CCFFCC"/>
          </w:tcPr>
          <w:p>
            <w:pPr>
              <w:ind w:left="300"/>
              <w:spacing w:after="0"/>
              <w:rPr>
                <w:sz w:val="20"/>
                <w:szCs w:val="20"/>
                <w:color w:val="auto"/>
              </w:rPr>
            </w:pPr>
            <w:r>
              <w:rPr>
                <w:rFonts w:ascii="Arial" w:cs="Arial" w:eastAsia="Arial" w:hAnsi="Arial"/>
                <w:sz w:val="18"/>
                <w:szCs w:val="18"/>
                <w:color w:val="auto"/>
              </w:rPr>
              <w:t>discount amount</w:t>
            </w:r>
          </w:p>
        </w:tc>
        <w:tc>
          <w:tcPr>
            <w:tcW w:w="700" w:type="dxa"/>
            <w:vAlign w:val="bottom"/>
            <w:tcBorders>
              <w:bottom w:val="single" w:sz="8" w:color="auto"/>
            </w:tcBorders>
            <w:shd w:val="clear" w:color="auto" w:fill="CCFFCC"/>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635,000</w:t>
            </w:r>
          </w:p>
        </w:tc>
        <w:tc>
          <w:tcPr>
            <w:tcW w:w="120" w:type="dxa"/>
            <w:vAlign w:val="bottom"/>
            <w:tcBorders>
              <w:bottom w:val="single" w:sz="8" w:color="CCFFCC"/>
              <w:right w:val="single" w:sz="8" w:color="auto"/>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40" w:type="dxa"/>
            <w:vAlign w:val="bottom"/>
          </w:tcPr>
          <w:p>
            <w:pPr>
              <w:ind w:left="160"/>
              <w:spacing w:after="0" w:line="196" w:lineRule="exact"/>
              <w:rPr>
                <w:sz w:val="20"/>
                <w:szCs w:val="20"/>
                <w:color w:val="auto"/>
              </w:rPr>
            </w:pPr>
            <w:r>
              <w:rPr>
                <w:rFonts w:ascii="Arial" w:cs="Arial" w:eastAsia="Arial" w:hAnsi="Arial"/>
                <w:sz w:val="18"/>
                <w:szCs w:val="18"/>
                <w:color w:val="auto"/>
              </w:rPr>
              <w:t>Value of equipment and software received from Earthbound</w:t>
            </w:r>
          </w:p>
        </w:tc>
        <w:tc>
          <w:tcPr>
            <w:tcW w:w="700" w:type="dxa"/>
            <w:vAlign w:val="bottom"/>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color w:val="auto"/>
              </w:rPr>
              <w:t>71,000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shd w:val="clear" w:color="auto" w:fill="CCFFCC"/>
          </w:tcPr>
          <w:p>
            <w:pPr>
              <w:ind w:left="160"/>
              <w:spacing w:after="0" w:line="196" w:lineRule="exact"/>
              <w:rPr>
                <w:sz w:val="20"/>
                <w:szCs w:val="20"/>
                <w:color w:val="auto"/>
              </w:rPr>
            </w:pPr>
            <w:r>
              <w:rPr>
                <w:rFonts w:ascii="Arial" w:cs="Arial" w:eastAsia="Arial" w:hAnsi="Arial"/>
                <w:sz w:val="18"/>
                <w:szCs w:val="18"/>
                <w:color w:val="auto"/>
              </w:rPr>
              <w:t>Assumed capitalized lease obligation</w:t>
            </w:r>
          </w:p>
        </w:tc>
        <w:tc>
          <w:tcPr>
            <w:tcW w:w="700" w:type="dxa"/>
            <w:vAlign w:val="bottom"/>
            <w:shd w:val="clear" w:color="auto" w:fill="CCFFC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shd w:val="clear" w:color="auto" w:fill="CCFFCC"/>
          </w:tcPr>
          <w:p>
            <w:pPr>
              <w:jc w:val="right"/>
              <w:ind w:right="120"/>
              <w:spacing w:after="0" w:line="196" w:lineRule="exact"/>
              <w:rPr>
                <w:sz w:val="20"/>
                <w:szCs w:val="20"/>
                <w:color w:val="auto"/>
              </w:rPr>
            </w:pPr>
            <w:r>
              <w:rPr>
                <w:rFonts w:ascii="Arial" w:cs="Arial" w:eastAsia="Arial" w:hAnsi="Arial"/>
                <w:sz w:val="18"/>
                <w:szCs w:val="18"/>
                <w:color w:val="auto"/>
              </w:rPr>
              <w:t>24,000</w:t>
            </w:r>
          </w:p>
        </w:tc>
        <w:tc>
          <w:tcPr>
            <w:tcW w:w="100" w:type="dxa"/>
            <w:vAlign w:val="bottom"/>
            <w:shd w:val="clear" w:color="auto" w:fill="CCFFCC"/>
          </w:tcPr>
          <w:p>
            <w:pPr>
              <w:spacing w:after="0"/>
              <w:rPr>
                <w:sz w:val="20"/>
                <w:szCs w:val="20"/>
                <w:color w:val="auto"/>
              </w:rPr>
            </w:pPr>
          </w:p>
        </w:tc>
        <w:tc>
          <w:tcPr>
            <w:tcW w:w="700" w:type="dxa"/>
            <w:vAlign w:val="bottom"/>
            <w:shd w:val="clear" w:color="auto" w:fill="CCFFCC"/>
          </w:tcPr>
          <w:p>
            <w:pPr>
              <w:spacing w:after="0"/>
              <w:rPr>
                <w:sz w:val="20"/>
                <w:szCs w:val="20"/>
                <w:color w:val="auto"/>
              </w:rPr>
            </w:pPr>
          </w:p>
        </w:tc>
        <w:tc>
          <w:tcPr>
            <w:tcW w:w="11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40" w:type="dxa"/>
            <w:vAlign w:val="bottom"/>
            <w:tcBorders>
              <w:top w:val="single" w:sz="8" w:color="CCFFCC"/>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CCFFCC"/>
              <w:right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700" w:type="dxa"/>
            <w:vAlign w:val="bottom"/>
            <w:tcBorders>
              <w:top w:val="single" w:sz="8" w:color="CCFFCC"/>
            </w:tcBorders>
          </w:tcPr>
          <w:p>
            <w:pPr>
              <w:spacing w:after="0"/>
              <w:rPr>
                <w:sz w:val="17"/>
                <w:szCs w:val="17"/>
                <w:color w:val="auto"/>
              </w:rPr>
            </w:pPr>
          </w:p>
        </w:tc>
        <w:tc>
          <w:tcPr>
            <w:tcW w:w="11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480" w:type="dxa"/>
            <w:vAlign w:val="bottom"/>
            <w:tcBorders>
              <w:top w:val="single" w:sz="8" w:color="CCFFCC"/>
            </w:tcBorders>
          </w:tcPr>
          <w:p>
            <w:pPr>
              <w:spacing w:after="0"/>
              <w:rPr>
                <w:sz w:val="17"/>
                <w:szCs w:val="17"/>
                <w:color w:val="auto"/>
              </w:rPr>
            </w:pPr>
          </w:p>
        </w:tc>
        <w:tc>
          <w:tcPr>
            <w:tcW w:w="98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00" w:type="dxa"/>
            <w:vAlign w:val="bottom"/>
            <w:shd w:val="clear" w:color="auto" w:fill="CCFFCC"/>
          </w:tcPr>
          <w:p>
            <w:pPr>
              <w:spacing w:after="0"/>
              <w:rPr>
                <w:sz w:val="19"/>
                <w:szCs w:val="19"/>
                <w:color w:val="auto"/>
              </w:rPr>
            </w:pPr>
          </w:p>
        </w:tc>
        <w:tc>
          <w:tcPr>
            <w:tcW w:w="1200" w:type="dxa"/>
            <w:vAlign w:val="bottom"/>
            <w:shd w:val="clear" w:color="auto" w:fill="CCFFCC"/>
          </w:tcPr>
          <w:p>
            <w:pPr>
              <w:spacing w:after="0"/>
              <w:rPr>
                <w:sz w:val="19"/>
                <w:szCs w:val="19"/>
                <w:color w:val="auto"/>
              </w:rPr>
            </w:pPr>
          </w:p>
        </w:tc>
        <w:tc>
          <w:tcPr>
            <w:tcW w:w="120" w:type="dxa"/>
            <w:vAlign w:val="bottom"/>
            <w:tcBorders>
              <w:right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11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Cash paid during the period for income taxes</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shd w:val="clear" w:color="auto" w:fill="CCFFCC"/>
          </w:tcPr>
          <w:p>
            <w:pPr>
              <w:ind w:left="160"/>
              <w:spacing w:after="0" w:line="196" w:lineRule="exact"/>
              <w:rPr>
                <w:sz w:val="20"/>
                <w:szCs w:val="20"/>
                <w:color w:val="auto"/>
              </w:rPr>
            </w:pPr>
            <w:r>
              <w:rPr>
                <w:rFonts w:ascii="Arial" w:cs="Arial" w:eastAsia="Arial" w:hAnsi="Arial"/>
                <w:sz w:val="18"/>
                <w:szCs w:val="18"/>
                <w:color w:val="auto"/>
              </w:rPr>
              <w:t>Cash paid during the period for interest</w:t>
            </w:r>
          </w:p>
        </w:tc>
        <w:tc>
          <w:tcPr>
            <w:tcW w:w="700" w:type="dxa"/>
            <w:vAlign w:val="bottom"/>
            <w:shd w:val="clear" w:color="auto" w:fill="CCFFCC"/>
          </w:tcPr>
          <w:p>
            <w:pPr>
              <w:jc w:val="right"/>
              <w:ind w:right="5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FFCC"/>
          </w:tcPr>
          <w:p>
            <w:pPr>
              <w:jc w:val="right"/>
              <w:spacing w:after="0" w:line="196" w:lineRule="exact"/>
              <w:rPr>
                <w:sz w:val="20"/>
                <w:szCs w:val="20"/>
                <w:color w:val="auto"/>
              </w:rPr>
            </w:pPr>
            <w:r>
              <w:rPr>
                <w:rFonts w:ascii="Arial" w:cs="Arial" w:eastAsia="Arial" w:hAnsi="Arial"/>
                <w:sz w:val="18"/>
                <w:szCs w:val="18"/>
                <w:color w:val="auto"/>
              </w:rPr>
              <w:t>129,000</w:t>
            </w:r>
          </w:p>
        </w:tc>
        <w:tc>
          <w:tcPr>
            <w:tcW w:w="120" w:type="dxa"/>
            <w:vAlign w:val="bottom"/>
            <w:tcBorders>
              <w:right w:val="single" w:sz="8" w:color="auto"/>
            </w:tcBorders>
            <w:shd w:val="clear" w:color="auto" w:fill="CCFFCC"/>
          </w:tcPr>
          <w:p>
            <w:pPr>
              <w:spacing w:after="0"/>
              <w:rPr>
                <w:sz w:val="18"/>
                <w:szCs w:val="18"/>
                <w:color w:val="auto"/>
              </w:rPr>
            </w:pPr>
          </w:p>
        </w:tc>
        <w:tc>
          <w:tcPr>
            <w:tcW w:w="800" w:type="dxa"/>
            <w:vAlign w:val="bottom"/>
            <w:gridSpan w:val="2"/>
            <w:shd w:val="clear" w:color="auto" w:fill="CCFFCC"/>
          </w:tcPr>
          <w:p>
            <w:pPr>
              <w:jc w:val="right"/>
              <w:ind w:right="62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175,000</w:t>
            </w:r>
          </w:p>
        </w:tc>
        <w:tc>
          <w:tcPr>
            <w:tcW w:w="580" w:type="dxa"/>
            <w:vAlign w:val="bottom"/>
            <w:gridSpan w:val="2"/>
            <w:shd w:val="clear" w:color="auto" w:fill="CCFFCC"/>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222,000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2011</w:t>
      </w:r>
    </w:p>
    <w:p>
      <w:pPr>
        <w:spacing w:after="0" w:line="20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 BACKGROUND, BASIS OF PRESENTATION AND REVERSE ACQUISITION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Xcel Brands, Inc. ("XCel", “we”, “our” or the "Company") engages in the design, licensing, and marketing of the Isaac Mizrahi brand with a focus on a variety of product categories featuring the IM Trademarks.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29, 2011, NetFabric Holdings, Inc. (NetFabrics), a public “Shell Company”, entered into an Agreement of Merger and Plan of Reorganization (the “Merger Agreement”) pursuant to which a subsidiary of NetFabrics was merged with and into XCel, with XCel surviving as a wholly-owned subsidiary of the Company (the “Merger”). This resulted in the owners of XCel (the "accounting acquirer") having actual or effective operating control of the Company after the transaction, with the shareholders of NetFabrics (the "legal acquirer") continuing only as passive investors. No goodwill was recognized since Net Fabrics was a Shell Company.</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Also on September 29, 2011, the Company acquired the Isaac Mizrahi Business (the “Transaction”) (see Note 3). The Transaction was accounted for as a business combination, whereby the purchase price paid to effect the Transaction was allocated to record acquired assets and assumed liabilities at their fair value as of the acquisition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XCel had limited operations prior to the Transaction, the Isaac Mizrahi Business was deemed to be the Predecessor of the Company for financial statement presentation purposes. Accordingly, the accompanying financial statements designate periods preceding the Transaction as relating to the Predecessor and all references to periods after September 29, 2011 (Transaction date) shall be referred to as Successor.</w:t>
      </w:r>
    </w:p>
    <w:p>
      <w:pPr>
        <w:spacing w:after="0" w:line="17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consolidated financial statements include the accounts of Xcel Brands, Inc. and its wholly owned subsidiaries. The consolidated financial statements have been prepared in accordance with accounting principles generally accepted in the United States of America and in accordance with the SEC’s accounting rules under Regulation S-X. All material inter-company accounts and transactions have been eliminated in consolidation.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auto"/>
        </w:rPr>
        <w:t>Presentation of Predecessor Financial Statements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statements covered by the Predecessor have been prepared for the purpose of complying with the rules and regulations of the U.S. Securities and Exchange Commission. The Isaac Mizrahi Business ("Licensing Business") is not a separate legal entity, thus the financial statements are not necessarily indicative of the results of operations that would have occurred if the Licensing Business had been operated as a separate legal entity. IM Ready’s net investment in the Licensing Business (“Parent’s Equity in Unit”) is shown in lieu of stockholders’ equity in the financial statements.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allocations and estimates in the accompanying Predecessor financial statements are based on assumptions that IM Ready and Xcel management (collectively “management”) believe are reasonable, and reasonably approximate the historical costs that the Licensing Business would have incurred as a separate entity. However, these allocations and estimates are not necessarily indicative of the costs and expenses that would have resulted if the Licensing Business had been operated as a separate entity. The allocation of expenses were made to comply with the guidance provided by Staff Accounting Bulletin Topic 1B1, “Allocation of Expenses and Related Disclosure in Financial Statements of Subsidiaries, Divisions or Lesser Business Components of another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year. Actual results could be affected by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highly-liquid investments with original maturities of three months or less to be cash equivalents.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amounts of the Company’s assets and liabilities approximate their fair value presented in the accompanying Consolidated Balance Sheets, due to their short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Furniture and equipment are recorded at cost and depreciated using the straight-line method over their estimated useful lives, generally three (3) to seven (7) years. Leasehold improvements are amortized over the shorter of their estimated useful lives or the terms of the leases. Betterments and improvements are capitalized, while repairs and maintenance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 Goodwill and Other Intangible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represents the excess of cost over the fair value of net assets of businesses acquired. The Company accounts for goodwill under the guidance of the Accounting Standards Codification (“ASC”) Topic 350 – “Intangibles: Goodwill and Other”. Goodwill and other intangible assets acquired in a purchase business combination and determined to have an indefinite useful life are not amortized, but instead tested for impairment, at least annually, in accordance with this guidance. This guidance also requires that intangible assets with estimable useful lives be amortized over their respective estimated useful lives to their estimated residual values, and reviewed for impairment.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guidance of ASC Topic 350, long-lived assets, such as property and equipment and purchased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incurred in connection with debt offerings are deferred and amortized as interest expense over the term of the related debt using the effective interest method. The amortization expense is included in interest expense in the consolidated statements of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Contingent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will analyze and quantify the expected earn-out payments over the applicable pay-out period. Management will assess no less frequently than each reporting period the status of contingent obligations. Any change in the expected obligation will result in an expense or income recognized in the period in which it is determined fair market value of the carrying value has 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is the tax payable for the period and the change during the period in deferred tax assets and liabilities. Deferred income taxes are determined based on the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ASC Topic 740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(50%) or greater of being realized upon ultimate settlement with the tax authority, assuming full knowledge of the position and all relevant facts.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revenue when persuasive evidence of a sale arrangement exists, delivery has occurred and services have been rendered, the sales price is fixed and determinable, and collectability is reasonable assured. The Company has two types of revenues: (i) royalties based on the sale of products by its licensees or other contractual partners, and (ii) design service fees based on services provided. Revenues from royalties are recognized when earned, which includes guaranteed minimum royalties, if any, and additional revenues based on a percentage of defined sales by our licensees or other contractual partners for each period. Royalties exceeding the guaranteed minimum amounts are recognized as income during the period that corresponds to the licensee’s or partner’s sales.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Design service fees are recorded and recognized in accordance with the terms and conditions of each design fee contract, including the Company meeting its obligations and providing the relevant services under each contract. Generally, we record on a straight line basis each base fee as stated in each design fee service agreement for the covered period and, if applicable, we recognize additional payments received that is related to a future period as deferred revenue, until service is provided or revenue is earned.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instruments which potentially subject us to concentrations of credit risk consist principally of cash and cash equivalents, and accounts receivable. We limit our credit risk with respect to cash by maintaining cash balances with quality financial institutions. At December 31, 2011, our cash and cash equivalents exceeded FDIC limits. Concentrations of credit risk with respect to accounts receivable are minimal due to the limited amount of outstanding receivables and due to the nature of our royalty revenues. Generally, we do not require collateral or other security to support accounts receivables.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QVC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acquisition of the Isaac Mizrahi Business, the Company acquired a direct-to-retail license agreement with QVC that was entered into in January 2009 and amended and restated on September 29, 2011 in connection with the acquisition (as amended, the “QVC Agreement”). Pursuant to the QVC Agreement, the Company designs, and QVC sources and sells, various products under the “IsaacMizrahiLIVE” brand. The IsaacMizrahiLIVE licensing program launched on QVC in 2010, and includes the sale of products across various categories including apparel, footwear, handbags, accessories, kitchen, soft home, and food through QVC’s television media and related Internet sites primarily in the United States. The initial term of the QVC Agreement continues through September 30, 2015, and renews automatically for successive one-year periods unless terminated by either party. Under the QVC Agreement, QVC has agreed to pay royalties based primarily on a percentage of QVC's net sales of Isaac Mizrahi branded merchandise. Royalty revenues from QVC totaled approximately $1,936,000 for the period from September 29, 2011 to December 31, 2011 (the Successor period), representing 67% of the Company’s total revenues. Royalty revenues from QVC totaled approximately $5,436,000 and $4,492,000 for the period from January 1, 2011 to September 28, 2011, and the year ending December 31, 2010, respectively (the Predecessor periods) , which represents 62% and 46% of total revenues for the Isaac Mizrahi Business, respectively. As of December 31, 2011, the Company had a receivable from QVC in the amount of $1,900,000, representing 87% of the Company’s receivables. As of September 28, 2011 and December 31, 2010, the Predecessor had a receivable from QVC in the amount of $1,650,000 and $1,650,000 representing 85% and 93% of the Predecessor’s receivables,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LCNY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acquisition of the Isaac Mizrahi Business, the Company assumed and entered into an amended and restated agreement (the “LCNY Agreement”) with Liz Claiborne, Inc. (“LC”) dated September 29, 2011. Pursuant to the LCNY Agreement, the Company provides design services to LC for the “Liz Claiborne New York” brand, which is sold exclusively through QVC. The initial term of the LCNY Agreement continues through July 31, 2013. Under the LC Agreement, LC has agreed to pay the Company royalties based primarily on a percentage of royalties LC receives from QVC under a separate license agreement between LC and QVC. Revenues under the LCNY Agreement totaled approximately $383,000 for the period from September 29, 2011 to December 31, 2011, representing 13% of the Company’s total revenues. Revenues from the LCNY Agreement (and a previous design agreement with LC) totaled approximately $2,455,000 and $2,723,000 for the periods from January 1, 2011 to September 28, 2011, and the year ending December 31, 2010, respectively, representing 28% and 28% of total revenues for the Isaac Mizrahi Business, respectively. The revenues during the Predecessor period includes amortized revenue of $1,748,000 and $2,347,000 for the periods from January 1, 2011 to September 28, 2011 and the year ended December 31, 2010, respectively that relates to a one-time fee of $9,000,000 that the Predecessor received from LC in 2009, which was recorded as a deferred royalty payment (other liabilities) on the balance sheet in the financial statements of the Predecessor. This amount was being amortized by the Predecessor on a straight line basis over the life of the LCNY Agreement. Following its acquisition of the Isaac Mizrahi Business, the Company is not receiving the benefits of the one-time payment and has not recorded any deferred royalty payment as a result of the one-time payment.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LC/QVC Design fees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Transactions, the Company also assumed an agreement with QVC whereby the Company will receive an annual design fee from QVC for the term of the LCNY Agreement (the “Design Agreement”), which fee is intended to cover certain design expenses of the Company related to the Liz Claiborne New York brand. Revenues from the Design Agreement totaled approximately $282,000 for the period from September 29, 2011 to December 31, 2011, or 10% of the Company’s total revenues. Revenues from the Design Agreement totaled approximately $818,000 and $1,100,000 for the periods from January 1, 2011 to September 28, 2011 and the year ended December 31, 2010, respectively, representing 9% and 11% of total revenues for the Isaac Mizrahi Business,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Based Compensation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stock-based compensation in accordance with ASC Topic 718 by recognizing the fair value of stock-based compensation in the consolidated statement of operations. The fair value of the Company’s stock option awards are estimated using a Black-Scholes option valuation model. This model requires the input of highly subjective assumptions and elections including expected stock price volatility and the estimated life of each award. In addition, the calculation of compensation costs requires that the Company estimate the number of awards that will be forfeited during the vesting period. The fair value of stock-based awards is amortized over the vesting period of the awards. For stock-based awards that vest based on performance conditions (e.g. achievement of certain milestones), expense is recognized when it is probable that the condition will be met.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cost for restricted stock is measured using the market price of the Company’s common stock at the date the common stock is granted. The compensation cost is recognized over the period between the issue date and the date any restrictions lapse.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per share excludes dilution and is computed by dividing net income (or loss) available to common stockholders by the weighted average number of common shares outstanding for the period. Diluted earnings per share reflect, in periods in which they have a dilutive effect, the effect of common shares issuable upon the exercise of stock options and warrants. The difference between basic and diluted weighted-average common shares results from the assumption that all dilutive stock options, warrants and restricted stock outstanding were exercised into common stock.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2011, 267,701 shares issuable upon exercise of options and 473,550 shares issuable upon exercise of warrants were excluded from the calculation of earnings per share because they were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ind w:left="660" w:hanging="328"/>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the Isaac Mizrahi Business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19, 2011, Xcel Brands, Inc. entered into an asset purchase agreement, as amended (the “Purchase Agreement”), with IM Ready-Made, LLC (“IM Ready”), Isaac Mizrahi and Marisa Gardini, pursuant to which the Buyers acquired certain assets of IM Ready, including (i) the “Isaac Mizrahi” brands (including the trademarks and brands “Isaac Mizrahi New York”, “Isaac Mizrahi”, “IsaacMizrahiLIVE” and “M”) (collectively, the “IM Trademarks”), (ii) the license agreements between IM Ready and certain third parties related to the IM Trademarks including the QVC Agreement (together with the IM Trademarks, the “Isaac Mizrahi Business”), (iii) design agreements with Liz Claiborne (the LCNY Agreement) and QVC (the Design Agreement) to design the “Liz Claiborne New York” brand for sale exclusively at QVC, (iv) computers, design software, and assumption of the operating lease and the related leasehold improvements related to the licensing and design of the IM Trademarks and the design of the Liz Claiborne New York brand and (v) proprietary designs and design process, trade dress, trade names, personal names, images and likenesses, product configuration, corporate names, logos, insignias and slogans and Internet domain names, Internet websites, and URL’s Internet and phone applications and systems. The parties consummated the asset purchase contemplated by the Purchase Agreement on September 29, 2011.</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an agreement between IM Ready and Earthbound, LLC (“Earthbound”), a design and licensing company (the “Earthbound Agreement”), Earthbound had certain rights related to the IM Trademarks and provided certain design services for IM Ready. In connection with the consummation of the acquisition by the Company of the Isaac Mizrahi Business, XCel and Earthbound entered into a contribution agreement (the “Contribution Agreement”) pursuant to which, on the Closing Date, Earthbound contributed to the Company (i) the Earthbound Agreement and (ii) certain assets relating to the operation of the Isaac Mizrahi Business in exchange for 944,688 shares of Common Stock and also purchased one (1) Unit in the Offering (as defined in Note 6 below). The closing of the acquisition of the Isaac Mizrahi Business and Earthbound Assets occurred in conjunction with the consummation of the Merger, after which the Company terminated the Earthbound Agreement. Earthbound contributed to the Company, the Earthbound Agreement and certain assets in exchange for 944,688 shares of the Company’s Common Stock valued at $3,155,000 based on the Effective Share Purchase Price.</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Pursuant to the Purchase Agreement, at the closing, the Buyers delivered (i) to IM Ready (a) $9,674,000 in cash, (b) a promissory note (the “Seller Note”) in the principal amount of $7,377,000 and (c) 2,759,000 shares of common stock of the Company (the “IM Ready Stock Consideration”), and (ii) to an escrow agent $500,000 that the escrow agent agreed pay to IM Ready upon resolution of certain obligations of IM Ready and Mizrahi (together, the “Closing Consideration”). The Company also pre-paid $123,000 of interest on the Note on the Closing Date and agreed to include up to 1,200,000 of the shares of the IM Ready Stock Consideration in the registration statement which the Company has agreed to file to register for resale of the Shares and Warrant Shares of the Investors (the “Registration Statement”). The Company does not have a penalty provision relating to the registration of these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XCel was deemed to be the accounting acquirer of the Isaac Mizrahi Business based on various qualitative and quantitative factors including:</w:t>
      </w:r>
    </w:p>
    <w:p>
      <w:pPr>
        <w:spacing w:after="0" w:line="23" w:lineRule="exact"/>
        <w:rPr>
          <w:sz w:val="20"/>
          <w:szCs w:val="20"/>
          <w:color w:val="auto"/>
        </w:rPr>
      </w:pPr>
    </w:p>
    <w:p>
      <w:pPr>
        <w:ind w:left="1300" w:hanging="320"/>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 of XCel accounts for substantially all of the management of the combined entities. The CEO, CFO, COO and Secretary all continue in the combined entity.</w:t>
      </w:r>
    </w:p>
    <w:p>
      <w:pPr>
        <w:ind w:left="1300" w:hanging="320"/>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Seven members compose the board of directors. All members were selected by XCel, including one director who was a principal of IM Ready and director who was a principal of Earthbound.</w:t>
      </w:r>
    </w:p>
    <w:p>
      <w:pPr>
        <w:jc w:val="both"/>
        <w:ind w:left="1300" w:hanging="320"/>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 Ready granted a proxy to the Company’s board of directors to vote its stock in accordance with the recommendation of the board of directors and Robert D’Loren, who was Chairman of the board of directors of XCel and has been designated by the Company’s board of directors to exercise such proxy.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XCel management as a group makes up the largest minority voting group. There is no majority stockholder.</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accounts for purchase of the Isaac Mizrahi Business using the acquisition method of accounting.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the total purchase consideration is allocated to certain net tangible and identifiable intangible assets acquired, and liabilities assumed,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estimated fair values as of September 29,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2"/>
          </w:tcPr>
          <w:p>
            <w:pPr>
              <w:ind w:left="660"/>
              <w:spacing w:after="0"/>
              <w:rPr>
                <w:sz w:val="20"/>
                <w:szCs w:val="20"/>
                <w:color w:val="auto"/>
              </w:rPr>
            </w:pPr>
            <w:r>
              <w:rPr>
                <w:rFonts w:ascii="Arial" w:cs="Arial" w:eastAsia="Arial" w:hAnsi="Arial"/>
                <w:sz w:val="18"/>
                <w:szCs w:val="18"/>
                <w:color w:val="auto"/>
              </w:rPr>
              <w:t>The purchase price for the acquisition is being allocated as follows: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ind w:left="660"/>
              <w:spacing w:after="0"/>
              <w:rPr>
                <w:sz w:val="20"/>
                <w:szCs w:val="20"/>
                <w:color w:val="auto"/>
              </w:rPr>
            </w:pPr>
            <w:r>
              <w:rPr>
                <w:rFonts w:ascii="Arial" w:cs="Arial" w:eastAsia="Arial" w:hAnsi="Arial"/>
                <w:sz w:val="18"/>
                <w:szCs w:val="18"/>
                <w:color w:val="auto"/>
              </w:rPr>
              <w:t>Components of purchase price: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Cash paid at closing</w:t>
            </w:r>
          </w:p>
        </w:tc>
        <w:tc>
          <w:tcPr>
            <w:tcW w:w="11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$ 9,674,000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Cash deposited with escrow agent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w w:val="91"/>
              </w:rPr>
              <w:t>3,703,688 shares of common stock of the Company valued at $3.34 per share</w:t>
            </w:r>
          </w:p>
        </w:tc>
        <w:tc>
          <w:tcPr>
            <w:tcW w:w="11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12,370,000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Seller Note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7,377,000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Seller Note discount (See Note 5, Debt)</w:t>
            </w:r>
          </w:p>
        </w:tc>
        <w:tc>
          <w:tcPr>
            <w:tcW w:w="11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(1,740,000)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Contingent obligations – Due to Seller</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17,766,000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Long term installment obligation (Earthbound) (See Note 5, Debt)</w:t>
            </w:r>
          </w:p>
        </w:tc>
        <w:tc>
          <w:tcPr>
            <w:tcW w:w="11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1,132,000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Seller Licensee obligation assumed and paid at closing</w:t>
            </w:r>
          </w:p>
        </w:tc>
        <w:tc>
          <w:tcPr>
            <w:tcW w:w="1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00" w:type="dxa"/>
            <w:vAlign w:val="bottom"/>
          </w:tcPr>
          <w:p>
            <w:pPr>
              <w:spacing w:after="0"/>
              <w:rPr>
                <w:sz w:val="21"/>
                <w:szCs w:val="21"/>
                <w:color w:val="auto"/>
              </w:rPr>
            </w:pPr>
          </w:p>
        </w:tc>
        <w:tc>
          <w:tcPr>
            <w:tcW w:w="568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b w:val="1"/>
                <w:bCs w:val="1"/>
                <w:color w:val="auto"/>
              </w:rPr>
              <w:t>Total purchase price</w:t>
            </w:r>
          </w:p>
        </w:tc>
        <w:tc>
          <w:tcPr>
            <w:tcW w:w="180" w:type="dxa"/>
            <w:vAlign w:val="bottom"/>
            <w:tcBorders>
              <w:bottom w:val="single" w:sz="8" w:color="CCFFCC"/>
              <w:right w:val="single" w:sz="8" w:color="CCFFCC"/>
            </w:tcBorders>
            <w:shd w:val="clear" w:color="auto" w:fill="CCFFCC"/>
          </w:tcPr>
          <w:p>
            <w:pPr>
              <w:spacing w:after="0"/>
              <w:rPr>
                <w:sz w:val="21"/>
                <w:szCs w:val="21"/>
                <w:color w:val="auto"/>
              </w:rPr>
            </w:pPr>
          </w:p>
        </w:tc>
        <w:tc>
          <w:tcPr>
            <w:tcW w:w="980" w:type="dxa"/>
            <w:vAlign w:val="bottom"/>
            <w:tcBorders>
              <w:bottom w:val="single" w:sz="8" w:color="auto"/>
              <w:right w:val="single" w:sz="8" w:color="CCFFCC"/>
            </w:tcBorders>
            <w:shd w:val="clear" w:color="auto" w:fill="CCFFC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48,579,000</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980" w:type="dxa"/>
            <w:vAlign w:val="bottom"/>
            <w:gridSpan w:val="2"/>
          </w:tcPr>
          <w:p>
            <w:pPr>
              <w:ind w:left="820"/>
              <w:spacing w:after="0"/>
              <w:rPr>
                <w:sz w:val="20"/>
                <w:szCs w:val="20"/>
                <w:color w:val="auto"/>
              </w:rPr>
            </w:pPr>
            <w:r>
              <w:rPr>
                <w:rFonts w:ascii="Arial" w:cs="Arial" w:eastAsia="Arial" w:hAnsi="Arial"/>
                <w:sz w:val="18"/>
                <w:szCs w:val="18"/>
                <w:color w:val="auto"/>
              </w:rPr>
              <w:t>Preliminary allocation of purchase price:</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Trademark and other related intangible assets</w:t>
            </w:r>
          </w:p>
        </w:tc>
        <w:tc>
          <w:tcPr>
            <w:tcW w:w="11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$ 57,596,000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Property, furniture and equipment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1,233,000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Deferred tax liability</w:t>
            </w:r>
          </w:p>
        </w:tc>
        <w:tc>
          <w:tcPr>
            <w:tcW w:w="180" w:type="dxa"/>
            <w:vAlign w:val="bottom"/>
            <w:tcBorders>
              <w:right w:val="single" w:sz="8" w:color="CCFFCC"/>
            </w:tcBorders>
            <w:shd w:val="clear" w:color="auto" w:fill="CCFFCC"/>
          </w:tcPr>
          <w:p>
            <w:pPr>
              <w:spacing w:after="0"/>
              <w:rPr>
                <w:sz w:val="18"/>
                <w:szCs w:val="18"/>
                <w:color w:val="auto"/>
              </w:rPr>
            </w:pPr>
          </w:p>
        </w:tc>
        <w:tc>
          <w:tcPr>
            <w:tcW w:w="9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4"/>
              </w:rPr>
              <w:t>(10,250,000)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680" w:type="dxa"/>
            <w:vAlign w:val="bottom"/>
            <w:shd w:val="clear" w:color="auto" w:fill="CCFFCC"/>
          </w:tcPr>
          <w:p>
            <w:pPr>
              <w:spacing w:after="0" w:line="20" w:lineRule="exact"/>
              <w:rPr>
                <w:sz w:val="1"/>
                <w:szCs w:val="1"/>
                <w:color w:val="auto"/>
              </w:rPr>
            </w:pPr>
          </w:p>
        </w:tc>
        <w:tc>
          <w:tcPr>
            <w:tcW w:w="180" w:type="dxa"/>
            <w:vAlign w:val="bottom"/>
            <w:tcBorders>
              <w:right w:val="single" w:sz="8" w:color="auto"/>
            </w:tcBorders>
            <w:shd w:val="clear" w:color="auto" w:fill="CCFFCC"/>
          </w:tcPr>
          <w:p>
            <w:pPr>
              <w:spacing w:after="0" w:line="20" w:lineRule="exact"/>
              <w:rPr>
                <w:sz w:val="1"/>
                <w:szCs w:val="1"/>
                <w:color w:val="auto"/>
              </w:rPr>
            </w:pPr>
          </w:p>
        </w:tc>
        <w:tc>
          <w:tcPr>
            <w:tcW w:w="980" w:type="dxa"/>
            <w:vAlign w:val="bottom"/>
            <w:tcBorders>
              <w:right w:val="single" w:sz="8" w:color="CCFFCC"/>
            </w:tcBorders>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$ 48,579,000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jc w:val="right"/>
              <w:ind w:right="209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980" w:type="dxa"/>
            <w:vAlign w:val="bottom"/>
            <w:tcBorders>
              <w:bottom w:val="single" w:sz="8" w:color="auto"/>
            </w:tcBorders>
            <w:gridSpan w:val="2"/>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967"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color w:val="auto"/>
        </w:rPr>
        <w:t>Intangible assets were valued using an independent valuation firm. The trademarks we acquired are considered to have an indefinite life and are not subject to amortization. Value allocated to contracts is amortized on a straight line basis over the estimated remaining life of the contracts.</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to the Closing Consideration and the escrowed funds, IM Ready will be eligible to earn additional shares of Common Stock with a value of up to $7,500,000 (the “Earn-Out Value”) each year for four consecutive years after the Closing Date, with the number of shares to be issued based upon the greater of (i) $4.50 and (ii) average stock price for the last twenty days in such period and with such earn-out payment contingent upon the Isaac Mizrahi Business achieving the “Net Royalty Income” targets set forth below during those years. The Earn-Out Value is payable solely in stock. In accordance with ASC Topic 480 "Distinguishing Liabilities from Equity", the earn-out obligation is treated as a liability in the accompanying consolidated balance sheet because of the variable number of shares payable under the agreement. Under the Purchase Agreement, “Net Royalty Income” means booked revenue for the Isaac Mizrahi Business, less the sum of advertising royalties, commissions paid to third parties, payments under royalty sharing or participation agreements, and international withholding (solely to the extent the Buyers are unable to claim a federal tax credit with respect to such international withholding) and other transfer taxes, in each case to the extent related to such booked revenue, calculated in accordance with generally accepted accounting principles in the United States of America (“U.S. GAAP”); provided, however, that, (i) Net Royalty Income shall not include any deferred revenues recognized during the period for which Net Royalty Income is being calculated for which the Buyers have not received the related payment, and (ii) in the event of the termination of a license agreement with respect to the Isaac Mizrahi Business, the calculation of Net Royalty Income shall not include any revenue accelerated as a result of termination for which termination the Buyers have not received the related payment. The earn-out value was valued at $15,000,000 at the acquisition date of the Isaac Mizrahi Business (the “Earn-Out Obligation”). This amount was based on projected royalties during the Royalty Target Periods and the aggregate amount of earn-out consideration due for each Royalty Target Period. Any change in the expected obligation will result in an expense or income in the period in which it is determined fair market value of the carrying value has changed. The Royalty Targets and percentage of the potential earn-out value are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ROYALTY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EARN-OUT</w:t>
            </w:r>
          </w:p>
        </w:tc>
        <w:tc>
          <w:tcPr>
            <w:tcW w:w="0" w:type="dxa"/>
            <w:vAlign w:val="bottom"/>
          </w:tcPr>
          <w:p>
            <w:pPr>
              <w:spacing w:after="0"/>
              <w:rPr>
                <w:sz w:val="1"/>
                <w:szCs w:val="1"/>
                <w:color w:val="auto"/>
              </w:rPr>
            </w:pPr>
          </w:p>
        </w:tc>
      </w:tr>
      <w:tr>
        <w:trPr>
          <w:trHeight w:val="234"/>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ROYALTY TARGET PERIODS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TARGET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First Royalty Target Period</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16,000,000</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Second Royalty Target Period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Third Royalty Target Period</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22,000,000</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Fourth Royalty Target Period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IM Ready will receive a percentage of the Earn-Out Value based upon the percentage of the actual net royalty income of the Isaac Mizrahi Business to the royalty target as set forth below.</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APPLICABLE</w:t>
            </w:r>
          </w:p>
        </w:tc>
        <w:tc>
          <w:tcPr>
            <w:tcW w:w="8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 OF EARN-OUT</w:t>
            </w:r>
          </w:p>
        </w:tc>
        <w:tc>
          <w:tcPr>
            <w:tcW w:w="0" w:type="dxa"/>
            <w:vAlign w:val="bottom"/>
          </w:tcPr>
          <w:p>
            <w:pPr>
              <w:spacing w:after="0"/>
              <w:rPr>
                <w:sz w:val="1"/>
                <w:szCs w:val="1"/>
                <w:color w:val="auto"/>
              </w:rPr>
            </w:pPr>
          </w:p>
        </w:tc>
      </w:t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PERCENTAGE</w:t>
            </w:r>
          </w:p>
        </w:tc>
        <w:tc>
          <w:tcPr>
            <w:tcW w:w="8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VALUE EARNED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Less than 76%</w:t>
            </w:r>
          </w:p>
        </w:tc>
        <w:tc>
          <w:tcPr>
            <w:tcW w:w="8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76% up to 80%</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80% up to 90%</w:t>
            </w:r>
          </w:p>
        </w:tc>
        <w:tc>
          <w:tcPr>
            <w:tcW w:w="17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90% up to 95%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FFCC"/>
          </w:tcPr>
          <w:p>
            <w:pPr>
              <w:spacing w:after="0"/>
              <w:rPr>
                <w:sz w:val="20"/>
                <w:szCs w:val="20"/>
                <w:color w:val="auto"/>
              </w:rPr>
            </w:pPr>
            <w:r>
              <w:rPr>
                <w:rFonts w:ascii="Arial" w:cs="Arial" w:eastAsia="Arial" w:hAnsi="Arial"/>
                <w:sz w:val="18"/>
                <w:szCs w:val="18"/>
                <w:color w:val="auto"/>
              </w:rPr>
              <w:t>95% up to 100%</w:t>
            </w:r>
          </w:p>
        </w:tc>
        <w:tc>
          <w:tcPr>
            <w:tcW w:w="17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100% or greater</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QVC Earn-Out payment requires the Company to pay IM Ready $2,765,000, payable in cash or Common Stock, at the Company’s option, contingent upon the Isaac Mizrahi Business receiving aggregate net royalty income of at least $2,500,000 from QVC, Inc. in the twelve month period ending on the four year anniversary of the Closing Date with such stock based upon the greater of (x) $4.50 and (y) fair market value of the common stock at the time of such issuance (the “QVC Earn-out’). The 4th anniversary from the date of the closing is September 29, 2015. The QVC Agreement current term runs through September 30, 2015. Management has determined that is probable that the $2.5 million in net royalty income from QVC will be met. In accordance with ASC Topic 480 "Distinguishing Liabilities from Equity", the earn-out obligation is treated as a liability in the accompanying consolidated balance sheet because of the variable number of shares payable under the agreement</w:t>
      </w:r>
      <w:r>
        <w:rPr>
          <w:rFonts w:ascii="Arial" w:cs="Arial" w:eastAsia="Arial" w:hAnsi="Arial"/>
          <w:sz w:val="18"/>
          <w:szCs w:val="18"/>
          <w:color w:val="FF0000"/>
        </w:rPr>
        <w:t>.</w:t>
      </w:r>
      <w:r>
        <w:rPr>
          <w:rFonts w:ascii="Arial" w:cs="Arial" w:eastAsia="Arial" w:hAnsi="Arial"/>
          <w:sz w:val="18"/>
          <w:szCs w:val="18"/>
          <w:color w:val="auto"/>
        </w:rPr>
        <w:t xml:space="preserve"> Management will assess no less frequent than each reporting period the status of this contingent obligation. Any change in the expected obligation will result in an expense or income in the period in which it is determined fair market value has changed.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2011 the QVC Earn-out is $2,765,000 and the Earn-Out Value is $15,000,000, combining to equal $17,765,000 and represents the total contingent obligation to IM Ready. Based on the variables relating to each contingent obligation, the Company estimates the range in the combined contingent obligation from $12,000,000 to $21,000,000.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4" w:name="page45"/>
    <w:bookmarkEnd w:id="44"/>
    <w:p>
      <w:pPr>
        <w:jc w:val="both"/>
        <w:spacing w:after="0" w:line="271" w:lineRule="auto"/>
        <w:rPr>
          <w:sz w:val="20"/>
          <w:szCs w:val="20"/>
          <w:color w:val="auto"/>
        </w:rPr>
      </w:pPr>
      <w:r>
        <w:rPr>
          <w:rFonts w:ascii="Arial" w:cs="Arial" w:eastAsia="Arial" w:hAnsi="Arial"/>
          <w:sz w:val="17"/>
          <w:szCs w:val="17"/>
          <w:color w:val="auto"/>
        </w:rPr>
        <w:t>Pursuant to a lock-up agreement entered into in connection with the Purchase Agreement (“Lock-up Agreement”), IM Ready agreed that during the six (6) months from the Closing Date, in the case of the IM Ready Stock Consideration, or during the twelve (12) months from the date any additional shares are issued to IM Ready pursuant to the Purchase Agreement (collectively, the “Lock-up Shares”), IM Ready may not offer, sell, pledge, hypothecate, grant an option for sale or otherwise dispose of, or transfer or grant any rights with respect to, any of the Lockup Shares, except with respect to up to 1,200,000 of the IM Ready Stock Consideration which the Company agreed to include in the Registration Statement. With respect to any shares received by IM Ready as consideration under the Purchase Agreement, other than as IM Ready Stock Consideration, upon the expiration of the initial 12-month period, the lock-up restrictions on transfer shall lapse with respect to 25% of the Lockup Shares. Additionally, on the first day of each of the next three quarters, the restrictions on transfer shall lapse with respect to an additional 25% of the Lockup Shares.</w:t>
      </w:r>
    </w:p>
    <w:p>
      <w:pPr>
        <w:spacing w:after="0" w:line="1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following unaudited pro-forma information presents a summary of the Company’s consolidated results of operations as if the acquisition of the Isaac Mizrahi Business and the related financing had occurred on January 1, 2010. These pro-forma results have been prepared for comparative purposes only and do not purport to be indicative of the results of operations which actually would have occurred on January 1, 2010, or which may result in the future.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5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w w:val="92"/>
              </w:rPr>
              <w:t>December 31, 2010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Revenues</w:t>
            </w:r>
          </w:p>
        </w:tc>
        <w:tc>
          <w:tcPr>
            <w:tcW w:w="18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11,375,000</w:t>
            </w:r>
          </w:p>
        </w:tc>
        <w:tc>
          <w:tcPr>
            <w:tcW w:w="140" w:type="dxa"/>
            <w:vAlign w:val="bottom"/>
            <w:shd w:val="clear" w:color="auto" w:fill="CCFFCC"/>
          </w:tcPr>
          <w:p>
            <w:pPr>
              <w:spacing w:after="0"/>
              <w:rPr>
                <w:sz w:val="21"/>
                <w:szCs w:val="21"/>
                <w:color w:val="auto"/>
              </w:rPr>
            </w:pPr>
          </w:p>
        </w:tc>
        <w:tc>
          <w:tcPr>
            <w:tcW w:w="2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21"/>
                <w:szCs w:val="21"/>
                <w:color w:val="auto"/>
              </w:rPr>
            </w:pPr>
          </w:p>
        </w:tc>
        <w:tc>
          <w:tcPr>
            <w:tcW w:w="12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9,796,000</w:t>
            </w:r>
          </w:p>
        </w:tc>
        <w:tc>
          <w:tcPr>
            <w:tcW w:w="80" w:type="dxa"/>
            <w:vAlign w:val="bottom"/>
            <w:shd w:val="clear" w:color="auto" w:fill="CCFFCC"/>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vMerge w:val="restart"/>
          </w:tcPr>
          <w:p>
            <w:pPr>
              <w:spacing w:after="0"/>
              <w:rPr>
                <w:sz w:val="17"/>
                <w:szCs w:val="17"/>
                <w:color w:val="auto"/>
              </w:rPr>
            </w:pPr>
          </w:p>
        </w:tc>
        <w:tc>
          <w:tcPr>
            <w:tcW w:w="2400" w:type="dxa"/>
            <w:vAlign w:val="bottom"/>
            <w:tcBorders>
              <w:top w:val="single" w:sz="8" w:color="CCFFCC"/>
            </w:tcBorders>
          </w:tcPr>
          <w:p>
            <w:pPr>
              <w:spacing w:after="0"/>
              <w:rPr>
                <w:sz w:val="17"/>
                <w:szCs w:val="17"/>
                <w:color w:val="auto"/>
              </w:rPr>
            </w:pPr>
          </w:p>
        </w:tc>
        <w:tc>
          <w:tcPr>
            <w:tcW w:w="480" w:type="dxa"/>
            <w:vAlign w:val="bottom"/>
            <w:tcBorders>
              <w:top w:val="single" w:sz="8" w:color="CCFFCC"/>
            </w:tcBorders>
          </w:tcPr>
          <w:p>
            <w:pPr>
              <w:spacing w:after="0"/>
              <w:rPr>
                <w:sz w:val="17"/>
                <w:szCs w:val="17"/>
                <w:color w:val="auto"/>
              </w:rPr>
            </w:pPr>
          </w:p>
        </w:tc>
        <w:tc>
          <w:tcPr>
            <w:tcW w:w="1820" w:type="dxa"/>
            <w:vAlign w:val="bottom"/>
            <w:tcBorders>
              <w:top w:val="single" w:sz="8" w:color="CCFFCC"/>
            </w:tcBorders>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640" w:type="dxa"/>
            <w:vAlign w:val="bottom"/>
            <w:tcBorders>
              <w:top w:val="single" w:sz="8" w:color="CCFF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82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8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1,172,000</w:t>
            </w:r>
          </w:p>
        </w:tc>
        <w:tc>
          <w:tcPr>
            <w:tcW w:w="140" w:type="dxa"/>
            <w:vAlign w:val="bottom"/>
            <w:shd w:val="clear" w:color="auto" w:fill="CCFFCC"/>
          </w:tcPr>
          <w:p>
            <w:pPr>
              <w:spacing w:after="0"/>
              <w:rPr>
                <w:sz w:val="22"/>
                <w:szCs w:val="22"/>
                <w:color w:val="auto"/>
              </w:rPr>
            </w:pPr>
          </w:p>
        </w:tc>
        <w:tc>
          <w:tcPr>
            <w:tcW w:w="200" w:type="dxa"/>
            <w:vAlign w:val="bottom"/>
            <w:tcBorders>
              <w:lef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22"/>
                <w:szCs w:val="22"/>
                <w:color w:val="auto"/>
              </w:rPr>
            </w:pPr>
          </w:p>
        </w:tc>
        <w:tc>
          <w:tcPr>
            <w:tcW w:w="126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1,418,000</w:t>
            </w:r>
          </w:p>
        </w:tc>
        <w:tc>
          <w:tcPr>
            <w:tcW w:w="80" w:type="dxa"/>
            <w:vAlign w:val="bottom"/>
            <w:shd w:val="clear" w:color="auto" w:fill="CCFFCC"/>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140" w:type="dxa"/>
            <w:vAlign w:val="bottom"/>
            <w:vMerge w:val="restart"/>
          </w:tcPr>
          <w:p>
            <w:pPr>
              <w:spacing w:after="0"/>
              <w:rPr>
                <w:sz w:val="17"/>
                <w:szCs w:val="17"/>
                <w:color w:val="auto"/>
              </w:rPr>
            </w:pPr>
          </w:p>
        </w:tc>
        <w:tc>
          <w:tcPr>
            <w:tcW w:w="2400" w:type="dxa"/>
            <w:vAlign w:val="bottom"/>
            <w:tcBorders>
              <w:top w:val="single" w:sz="8" w:color="CCFFCC"/>
            </w:tcBorders>
          </w:tcPr>
          <w:p>
            <w:pPr>
              <w:spacing w:after="0"/>
              <w:rPr>
                <w:sz w:val="17"/>
                <w:szCs w:val="17"/>
                <w:color w:val="auto"/>
              </w:rPr>
            </w:pPr>
          </w:p>
        </w:tc>
        <w:tc>
          <w:tcPr>
            <w:tcW w:w="2300" w:type="dxa"/>
            <w:vAlign w:val="bottom"/>
            <w:tcBorders>
              <w:top w:val="single" w:sz="8" w:color="CCFFCC"/>
            </w:tcBorders>
            <w:gridSpan w:val="2"/>
          </w:tcPr>
          <w:p>
            <w:pPr>
              <w:spacing w:after="0"/>
              <w:rPr>
                <w:sz w:val="17"/>
                <w:szCs w:val="17"/>
                <w:color w:val="auto"/>
              </w:rPr>
            </w:pPr>
          </w:p>
        </w:tc>
        <w:tc>
          <w:tcPr>
            <w:tcW w:w="240" w:type="dxa"/>
            <w:vAlign w:val="bottom"/>
            <w:tcBorders>
              <w:top w:val="single" w:sz="8" w:color="CCFFCC"/>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640" w:type="dxa"/>
            <w:vAlign w:val="bottom"/>
            <w:tcBorders>
              <w:top w:val="single" w:sz="8" w:color="CCFF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4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0" w:type="dxa"/>
            <w:vAlign w:val="bottom"/>
            <w:tcBorders>
              <w:left w:val="single" w:sz="8" w:color="CCFFCC"/>
              <w:right w:val="single" w:sz="8" w:color="CCFFCC"/>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40" w:type="dxa"/>
            <w:vAlign w:val="bottom"/>
            <w:tcBorders>
              <w:right w:val="single" w:sz="8" w:color="CCFFCC"/>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Basic</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5,750,259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5,743,319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80" w:type="dxa"/>
            <w:vAlign w:val="bottom"/>
            <w:tcBorders>
              <w:bottom w:val="single" w:sz="8" w:color="CCFFCC"/>
            </w:tcBorders>
            <w:gridSpan w:val="2"/>
            <w:shd w:val="clear" w:color="auto" w:fill="CCFFCC"/>
          </w:tcPr>
          <w:p>
            <w:pPr>
              <w:spacing w:after="0" w:line="196" w:lineRule="exact"/>
              <w:rPr>
                <w:sz w:val="20"/>
                <w:szCs w:val="20"/>
                <w:color w:val="auto"/>
              </w:rPr>
            </w:pPr>
            <w:r>
              <w:rPr>
                <w:rFonts w:ascii="Arial" w:cs="Arial" w:eastAsia="Arial" w:hAnsi="Arial"/>
                <w:sz w:val="18"/>
                <w:szCs w:val="18"/>
                <w:color w:val="auto"/>
              </w:rPr>
              <w:t>Diluted</w:t>
            </w:r>
          </w:p>
        </w:tc>
        <w:tc>
          <w:tcPr>
            <w:tcW w:w="182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CCFFCC"/>
            </w:tcBorders>
            <w:shd w:val="clear" w:color="auto" w:fill="CCFFCC"/>
          </w:tcPr>
          <w:p>
            <w:pPr>
              <w:spacing w:after="0"/>
              <w:rPr>
                <w:sz w:val="20"/>
                <w:szCs w:val="20"/>
                <w:color w:val="auto"/>
              </w:rPr>
            </w:pPr>
          </w:p>
        </w:tc>
        <w:tc>
          <w:tcPr>
            <w:tcW w:w="640" w:type="dxa"/>
            <w:vAlign w:val="bottom"/>
            <w:tcBorders>
              <w:bottom w:val="single" w:sz="8" w:color="CCFFCC"/>
            </w:tcBorders>
            <w:shd w:val="clear" w:color="auto" w:fill="CCFFCC"/>
          </w:tcPr>
          <w:p>
            <w:pPr>
              <w:spacing w:after="0"/>
              <w:rPr>
                <w:sz w:val="20"/>
                <w:szCs w:val="20"/>
                <w:color w:val="auto"/>
              </w:rPr>
            </w:pPr>
          </w:p>
        </w:tc>
        <w:tc>
          <w:tcPr>
            <w:tcW w:w="340" w:type="dxa"/>
            <w:vAlign w:val="bottom"/>
            <w:tcBorders>
              <w:bottom w:val="single" w:sz="8" w:color="auto"/>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140" w:type="dxa"/>
            <w:vAlign w:val="bottom"/>
            <w:tcBorders>
              <w:bottom w:val="single" w:sz="8" w:color="auto"/>
            </w:tcBorders>
            <w:shd w:val="clear" w:color="auto" w:fill="CCFFCC"/>
          </w:tcPr>
          <w:p>
            <w:pPr>
              <w:spacing w:after="0"/>
              <w:rPr>
                <w:sz w:val="20"/>
                <w:szCs w:val="20"/>
                <w:color w:val="auto"/>
              </w:rPr>
            </w:pPr>
          </w:p>
        </w:tc>
        <w:tc>
          <w:tcPr>
            <w:tcW w:w="8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6,542,690</w:t>
            </w:r>
          </w:p>
        </w:tc>
        <w:tc>
          <w:tcPr>
            <w:tcW w:w="14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left w:val="single" w:sz="8" w:color="CCFFCC"/>
              <w:bottom w:val="single" w:sz="8" w:color="auto"/>
              <w:right w:val="single" w:sz="8" w:color="CCFFCC"/>
            </w:tcBorders>
            <w:shd w:val="clear" w:color="auto" w:fill="CCFFCC"/>
          </w:tcPr>
          <w:p>
            <w:pPr>
              <w:spacing w:after="0"/>
              <w:rPr>
                <w:sz w:val="20"/>
                <w:szCs w:val="20"/>
                <w:color w:val="auto"/>
              </w:rPr>
            </w:pPr>
          </w:p>
        </w:tc>
        <w:tc>
          <w:tcPr>
            <w:tcW w:w="100" w:type="dxa"/>
            <w:vAlign w:val="bottom"/>
            <w:tcBorders>
              <w:bottom w:val="single" w:sz="8" w:color="auto"/>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1260" w:type="dxa"/>
            <w:vAlign w:val="bottom"/>
            <w:tcBorders>
              <w:bottom w:val="single" w:sz="8" w:color="auto"/>
              <w:right w:val="single" w:sz="8" w:color="CCFFCC"/>
            </w:tcBorders>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6,539,312</w:t>
            </w:r>
          </w:p>
        </w:tc>
        <w:tc>
          <w:tcPr>
            <w:tcW w:w="80" w:type="dxa"/>
            <w:vAlign w:val="bottom"/>
            <w:tcBorders>
              <w:bottom w:val="single" w:sz="8" w:color="CCFFCC"/>
            </w:tcBorders>
            <w:shd w:val="clear" w:color="auto" w:fill="CCFFCC"/>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80" w:type="dxa"/>
            <w:vAlign w:val="bottom"/>
            <w:gridSpan w:val="2"/>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0.20</w:t>
            </w:r>
          </w:p>
        </w:tc>
        <w:tc>
          <w:tcPr>
            <w:tcW w:w="140" w:type="dxa"/>
            <w:vAlign w:val="bottom"/>
          </w:tcPr>
          <w:p>
            <w:pPr>
              <w:spacing w:after="0"/>
              <w:rPr>
                <w:sz w:val="17"/>
                <w:szCs w:val="17"/>
                <w:color w:val="auto"/>
              </w:rPr>
            </w:pP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0.25</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80" w:type="dxa"/>
            <w:vAlign w:val="bottom"/>
            <w:gridSpan w:val="2"/>
            <w:shd w:val="clear" w:color="auto" w:fill="CCFFCC"/>
          </w:tcPr>
          <w:p>
            <w:pPr>
              <w:spacing w:after="0" w:line="196" w:lineRule="exact"/>
              <w:rPr>
                <w:sz w:val="20"/>
                <w:szCs w:val="20"/>
                <w:color w:val="auto"/>
              </w:rPr>
            </w:pPr>
            <w:r>
              <w:rPr>
                <w:rFonts w:ascii="Arial" w:cs="Arial" w:eastAsia="Arial" w:hAnsi="Arial"/>
                <w:sz w:val="18"/>
                <w:szCs w:val="18"/>
                <w:color w:val="auto"/>
              </w:rPr>
              <w:t>Diluted earnings per common share</w:t>
            </w:r>
          </w:p>
        </w:tc>
        <w:tc>
          <w:tcPr>
            <w:tcW w:w="18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line="196" w:lineRule="exact"/>
              <w:rPr>
                <w:sz w:val="20"/>
                <w:szCs w:val="20"/>
                <w:color w:val="auto"/>
              </w:rPr>
            </w:pPr>
            <w:r>
              <w:rPr>
                <w:rFonts w:ascii="Arial" w:cs="Arial" w:eastAsia="Arial" w:hAnsi="Arial"/>
                <w:sz w:val="18"/>
                <w:szCs w:val="18"/>
                <w:color w:val="auto"/>
              </w:rPr>
              <w:t>0.18</w:t>
            </w:r>
          </w:p>
        </w:tc>
        <w:tc>
          <w:tcPr>
            <w:tcW w:w="140" w:type="dxa"/>
            <w:vAlign w:val="bottom"/>
            <w:shd w:val="clear" w:color="auto" w:fill="CCFFCC"/>
          </w:tcPr>
          <w:p>
            <w:pPr>
              <w:spacing w:after="0"/>
              <w:rPr>
                <w:sz w:val="18"/>
                <w:szCs w:val="18"/>
                <w:color w:val="auto"/>
              </w:rPr>
            </w:pPr>
          </w:p>
        </w:tc>
        <w:tc>
          <w:tcPr>
            <w:tcW w:w="200" w:type="dxa"/>
            <w:vAlign w:val="bottom"/>
            <w:tcBorders>
              <w:left w:val="single" w:sz="8" w:color="CCFFCC"/>
            </w:tcBorders>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FFCC"/>
          </w:tcPr>
          <w:p>
            <w:pPr>
              <w:spacing w:after="0"/>
              <w:rPr>
                <w:sz w:val="18"/>
                <w:szCs w:val="18"/>
                <w:color w:val="auto"/>
              </w:rPr>
            </w:pPr>
          </w:p>
        </w:tc>
        <w:tc>
          <w:tcPr>
            <w:tcW w:w="1260" w:type="dxa"/>
            <w:vAlign w:val="bottom"/>
            <w:tcBorders>
              <w:right w:val="single" w:sz="8" w:color="CCFFCC"/>
            </w:tcBorders>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0.22</w:t>
            </w:r>
          </w:p>
        </w:tc>
        <w:tc>
          <w:tcPr>
            <w:tcW w:w="80" w:type="dxa"/>
            <w:vAlign w:val="bottom"/>
            <w:shd w:val="clear" w:color="auto" w:fill="CCFFCC"/>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auto"/>
              <w:left w:val="single" w:sz="8" w:color="CCFFCC"/>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gridSpan w:val="4"/>
          </w:tcPr>
          <w:p>
            <w:pPr>
              <w:spacing w:after="0"/>
              <w:rPr>
                <w:sz w:val="20"/>
                <w:szCs w:val="20"/>
                <w:color w:val="auto"/>
              </w:rPr>
            </w:pPr>
            <w:r>
              <w:rPr>
                <w:rFonts w:ascii="Arial" w:cs="Arial" w:eastAsia="Arial" w:hAnsi="Arial"/>
                <w:sz w:val="18"/>
                <w:szCs w:val="18"/>
                <w:b w:val="1"/>
                <w:bCs w:val="1"/>
                <w:color w:val="auto"/>
              </w:rPr>
              <w:t>4. Trademarks, Goodwill and Other Intangibles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gridSpan w:val="5"/>
          </w:tcPr>
          <w:p>
            <w:pPr>
              <w:spacing w:after="0"/>
              <w:rPr>
                <w:sz w:val="20"/>
                <w:szCs w:val="20"/>
                <w:color w:val="auto"/>
              </w:rPr>
            </w:pPr>
            <w:r>
              <w:rPr>
                <w:rFonts w:ascii="Arial" w:cs="Arial" w:eastAsia="Arial" w:hAnsi="Arial"/>
                <w:sz w:val="18"/>
                <w:szCs w:val="18"/>
                <w:color w:val="auto"/>
              </w:rPr>
              <w:t>Trademarks, goodwill and other intangibles, net consist of the following:</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gridSpan w:val="6"/>
            <w:vMerge w:val="restart"/>
          </w:tcPr>
          <w:p>
            <w:pPr>
              <w:jc w:val="right"/>
              <w:ind w:right="840"/>
              <w:spacing w:after="0"/>
              <w:rPr>
                <w:sz w:val="20"/>
                <w:szCs w:val="20"/>
                <w:color w:val="auto"/>
              </w:rPr>
            </w:pPr>
            <w:r>
              <w:rPr>
                <w:rFonts w:ascii="Arial" w:cs="Arial" w:eastAsia="Arial" w:hAnsi="Arial"/>
                <w:sz w:val="18"/>
                <w:szCs w:val="18"/>
                <w:color w:val="auto"/>
                <w:w w:val="87"/>
              </w:rPr>
              <w:t>(Successor)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4"/>
            <w:vMerge w:val="restart"/>
          </w:tcPr>
          <w:p>
            <w:pPr>
              <w:jc w:val="center"/>
              <w:ind w:right="40"/>
              <w:spacing w:after="0"/>
              <w:rPr>
                <w:sz w:val="20"/>
                <w:szCs w:val="20"/>
                <w:color w:val="auto"/>
              </w:rPr>
            </w:pPr>
            <w:r>
              <w:rPr>
                <w:rFonts w:ascii="Arial" w:cs="Arial" w:eastAsia="Arial" w:hAnsi="Arial"/>
                <w:sz w:val="18"/>
                <w:szCs w:val="18"/>
                <w:color w:val="auto"/>
                <w:w w:val="86"/>
              </w:rPr>
              <w:t>(Predecessor)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6"/>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vMerge w:val="restart"/>
          </w:tcPr>
          <w:p>
            <w:pPr>
              <w:jc w:val="center"/>
              <w:ind w:right="410"/>
              <w:spacing w:after="0"/>
              <w:rPr>
                <w:sz w:val="20"/>
                <w:szCs w:val="20"/>
                <w:color w:val="auto"/>
              </w:rPr>
            </w:pPr>
            <w:r>
              <w:rPr>
                <w:rFonts w:ascii="Arial" w:cs="Arial" w:eastAsia="Arial" w:hAnsi="Arial"/>
                <w:sz w:val="18"/>
                <w:szCs w:val="18"/>
                <w:color w:val="auto"/>
                <w:w w:val="89"/>
              </w:rPr>
              <w:t>Estimated</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8"/>
                <w:szCs w:val="18"/>
                <w:color w:val="auto"/>
              </w:rPr>
              <w:t>December 31, 2011</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color w:val="auto"/>
                <w:w w:val="89"/>
              </w:rPr>
              <w:t>December 31, 2010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480"/>
              <w:spacing w:after="0" w:line="195" w:lineRule="exact"/>
              <w:rPr>
                <w:sz w:val="20"/>
                <w:szCs w:val="20"/>
                <w:color w:val="auto"/>
              </w:rPr>
            </w:pPr>
            <w:r>
              <w:rPr>
                <w:rFonts w:ascii="Arial" w:cs="Arial" w:eastAsia="Arial" w:hAnsi="Arial"/>
                <w:sz w:val="18"/>
                <w:szCs w:val="18"/>
                <w:color w:val="auto"/>
              </w:rPr>
              <w:t>Gross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20" w:type="dxa"/>
            <w:vAlign w:val="bottom"/>
          </w:tcPr>
          <w:p>
            <w:pPr>
              <w:ind w:left="380"/>
              <w:spacing w:after="0"/>
              <w:rPr>
                <w:sz w:val="20"/>
                <w:szCs w:val="20"/>
                <w:color w:val="auto"/>
              </w:rPr>
            </w:pPr>
            <w:r>
              <w:rPr>
                <w:rFonts w:ascii="Arial" w:cs="Arial" w:eastAsia="Arial" w:hAnsi="Arial"/>
                <w:sz w:val="18"/>
                <w:szCs w:val="18"/>
                <w:color w:val="auto"/>
              </w:rPr>
              <w:t>Lives 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Carrying</w:t>
            </w:r>
          </w:p>
        </w:tc>
        <w:tc>
          <w:tcPr>
            <w:tcW w:w="1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Accumulated</w:t>
            </w: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20" w:type="dxa"/>
            <w:vAlign w:val="bottom"/>
          </w:tcPr>
          <w:p>
            <w:pPr>
              <w:jc w:val="center"/>
              <w:ind w:right="410"/>
              <w:spacing w:after="0"/>
              <w:rPr>
                <w:sz w:val="20"/>
                <w:szCs w:val="20"/>
                <w:color w:val="auto"/>
              </w:rPr>
            </w:pPr>
            <w:r>
              <w:rPr>
                <w:rFonts w:ascii="Arial" w:cs="Arial" w:eastAsia="Arial" w:hAnsi="Arial"/>
                <w:sz w:val="18"/>
                <w:szCs w:val="18"/>
                <w:color w:val="auto"/>
                <w:w w:val="84"/>
              </w:rPr>
              <w:t>Years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Amortization</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040" w:type="dxa"/>
            <w:vAlign w:val="bottom"/>
            <w:gridSpan w:val="2"/>
          </w:tcPr>
          <w:p>
            <w:pPr>
              <w:ind w:left="60"/>
              <w:spacing w:after="0"/>
              <w:rPr>
                <w:sz w:val="20"/>
                <w:szCs w:val="20"/>
                <w:color w:val="auto"/>
              </w:rPr>
            </w:pPr>
            <w:r>
              <w:rPr>
                <w:rFonts w:ascii="Arial" w:cs="Arial" w:eastAsia="Arial" w:hAnsi="Arial"/>
                <w:sz w:val="18"/>
                <w:szCs w:val="18"/>
                <w:color w:val="auto"/>
                <w:w w:val="95"/>
              </w:rPr>
              <w:t>Amortization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Indefinite life trademarks and copyrights</w:t>
            </w:r>
          </w:p>
        </w:tc>
        <w:tc>
          <w:tcPr>
            <w:tcW w:w="1820" w:type="dxa"/>
            <w:vAlign w:val="bottom"/>
            <w:shd w:val="clear" w:color="auto" w:fill="CCFFCC"/>
          </w:tcPr>
          <w:p>
            <w:pPr>
              <w:ind w:left="380"/>
              <w:spacing w:after="0"/>
              <w:rPr>
                <w:sz w:val="20"/>
                <w:szCs w:val="20"/>
                <w:color w:val="auto"/>
              </w:rPr>
            </w:pPr>
            <w:r>
              <w:rPr>
                <w:rFonts w:ascii="Arial" w:cs="Arial" w:eastAsia="Arial" w:hAnsi="Arial"/>
                <w:sz w:val="18"/>
                <w:szCs w:val="18"/>
                <w:color w:val="auto"/>
              </w:rPr>
              <w:t>Indefinite</w:t>
            </w: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44,500,000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FFCC"/>
              <w:right w:val="single" w:sz="8" w:color="auto"/>
            </w:tcBorders>
            <w:shd w:val="clear" w:color="auto" w:fill="CCFFCC"/>
          </w:tcPr>
          <w:p>
            <w:pPr>
              <w:spacing w:after="0"/>
              <w:rPr>
                <w:sz w:val="18"/>
                <w:szCs w:val="18"/>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gridSpan w:val="3"/>
          </w:tcPr>
          <w:p>
            <w:pPr>
              <w:spacing w:after="0" w:line="201" w:lineRule="exact"/>
              <w:rPr>
                <w:sz w:val="20"/>
                <w:szCs w:val="20"/>
                <w:color w:val="auto"/>
              </w:rPr>
            </w:pPr>
            <w:r>
              <w:rPr>
                <w:rFonts w:ascii="Arial" w:cs="Arial" w:eastAsia="Arial" w:hAnsi="Arial"/>
                <w:sz w:val="18"/>
                <w:szCs w:val="18"/>
                <w:color w:val="auto"/>
              </w:rPr>
              <w:t>Goodwill</w:t>
            </w:r>
          </w:p>
        </w:tc>
        <w:tc>
          <w:tcPr>
            <w:tcW w:w="1820" w:type="dxa"/>
            <w:vAlign w:val="bottom"/>
          </w:tcPr>
          <w:p>
            <w:pPr>
              <w:ind w:left="380"/>
              <w:spacing w:after="0" w:line="201" w:lineRule="exact"/>
              <w:rPr>
                <w:sz w:val="20"/>
                <w:szCs w:val="20"/>
                <w:color w:val="auto"/>
              </w:rPr>
            </w:pPr>
            <w:r>
              <w:rPr>
                <w:rFonts w:ascii="Arial" w:cs="Arial" w:eastAsia="Arial" w:hAnsi="Arial"/>
                <w:sz w:val="18"/>
                <w:szCs w:val="18"/>
                <w:color w:val="auto"/>
              </w:rPr>
              <w:t>Indefinite</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jc w:val="right"/>
              <w:ind w:right="100"/>
              <w:spacing w:after="0" w:line="201" w:lineRule="exact"/>
              <w:rPr>
                <w:sz w:val="20"/>
                <w:szCs w:val="20"/>
                <w:color w:val="auto"/>
              </w:rPr>
            </w:pPr>
            <w:r>
              <w:rPr>
                <w:rFonts w:ascii="Arial" w:cs="Arial" w:eastAsia="Arial" w:hAnsi="Arial"/>
                <w:sz w:val="18"/>
                <w:szCs w:val="18"/>
                <w:color w:val="auto"/>
              </w:rPr>
              <w:t>11,096,000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40" w:type="dxa"/>
            <w:vAlign w:val="bottom"/>
            <w:gridSpan w:val="4"/>
          </w:tcPr>
          <w:p>
            <w:pPr>
              <w:spacing w:after="0"/>
              <w:rPr>
                <w:sz w:val="20"/>
                <w:szCs w:val="20"/>
                <w:color w:val="auto"/>
              </w:rPr>
            </w:pPr>
            <w:r>
              <w:rPr>
                <w:rFonts w:ascii="Arial" w:cs="Arial" w:eastAsia="Arial" w:hAnsi="Arial"/>
                <w:sz w:val="18"/>
                <w:szCs w:val="18"/>
                <w:color w:val="auto"/>
              </w:rPr>
              <w:t>Licensing agreements</w:t>
            </w:r>
          </w:p>
        </w:tc>
        <w:tc>
          <w:tcPr>
            <w:tcW w:w="1820" w:type="dxa"/>
            <w:vAlign w:val="bottom"/>
          </w:tcPr>
          <w:p>
            <w:pPr>
              <w:jc w:val="right"/>
              <w:ind w:right="95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40" w:type="dxa"/>
            <w:vAlign w:val="bottom"/>
            <w:shd w:val="clear" w:color="auto" w:fill="CCFFCC"/>
          </w:tcPr>
          <w:p>
            <w:pPr>
              <w:spacing w:after="0"/>
              <w:rPr>
                <w:sz w:val="19"/>
                <w:szCs w:val="19"/>
                <w:color w:val="auto"/>
              </w:rPr>
            </w:pPr>
          </w:p>
        </w:tc>
        <w:tc>
          <w:tcPr>
            <w:tcW w:w="2400" w:type="dxa"/>
            <w:vAlign w:val="bottom"/>
            <w:shd w:val="clear" w:color="auto" w:fill="CCFFCC"/>
          </w:tcPr>
          <w:p>
            <w:pPr>
              <w:spacing w:after="0"/>
              <w:rPr>
                <w:sz w:val="19"/>
                <w:szCs w:val="19"/>
                <w:color w:val="auto"/>
              </w:rPr>
            </w:pPr>
          </w:p>
        </w:tc>
        <w:tc>
          <w:tcPr>
            <w:tcW w:w="480" w:type="dxa"/>
            <w:vAlign w:val="bottom"/>
            <w:shd w:val="clear" w:color="auto" w:fill="CCFFCC"/>
          </w:tcPr>
          <w:p>
            <w:pPr>
              <w:spacing w:after="0"/>
              <w:rPr>
                <w:sz w:val="19"/>
                <w:szCs w:val="19"/>
                <w:color w:val="auto"/>
              </w:rPr>
            </w:pPr>
          </w:p>
        </w:tc>
        <w:tc>
          <w:tcPr>
            <w:tcW w:w="1820" w:type="dxa"/>
            <w:vAlign w:val="bottom"/>
            <w:shd w:val="clear" w:color="auto" w:fill="CCFFCC"/>
          </w:tcPr>
          <w:p>
            <w:pPr>
              <w:spacing w:after="0"/>
              <w:rPr>
                <w:sz w:val="19"/>
                <w:szCs w:val="19"/>
                <w:color w:val="auto"/>
              </w:rPr>
            </w:pPr>
          </w:p>
        </w:tc>
        <w:tc>
          <w:tcPr>
            <w:tcW w:w="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57,596,000</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Borders>
              <w:left w:val="single" w:sz="8" w:color="CCFFCC"/>
              <w:right w:val="single" w:sz="8" w:color="auto"/>
            </w:tcBorders>
            <w:shd w:val="clear" w:color="auto" w:fill="CCFFCC"/>
          </w:tcPr>
          <w:p>
            <w:pPr>
              <w:spacing w:after="0"/>
              <w:rPr>
                <w:sz w:val="19"/>
                <w:szCs w:val="19"/>
                <w:color w:val="auto"/>
              </w:rPr>
            </w:pP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FFCC"/>
          </w:tcPr>
          <w:p>
            <w:pPr>
              <w:spacing w:after="0"/>
              <w:rPr>
                <w:sz w:val="19"/>
                <w:szCs w:val="19"/>
                <w:color w:val="auto"/>
              </w:rPr>
            </w:pPr>
          </w:p>
        </w:tc>
        <w:tc>
          <w:tcPr>
            <w:tcW w:w="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left w:val="single" w:sz="8" w:color="CCFFCC"/>
              <w:right w:val="single" w:sz="8" w:color="auto"/>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amortization expense for Licensing Agreements over the remaining useful life: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r>
      <w:tr>
        <w:trPr>
          <w:trHeight w:val="234"/>
        </w:trPr>
        <w:tc>
          <w:tcPr>
            <w:tcW w:w="20" w:type="dxa"/>
            <w:vAlign w:val="bottom"/>
          </w:tcPr>
          <w:p>
            <w:pPr>
              <w:spacing w:after="0"/>
              <w:rPr>
                <w:sz w:val="20"/>
                <w:szCs w:val="20"/>
                <w:color w:val="auto"/>
              </w:rPr>
            </w:pPr>
          </w:p>
        </w:tc>
        <w:tc>
          <w:tcPr>
            <w:tcW w:w="7180" w:type="dxa"/>
            <w:vAlign w:val="bottom"/>
            <w:tcBorders>
              <w:bottom w:val="single" w:sz="8" w:color="auto"/>
            </w:tcBorders>
          </w:tcPr>
          <w:p>
            <w:pPr>
              <w:ind w:left="3100"/>
              <w:spacing w:after="0"/>
              <w:rPr>
                <w:sz w:val="20"/>
                <w:szCs w:val="20"/>
                <w:color w:val="auto"/>
              </w:rPr>
            </w:pPr>
            <w:r>
              <w:rPr>
                <w:rFonts w:ascii="Arial" w:cs="Arial" w:eastAsia="Arial" w:hAnsi="Arial"/>
                <w:sz w:val="18"/>
                <w:szCs w:val="18"/>
                <w:b w:val="1"/>
                <w:bCs w:val="1"/>
                <w:color w:val="auto"/>
              </w:rPr>
              <w:t>Year Ending</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Expense</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1,865,000</w:t>
            </w:r>
          </w:p>
        </w:tc>
        <w:tc>
          <w:tcPr>
            <w:tcW w:w="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December 31, 2012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1,336,000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2013</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807,000</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529,000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December 31, 2014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278,000</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September 29, 2011, the Company completed a transaction in which it acquired substantially all of the licensing rights to the Isaac Mizrahi brands and trademarks from IM Ready-Made, LLC. See Note 3, “Acquisition of the Isaac Mizrahi Business” for further details of this transaction.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intangible assets for the period from September 29, 2011 to December 31, 2011 is $135,000. Amortization expense for the Predecessor Periods is nil. The trademarks of Isaac Mizrahi have been determined to have an indefinite useful life and accordingly, consistent with ASC Topic 350, no amortization has been recorded in the Company's consolidated statement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The Company’s net carrying amount of debt is comprised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1"/>
              </w:rPr>
              <w:t>Successor</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Predecessor</w:t>
            </w:r>
          </w:p>
        </w:tc>
      </w:tr>
      <w:tr>
        <w:trPr>
          <w:trHeight w:val="195"/>
        </w:trPr>
        <w:tc>
          <w:tcPr>
            <w:tcW w:w="116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0"/>
              </w:rPr>
              <w:t>December 31,</w:t>
            </w: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6"/>
                <w:szCs w:val="16"/>
                <w:color w:val="auto"/>
              </w:rPr>
            </w:pPr>
          </w:p>
        </w:tc>
      </w:tr>
      <w:tr>
        <w:trPr>
          <w:trHeight w:val="230"/>
        </w:trPr>
        <w:tc>
          <w:tcPr>
            <w:tcW w:w="116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2011</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2010</w:t>
            </w:r>
          </w:p>
        </w:tc>
        <w:tc>
          <w:tcPr>
            <w:tcW w:w="8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Term Note</w:t>
            </w:r>
          </w:p>
        </w:tc>
        <w:tc>
          <w:tcPr>
            <w:tcW w:w="1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12,344,000</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Seller Note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Installment debt obligation</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1,158,000</w:t>
            </w: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Contingent obligation – due to seller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17,765,000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long term liabilities, less current portion</w:t>
            </w: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26,000</w:t>
            </w: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37,058,000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4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portion</w:t>
            </w:r>
          </w:p>
        </w:tc>
        <w:tc>
          <w:tcPr>
            <w:tcW w:w="2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37,014,000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2011, IM Brands, a wholly-owned subsidiary of the Company, entered into a five year senior secured facility (the “Loan”) with Midmarket Capital Partners, LLC (“MidMarket”) and Noteholders in the aggregate principal amount of $13,500,000. The Loan is secured by all of the assets of IM Brands, LLC and the Company’s membership interests in IM Brands, LLC. The Company paid a closing fee of $405,000 to MidMarket, which was equal to three percent (3%) of the committed amount.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amount of the Loan is payable quarterly as follows: 0% until January 5, 2013, 2.5% on January 5, 2013 through October 5, 2013; 3.75% on January 5, 2014 through October 5, 2014; 6.25% on January 5, 2015 through October 5, 2015; 12.5% on January 5, 2016 through the maturity date, which is the date that is 5 years after the closing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Annual principal obligations are as follows:</w:t>
            </w: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w w:val="92"/>
              </w:rPr>
              <w:t>Year Ending December 31,</w:t>
            </w:r>
          </w:p>
        </w:tc>
      </w:tr>
      <w:tr>
        <w:trPr>
          <w:trHeight w:val="210"/>
        </w:trPr>
        <w:tc>
          <w:tcPr>
            <w:tcW w:w="2000" w:type="dxa"/>
            <w:vAlign w:val="bottom"/>
          </w:tcPr>
          <w:p>
            <w:pPr>
              <w:spacing w:after="0"/>
              <w:rPr>
                <w:sz w:val="18"/>
                <w:szCs w:val="18"/>
                <w:color w:val="auto"/>
              </w:rPr>
            </w:pPr>
          </w:p>
        </w:tc>
        <w:tc>
          <w:tcPr>
            <w:tcW w:w="5400" w:type="dxa"/>
            <w:vAlign w:val="bottom"/>
            <w:shd w:val="clear" w:color="auto" w:fill="CCFFCC"/>
          </w:tcPr>
          <w:p>
            <w:pPr>
              <w:ind w:left="60"/>
              <w:spacing w:after="0"/>
              <w:rPr>
                <w:sz w:val="20"/>
                <w:szCs w:val="20"/>
                <w:color w:val="auto"/>
              </w:rPr>
            </w:pPr>
            <w:r>
              <w:rPr>
                <w:rFonts w:ascii="Arial" w:cs="Arial" w:eastAsia="Arial" w:hAnsi="Arial"/>
                <w:sz w:val="18"/>
                <w:szCs w:val="18"/>
                <w:color w:val="auto"/>
              </w:rPr>
              <w:t>2012</w:t>
            </w:r>
          </w:p>
        </w:tc>
        <w:tc>
          <w:tcPr>
            <w:tcW w:w="6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2013</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1,350,000</w:t>
            </w:r>
          </w:p>
        </w:tc>
        <w:tc>
          <w:tcPr>
            <w:tcW w:w="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400" w:type="dxa"/>
            <w:vAlign w:val="bottom"/>
            <w:shd w:val="clear" w:color="auto" w:fill="CCFFCC"/>
          </w:tcPr>
          <w:p>
            <w:pPr>
              <w:ind w:left="60"/>
              <w:spacing w:after="0"/>
              <w:rPr>
                <w:sz w:val="20"/>
                <w:szCs w:val="20"/>
                <w:color w:val="auto"/>
              </w:rPr>
            </w:pPr>
            <w:r>
              <w:rPr>
                <w:rFonts w:ascii="Arial" w:cs="Arial" w:eastAsia="Arial" w:hAnsi="Arial"/>
                <w:sz w:val="18"/>
                <w:szCs w:val="18"/>
                <w:color w:val="auto"/>
              </w:rPr>
              <w:t>2014</w:t>
            </w:r>
          </w:p>
        </w:tc>
        <w:tc>
          <w:tcPr>
            <w:tcW w:w="6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2,025,000</w:t>
            </w:r>
          </w:p>
        </w:tc>
        <w:tc>
          <w:tcPr>
            <w:tcW w:w="60" w:type="dxa"/>
            <w:vAlign w:val="bottom"/>
            <w:shd w:val="clear" w:color="auto" w:fill="CCFFCC"/>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2015</w:t>
            </w:r>
          </w:p>
        </w:tc>
        <w:tc>
          <w:tcPr>
            <w:tcW w:w="6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3,375,000</w:t>
            </w:r>
          </w:p>
        </w:tc>
        <w:tc>
          <w:tcPr>
            <w:tcW w:w="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5400" w:type="dxa"/>
            <w:vAlign w:val="bottom"/>
            <w:tcBorders>
              <w:bottom w:val="single" w:sz="8" w:color="CCFFCC"/>
            </w:tcBorders>
            <w:shd w:val="clear" w:color="auto" w:fill="CCFFCC"/>
          </w:tcPr>
          <w:p>
            <w:pPr>
              <w:ind w:left="60"/>
              <w:spacing w:after="0"/>
              <w:rPr>
                <w:sz w:val="20"/>
                <w:szCs w:val="20"/>
                <w:color w:val="auto"/>
              </w:rPr>
            </w:pPr>
            <w:r>
              <w:rPr>
                <w:rFonts w:ascii="Arial" w:cs="Arial" w:eastAsia="Arial" w:hAnsi="Arial"/>
                <w:sz w:val="18"/>
                <w:szCs w:val="18"/>
                <w:color w:val="auto"/>
              </w:rPr>
              <w:t>2016</w:t>
            </w:r>
          </w:p>
        </w:tc>
        <w:tc>
          <w:tcPr>
            <w:tcW w:w="62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6,750,000</w:t>
            </w:r>
          </w:p>
        </w:tc>
        <w:tc>
          <w:tcPr>
            <w:tcW w:w="60" w:type="dxa"/>
            <w:vAlign w:val="bottom"/>
            <w:tcBorders>
              <w:bottom w:val="single" w:sz="8" w:color="CCFFCC"/>
            </w:tcBorders>
            <w:shd w:val="clear" w:color="auto" w:fill="CCFFCC"/>
          </w:tcPr>
          <w:p>
            <w:pPr>
              <w:spacing w:after="0"/>
              <w:rPr>
                <w:sz w:val="18"/>
                <w:szCs w:val="18"/>
                <w:color w:val="auto"/>
              </w:rPr>
            </w:pPr>
          </w:p>
        </w:tc>
      </w:tr>
      <w:tr>
        <w:trPr>
          <w:trHeight w:val="210"/>
        </w:trPr>
        <w:tc>
          <w:tcPr>
            <w:tcW w:w="2000" w:type="dxa"/>
            <w:vAlign w:val="bottom"/>
          </w:tcPr>
          <w:p>
            <w:pPr>
              <w:spacing w:after="0"/>
              <w:rPr>
                <w:sz w:val="18"/>
                <w:szCs w:val="18"/>
                <w:color w:val="auto"/>
              </w:rPr>
            </w:pPr>
          </w:p>
        </w:tc>
        <w:tc>
          <w:tcPr>
            <w:tcW w:w="5400" w:type="dxa"/>
            <w:vAlign w:val="bottom"/>
          </w:tcPr>
          <w:p>
            <w:pPr>
              <w:ind w:left="6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13,500,000</w:t>
            </w:r>
          </w:p>
        </w:tc>
        <w:tc>
          <w:tcPr>
            <w:tcW w:w="60" w:type="dxa"/>
            <w:vAlign w:val="bottom"/>
          </w:tcPr>
          <w:p>
            <w:pPr>
              <w:spacing w:after="0"/>
              <w:rPr>
                <w:sz w:val="18"/>
                <w:szCs w:val="18"/>
                <w:color w:val="auto"/>
              </w:rPr>
            </w:pPr>
          </w:p>
        </w:tc>
      </w:tr>
      <w:tr>
        <w:trPr>
          <w:trHeight w:val="20"/>
        </w:trPr>
        <w:tc>
          <w:tcPr>
            <w:tcW w:w="20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the loan is a fixed rate of 8.5%, payable in cash.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Optional Prepayment</w:t>
      </w:r>
      <w:r>
        <w:rPr>
          <w:rFonts w:ascii="Arial" w:cs="Arial" w:eastAsia="Arial" w:hAnsi="Arial"/>
          <w:sz w:val="18"/>
          <w:szCs w:val="18"/>
          <w:color w:val="auto"/>
        </w:rPr>
        <w:t>. IM Brands may prepay the Loan in whole or in part in increments of $500,000, provided that IM Brands pay the following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with the prepayment:</w:t>
      </w:r>
    </w:p>
    <w:p>
      <w:pPr>
        <w:spacing w:after="0" w:line="170"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72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Applicable Premium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First year following the Closing</w:t>
            </w:r>
          </w:p>
        </w:tc>
        <w:tc>
          <w:tcPr>
            <w:tcW w:w="60" w:type="dxa"/>
            <w:vAlign w:val="bottom"/>
            <w:shd w:val="clear" w:color="auto" w:fill="CCFFCC"/>
          </w:tcPr>
          <w:p>
            <w:pPr>
              <w:spacing w:after="0"/>
              <w:rPr>
                <w:sz w:val="18"/>
                <w:szCs w:val="18"/>
                <w:color w:val="auto"/>
              </w:rPr>
            </w:pPr>
          </w:p>
        </w:tc>
        <w:tc>
          <w:tcPr>
            <w:tcW w:w="1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Second year following the Closing</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Third year following the Closing</w:t>
            </w:r>
          </w:p>
        </w:tc>
        <w:tc>
          <w:tcPr>
            <w:tcW w:w="172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Fourth year following the Closing</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Mandatory Prepayments.</w:t>
      </w:r>
      <w:r>
        <w:rPr>
          <w:sz w:val="20"/>
          <w:szCs w:val="20"/>
          <w:color w:val="auto"/>
        </w:rPr>
        <w:tab/>
      </w:r>
      <w:r>
        <w:rPr>
          <w:rFonts w:ascii="Arial" w:cs="Arial" w:eastAsia="Arial" w:hAnsi="Arial"/>
          <w:sz w:val="16"/>
          <w:szCs w:val="16"/>
          <w:color w:val="auto"/>
        </w:rPr>
        <w:t>IM Brands is required to prepay the Loan under the following conditions: (1) if certain indebtedness is incurred by the Company;</w:t>
      </w:r>
    </w:p>
    <w:p>
      <w:pPr>
        <w:spacing w:after="0" w:line="23" w:lineRule="exact"/>
        <w:rPr>
          <w:sz w:val="20"/>
          <w:szCs w:val="20"/>
          <w:color w:val="auto"/>
        </w:rPr>
      </w:pPr>
    </w:p>
    <w:p>
      <w:pPr>
        <w:ind w:firstLine="8"/>
        <w:spacing w:after="0" w:line="261" w:lineRule="auto"/>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IM Brands undertakes certain asset sales or sales of capital stock, with limited exceptions; or (3) if there is a payment of the benefits of a life insurance policy for Isaac Mizrahi held by the Company.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Excess Cash Flow Sweep. </w:t>
      </w:r>
      <w:r>
        <w:rPr>
          <w:rFonts w:ascii="Arial" w:cs="Arial" w:eastAsia="Arial" w:hAnsi="Arial"/>
          <w:sz w:val="18"/>
          <w:szCs w:val="18"/>
          <w:color w:val="auto"/>
        </w:rPr>
        <w:t>In addition to the Mandatory Prepayments described above, if for any fiscal year ending on or subsequent to December 31, 2012,</w:t>
      </w:r>
      <w:r>
        <w:rPr>
          <w:rFonts w:ascii="Arial" w:cs="Arial" w:eastAsia="Arial" w:hAnsi="Arial"/>
          <w:sz w:val="18"/>
          <w:szCs w:val="18"/>
          <w:i w:val="1"/>
          <w:iCs w:val="1"/>
          <w:color w:val="auto"/>
        </w:rPr>
        <w:t xml:space="preserve"> </w:t>
      </w:r>
      <w:r>
        <w:rPr>
          <w:rFonts w:ascii="Arial" w:cs="Arial" w:eastAsia="Arial" w:hAnsi="Arial"/>
          <w:sz w:val="18"/>
          <w:szCs w:val="18"/>
          <w:color w:val="auto"/>
        </w:rPr>
        <w:t>there is excess cash flow (as defined in the Loan agreements) for such year, then on the payment date following the end of such year, IM Brands is required to make a principal payment on the Loan equal to the lesser of (i) 50% of the excess cash flow or (ii) the positive result of the unencumbered cash and cash equivalents of the Company minus the greater of (x) the Excess Liquidity required to be maintained by IM Brands and (y) $3,000,000. For the period ended December 31, 2011, there was no Excess Cash Flow Sweep payment due.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both"/>
        <w:spacing w:after="0" w:line="293" w:lineRule="auto"/>
        <w:rPr>
          <w:sz w:val="20"/>
          <w:szCs w:val="20"/>
          <w:color w:val="auto"/>
        </w:rPr>
      </w:pPr>
      <w:r>
        <w:rPr>
          <w:rFonts w:ascii="Arial" w:cs="Arial" w:eastAsia="Arial" w:hAnsi="Arial"/>
          <w:sz w:val="16"/>
          <w:szCs w:val="16"/>
          <w:i w:val="1"/>
          <w:iCs w:val="1"/>
          <w:color w:val="auto"/>
        </w:rPr>
        <w:t xml:space="preserve">Lender Warrants. </w:t>
      </w:r>
      <w:r>
        <w:rPr>
          <w:rFonts w:ascii="Arial" w:cs="Arial" w:eastAsia="Arial" w:hAnsi="Arial"/>
          <w:sz w:val="16"/>
          <w:szCs w:val="16"/>
          <w:color w:val="auto"/>
        </w:rPr>
        <w:t>At the closing of the Loan, the Company issued to the Noteholders seven year warrants (the “Lender Warrants”) to purchase 364,428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Common Stock, representing 5% of the Common Stock outstanding as of the Closing Date on a fully diluted basis. The warrants have an exercise price of $0.01 and contain a cashless exercise provision. The Company granted to the holders of the Lender Warrants piggy-back registration rights with respect to the shares of Common Stock issuable upon exercise of the Lender Warrants. The carrying value of the Term Loan has been reduced by the market value of the warrants, equal to $3.33 per share. The Company used the black scholes method to determine valuation. The amount of the original loan discount is $1,214,000, resulting in an initial net loan balance of $12,286,000. The Term Loan balance as of December 31, 2011 is $12,344,000.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So long as the Loan remains unpaid or unsatisfied, IM Brands shall not, and shall not permit any of its subsidiaries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Minimum Liquidity</w:t>
      </w:r>
      <w:r>
        <w:rPr>
          <w:rFonts w:ascii="Arial" w:cs="Arial" w:eastAsia="Arial" w:hAnsi="Arial"/>
          <w:sz w:val="18"/>
          <w:szCs w:val="18"/>
          <w:color w:val="auto"/>
        </w:rPr>
        <w:t xml:space="preserve"> . Permit Excess Liquidity to be less than the amount set forth below during each applicable period set forth below:</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68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460" w:type="dxa"/>
            <w:vAlign w:val="bottom"/>
            <w:gridSpan w:val="4"/>
          </w:tcPr>
          <w:p>
            <w:pPr>
              <w:ind w:left="160"/>
              <w:spacing w:after="0"/>
              <w:rPr>
                <w:sz w:val="20"/>
                <w:szCs w:val="20"/>
                <w:color w:val="auto"/>
              </w:rPr>
            </w:pPr>
            <w:r>
              <w:rPr>
                <w:rFonts w:ascii="Arial" w:cs="Arial" w:eastAsia="Arial" w:hAnsi="Arial"/>
                <w:sz w:val="18"/>
                <w:szCs w:val="18"/>
                <w:color w:val="auto"/>
                <w:w w:val="99"/>
              </w:rPr>
              <w:t>Excess Liquidity</w:t>
            </w:r>
          </w:p>
        </w:tc>
      </w:tr>
      <w:tr>
        <w:trPr>
          <w:trHeight w:val="210"/>
        </w:trPr>
        <w:tc>
          <w:tcPr>
            <w:tcW w:w="20" w:type="dxa"/>
            <w:vAlign w:val="bottom"/>
          </w:tcPr>
          <w:p>
            <w:pPr>
              <w:spacing w:after="0"/>
              <w:rPr>
                <w:sz w:val="18"/>
                <w:szCs w:val="18"/>
                <w:color w:val="auto"/>
              </w:rPr>
            </w:pPr>
          </w:p>
        </w:tc>
        <w:tc>
          <w:tcPr>
            <w:tcW w:w="7660" w:type="dxa"/>
            <w:vAlign w:val="bottom"/>
            <w:tcBorders>
              <w:top w:val="single" w:sz="8" w:color="auto"/>
            </w:tcBorders>
            <w:shd w:val="clear" w:color="auto" w:fill="CCFFCC"/>
          </w:tcPr>
          <w:p>
            <w:pPr>
              <w:ind w:left="40"/>
              <w:spacing w:after="0"/>
              <w:rPr>
                <w:sz w:val="20"/>
                <w:szCs w:val="20"/>
                <w:color w:val="auto"/>
              </w:rPr>
            </w:pPr>
            <w:r>
              <w:rPr>
                <w:rFonts w:ascii="Arial" w:cs="Arial" w:eastAsia="Arial" w:hAnsi="Arial"/>
                <w:sz w:val="18"/>
                <w:szCs w:val="18"/>
                <w:color w:val="auto"/>
              </w:rPr>
              <w:t>September 29, 2011 through December 31, 2011</w:t>
            </w:r>
          </w:p>
        </w:tc>
        <w:tc>
          <w:tcPr>
            <w:tcW w:w="160" w:type="dxa"/>
            <w:vAlign w:val="bottom"/>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January 1, 2012 through March 31, 2012</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40"/>
              <w:spacing w:after="0"/>
              <w:rPr>
                <w:sz w:val="20"/>
                <w:szCs w:val="20"/>
                <w:color w:val="auto"/>
              </w:rPr>
            </w:pPr>
            <w:r>
              <w:rPr>
                <w:rFonts w:ascii="Arial" w:cs="Arial" w:eastAsia="Arial" w:hAnsi="Arial"/>
                <w:sz w:val="18"/>
                <w:szCs w:val="18"/>
                <w:color w:val="auto"/>
              </w:rPr>
              <w:t>April 1, 2012 through June 30, 2012</w:t>
            </w:r>
          </w:p>
        </w:tc>
        <w:tc>
          <w:tcPr>
            <w:tcW w:w="4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July 1, 2012 through September 30, 2012</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40"/>
              <w:spacing w:after="0"/>
              <w:rPr>
                <w:sz w:val="20"/>
                <w:szCs w:val="20"/>
                <w:color w:val="auto"/>
              </w:rPr>
            </w:pPr>
            <w:r>
              <w:rPr>
                <w:rFonts w:ascii="Arial" w:cs="Arial" w:eastAsia="Arial" w:hAnsi="Arial"/>
                <w:sz w:val="18"/>
                <w:szCs w:val="18"/>
                <w:color w:val="auto"/>
              </w:rPr>
              <w:t>October 1, 2012 through June 30, 2013</w:t>
            </w:r>
          </w:p>
        </w:tc>
        <w:tc>
          <w:tcPr>
            <w:tcW w:w="4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3,000,000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July 1, 2013 through September 30, 2013</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40"/>
              <w:spacing w:after="0"/>
              <w:rPr>
                <w:sz w:val="20"/>
                <w:szCs w:val="20"/>
                <w:color w:val="auto"/>
              </w:rPr>
            </w:pPr>
            <w:r>
              <w:rPr>
                <w:rFonts w:ascii="Arial" w:cs="Arial" w:eastAsia="Arial" w:hAnsi="Arial"/>
                <w:sz w:val="18"/>
                <w:szCs w:val="18"/>
                <w:color w:val="auto"/>
              </w:rPr>
              <w:t>October 1, 2013 through March 31, 2014</w:t>
            </w:r>
          </w:p>
        </w:tc>
        <w:tc>
          <w:tcPr>
            <w:tcW w:w="4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
              <w:spacing w:after="0"/>
              <w:rPr>
                <w:sz w:val="20"/>
                <w:szCs w:val="20"/>
                <w:color w:val="auto"/>
              </w:rPr>
            </w:pPr>
            <w:r>
              <w:rPr>
                <w:rFonts w:ascii="Arial" w:cs="Arial" w:eastAsia="Arial" w:hAnsi="Arial"/>
                <w:sz w:val="18"/>
                <w:szCs w:val="18"/>
                <w:color w:val="auto"/>
              </w:rPr>
              <w:t>April 1, 2014 through June 30, 2014</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FFCC"/>
          </w:tcPr>
          <w:p>
            <w:pPr>
              <w:ind w:left="40"/>
              <w:spacing w:after="0"/>
              <w:rPr>
                <w:sz w:val="20"/>
                <w:szCs w:val="20"/>
                <w:color w:val="auto"/>
              </w:rPr>
            </w:pPr>
            <w:r>
              <w:rPr>
                <w:rFonts w:ascii="Arial" w:cs="Arial" w:eastAsia="Arial" w:hAnsi="Arial"/>
                <w:sz w:val="18"/>
                <w:szCs w:val="18"/>
                <w:color w:val="auto"/>
              </w:rPr>
              <w:t>July 1, 2014 and thereafter</w:t>
            </w:r>
          </w:p>
        </w:tc>
        <w:tc>
          <w:tcPr>
            <w:tcW w:w="4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 Permit the aggregate amount of Capital Expenditures to exceed $400,000 (whether or not financed) per year.</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 Permit the Consolidated Fixed Charge Coverage Ratio as of the end of each of the fiscal quarters ending on the dates (or for the periods) set forth for the period of four fiscal quarters ending on such dates (or for the periods) below to be less than the ratio set forth below opposite such period: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Minimum Fixed Charge</w:t>
            </w:r>
          </w:p>
        </w:tc>
      </w:tr>
      <w:tr>
        <w:trPr>
          <w:trHeight w:val="244"/>
        </w:trPr>
        <w:tc>
          <w:tcPr>
            <w:tcW w:w="632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Coverage Ratio</w:t>
            </w:r>
          </w:p>
        </w:tc>
      </w:tr>
      <w:tr>
        <w:trPr>
          <w:trHeight w:val="210"/>
        </w:trPr>
        <w:tc>
          <w:tcPr>
            <w:tcW w:w="20" w:type="dxa"/>
            <w:vAlign w:val="bottom"/>
          </w:tcPr>
          <w:p>
            <w:pPr>
              <w:spacing w:after="0"/>
              <w:rPr>
                <w:sz w:val="18"/>
                <w:szCs w:val="18"/>
                <w:color w:val="auto"/>
              </w:rPr>
            </w:pPr>
          </w:p>
        </w:tc>
        <w:tc>
          <w:tcPr>
            <w:tcW w:w="63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80" w:type="dxa"/>
            <w:vAlign w:val="bottom"/>
            <w:tcBorders>
              <w:top w:val="single" w:sz="8" w:color="CCFFCC"/>
            </w:tcBorders>
            <w:shd w:val="clear" w:color="auto" w:fill="CCFFCC"/>
          </w:tcPr>
          <w:p>
            <w:pPr>
              <w:spacing w:after="0"/>
              <w:rPr>
                <w:sz w:val="18"/>
                <w:szCs w:val="18"/>
                <w:color w:val="auto"/>
              </w:rPr>
            </w:pPr>
          </w:p>
        </w:tc>
        <w:tc>
          <w:tcPr>
            <w:tcW w:w="26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1.90 to 1.00</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March 31, 2013 and June 30, 2013</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1.60 to 1.00</w:t>
            </w:r>
          </w:p>
        </w:tc>
      </w:tr>
      <w:tr>
        <w:trPr>
          <w:trHeight w:val="202"/>
        </w:trPr>
        <w:tc>
          <w:tcPr>
            <w:tcW w:w="20" w:type="dxa"/>
            <w:vAlign w:val="bottom"/>
          </w:tcPr>
          <w:p>
            <w:pPr>
              <w:spacing w:after="0"/>
              <w:rPr>
                <w:sz w:val="17"/>
                <w:szCs w:val="17"/>
                <w:color w:val="auto"/>
              </w:rPr>
            </w:pPr>
          </w:p>
        </w:tc>
        <w:tc>
          <w:tcPr>
            <w:tcW w:w="6300" w:type="dxa"/>
            <w:vAlign w:val="bottom"/>
            <w:shd w:val="clear" w:color="auto" w:fill="CCFFCC"/>
          </w:tcPr>
          <w:p>
            <w:pPr>
              <w:ind w:left="80"/>
              <w:spacing w:after="0" w:line="201" w:lineRule="exact"/>
              <w:rPr>
                <w:sz w:val="20"/>
                <w:szCs w:val="20"/>
                <w:color w:val="auto"/>
              </w:rPr>
            </w:pPr>
            <w:r>
              <w:rPr>
                <w:rFonts w:ascii="Arial" w:cs="Arial" w:eastAsia="Arial" w:hAnsi="Arial"/>
                <w:sz w:val="18"/>
                <w:szCs w:val="18"/>
                <w:color w:val="auto"/>
                <w:w w:val="99"/>
              </w:rPr>
              <w:t>September 30, 2013, December 31, 2013, March 31, 2014, June 30, 2014 and</w:t>
            </w:r>
          </w:p>
        </w:tc>
        <w:tc>
          <w:tcPr>
            <w:tcW w:w="2820" w:type="dxa"/>
            <w:vAlign w:val="bottom"/>
            <w:gridSpan w:val="2"/>
            <w:shd w:val="clear" w:color="auto" w:fill="CCFFCC"/>
          </w:tcPr>
          <w:p>
            <w:pPr>
              <w:ind w:left="180"/>
              <w:spacing w:after="0" w:line="201" w:lineRule="exact"/>
              <w:rPr>
                <w:sz w:val="20"/>
                <w:szCs w:val="20"/>
                <w:color w:val="auto"/>
              </w:rPr>
            </w:pPr>
            <w:r>
              <w:rPr>
                <w:rFonts w:ascii="Arial" w:cs="Arial" w:eastAsia="Arial" w:hAnsi="Arial"/>
                <w:sz w:val="18"/>
                <w:szCs w:val="18"/>
                <w:color w:val="auto"/>
              </w:rPr>
              <w:t>1.50 to 1.00</w:t>
            </w:r>
          </w:p>
        </w:tc>
      </w:tr>
      <w:tr>
        <w:trPr>
          <w:trHeight w:val="230"/>
        </w:trPr>
        <w:tc>
          <w:tcPr>
            <w:tcW w:w="20" w:type="dxa"/>
            <w:vAlign w:val="bottom"/>
          </w:tcPr>
          <w:p>
            <w:pPr>
              <w:spacing w:after="0"/>
              <w:rPr>
                <w:sz w:val="20"/>
                <w:szCs w:val="20"/>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2014</w:t>
            </w:r>
          </w:p>
        </w:tc>
        <w:tc>
          <w:tcPr>
            <w:tcW w:w="180" w:type="dxa"/>
            <w:vAlign w:val="bottom"/>
            <w:shd w:val="clear" w:color="auto" w:fill="CCFFCC"/>
          </w:tcPr>
          <w:p>
            <w:pPr>
              <w:spacing w:after="0"/>
              <w:rPr>
                <w:sz w:val="20"/>
                <w:szCs w:val="20"/>
                <w:color w:val="auto"/>
              </w:rPr>
            </w:pPr>
          </w:p>
        </w:tc>
        <w:tc>
          <w:tcPr>
            <w:tcW w:w="2640" w:type="dxa"/>
            <w:vAlign w:val="bottom"/>
            <w:shd w:val="clear" w:color="auto" w:fill="CCFFC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December 31, 2014 and March 31, 2015</w:t>
            </w:r>
          </w:p>
        </w:tc>
        <w:tc>
          <w:tcPr>
            <w:tcW w:w="2820" w:type="dxa"/>
            <w:vAlign w:val="bottom"/>
            <w:gridSpan w:val="2"/>
          </w:tcPr>
          <w:p>
            <w:pPr>
              <w:ind w:left="180"/>
              <w:spacing w:after="0"/>
              <w:rPr>
                <w:sz w:val="20"/>
                <w:szCs w:val="20"/>
                <w:color w:val="auto"/>
              </w:rPr>
            </w:pPr>
            <w:r>
              <w:rPr>
                <w:rFonts w:ascii="Arial" w:cs="Arial" w:eastAsia="Arial" w:hAnsi="Arial"/>
                <w:sz w:val="18"/>
                <w:szCs w:val="18"/>
                <w:color w:val="auto"/>
              </w:rPr>
              <w:t>1.30 to 1.00</w:t>
            </w: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June 30, 2015 and thereafter</w:t>
            </w:r>
          </w:p>
        </w:tc>
        <w:tc>
          <w:tcPr>
            <w:tcW w:w="28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1.15 to 1.00</w:t>
            </w:r>
          </w:p>
        </w:tc>
      </w:tr>
    </w:tbl>
    <w:p>
      <w:pPr>
        <w:spacing w:after="0" w:line="202" w:lineRule="exact"/>
        <w:rPr>
          <w:sz w:val="20"/>
          <w:szCs w:val="20"/>
          <w:color w:val="auto"/>
        </w:rPr>
      </w:pPr>
    </w:p>
    <w:p>
      <w:pPr>
        <w:ind w:left="660" w:right="2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Consolidated Total Leverage Ratio</w:t>
      </w:r>
      <w:r>
        <w:rPr>
          <w:rFonts w:ascii="Arial" w:cs="Arial" w:eastAsia="Arial" w:hAnsi="Arial"/>
          <w:sz w:val="18"/>
          <w:szCs w:val="18"/>
          <w:color w:val="auto"/>
        </w:rPr>
        <w:t xml:space="preserve"> . Permit the Consolidated Total Leverage Ratio as of the end of each of the fiscal quarters ending on the dates (or for the periods) set forth for the period of four fiscal quarters ending on such dates (or for the periods) below to be greater than the ratio set forth below opposite such period:</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Maximum</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Consolidated</w:t>
            </w: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Trailing Four Fiscal Quarters Ending</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Leverage Ratio</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September 30, 2012 and December 31, 2012</w:t>
            </w:r>
          </w:p>
        </w:tc>
        <w:tc>
          <w:tcPr>
            <w:tcW w:w="180" w:type="dxa"/>
            <w:vAlign w:val="bottom"/>
            <w:tcBorders>
              <w:top w:val="single" w:sz="8" w:color="CCFFCC"/>
            </w:tcBorders>
            <w:shd w:val="clear" w:color="auto" w:fill="CCFFCC"/>
          </w:tcPr>
          <w:p>
            <w:pPr>
              <w:spacing w:after="0"/>
              <w:rPr>
                <w:sz w:val="18"/>
                <w:szCs w:val="18"/>
                <w:color w:val="auto"/>
              </w:rPr>
            </w:pPr>
          </w:p>
        </w:tc>
        <w:tc>
          <w:tcPr>
            <w:tcW w:w="24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3.50 to 1.00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March 31, 2013</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3.30 to 1.00</w:t>
            </w: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June 30, 2013 and September 30, 2013</w:t>
            </w:r>
          </w:p>
        </w:tc>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3.00 to 1.00</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December 31, 2013</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2.75 to 1.00</w:t>
            </w: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March 31, 2014</w:t>
            </w:r>
          </w:p>
        </w:tc>
        <w:tc>
          <w:tcPr>
            <w:tcW w:w="26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2.25 to 1.00</w:t>
            </w: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June 30, 2014 and thereafter</w:t>
            </w:r>
          </w:p>
        </w:tc>
        <w:tc>
          <w:tcPr>
            <w:tcW w:w="2640" w:type="dxa"/>
            <w:vAlign w:val="bottom"/>
            <w:gridSpan w:val="2"/>
          </w:tcPr>
          <w:p>
            <w:pPr>
              <w:ind w:left="180"/>
              <w:spacing w:after="0"/>
              <w:rPr>
                <w:sz w:val="20"/>
                <w:szCs w:val="20"/>
                <w:color w:val="auto"/>
              </w:rPr>
            </w:pPr>
            <w:r>
              <w:rPr>
                <w:rFonts w:ascii="Arial" w:cs="Arial" w:eastAsia="Arial" w:hAnsi="Arial"/>
                <w:sz w:val="18"/>
                <w:szCs w:val="18"/>
                <w:color w:val="auto"/>
              </w:rPr>
              <w:t>2.00 to 1.00</w:t>
            </w:r>
          </w:p>
        </w:tc>
      </w:tr>
    </w:tbl>
    <w:p>
      <w:pPr>
        <w:spacing w:after="0" w:line="187" w:lineRule="exact"/>
        <w:rPr>
          <w:sz w:val="20"/>
          <w:szCs w:val="20"/>
          <w:color w:val="auto"/>
        </w:rPr>
      </w:pPr>
    </w:p>
    <w:p>
      <w:pPr>
        <w:ind w:left="660" w:right="14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Minimum Consolidated EBITDA</w:t>
      </w:r>
      <w:r>
        <w:rPr>
          <w:rFonts w:ascii="Arial" w:cs="Arial" w:eastAsia="Arial" w:hAnsi="Arial"/>
          <w:sz w:val="18"/>
          <w:szCs w:val="18"/>
          <w:color w:val="auto"/>
        </w:rPr>
        <w:t xml:space="preserve"> . Permit Consolidated EBITDA as of the end of each of the fiscal quarters ending on the dates set forth for the period of four fiscal quarters ending on such dates below to be less than the amount set forth opposite such quarter in the table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fiscal quarters ended on December 31, 2011, March 31, 2012 and June 30, 2012, such periods shall be one fiscal quarter, two fiscal quarters and three fiscal quarters,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tbl>
      <w:tblPr>
        <w:tblLayout w:type="fixed"/>
        <w:tblInd w:w="172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Fiscal Quarter</w:t>
            </w:r>
          </w:p>
        </w:tc>
        <w:tc>
          <w:tcPr>
            <w:tcW w:w="1780" w:type="dxa"/>
            <w:vAlign w:val="bottom"/>
            <w:gridSpan w:val="4"/>
          </w:tcPr>
          <w:p>
            <w:pPr>
              <w:ind w:left="60"/>
              <w:spacing w:after="0"/>
              <w:rPr>
                <w:sz w:val="20"/>
                <w:szCs w:val="20"/>
                <w:color w:val="auto"/>
              </w:rPr>
            </w:pPr>
            <w:r>
              <w:rPr>
                <w:rFonts w:ascii="Arial" w:cs="Arial" w:eastAsia="Arial" w:hAnsi="Arial"/>
                <w:sz w:val="18"/>
                <w:szCs w:val="18"/>
                <w:color w:val="auto"/>
                <w:w w:val="97"/>
              </w:rPr>
              <w:t>Consolidated EBITDA</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December 31, 2011</w:t>
            </w:r>
          </w:p>
        </w:tc>
        <w:tc>
          <w:tcPr>
            <w:tcW w:w="60" w:type="dxa"/>
            <w:vAlign w:val="bottom"/>
            <w:shd w:val="clear" w:color="auto" w:fill="CCFFCC"/>
          </w:tcPr>
          <w:p>
            <w:pPr>
              <w:spacing w:after="0"/>
              <w:rPr>
                <w:sz w:val="18"/>
                <w:szCs w:val="18"/>
                <w:color w:val="auto"/>
              </w:rPr>
            </w:pPr>
          </w:p>
        </w:tc>
        <w:tc>
          <w:tcPr>
            <w:tcW w:w="5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March 31, 2012</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June 30, 2012</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September 30, 2012</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December 31, 2012 and March 31, 2013</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4,250,000</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June 30, 2013</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FFCC"/>
          </w:tcPr>
          <w:p>
            <w:pPr>
              <w:spacing w:after="0"/>
              <w:rPr>
                <w:sz w:val="20"/>
                <w:szCs w:val="20"/>
                <w:color w:val="auto"/>
              </w:rPr>
            </w:pPr>
            <w:r>
              <w:rPr>
                <w:rFonts w:ascii="Arial" w:cs="Arial" w:eastAsia="Arial" w:hAnsi="Arial"/>
                <w:sz w:val="18"/>
                <w:szCs w:val="18"/>
                <w:color w:val="auto"/>
              </w:rPr>
              <w:t>September 30, 2013</w:t>
            </w:r>
          </w:p>
        </w:tc>
        <w:tc>
          <w:tcPr>
            <w:tcW w:w="5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4,750,000</w:t>
            </w:r>
          </w:p>
        </w:tc>
        <w:tc>
          <w:tcPr>
            <w:tcW w:w="6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December 31, 2013 and thereafter</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5,000,000</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Dividend Restrictions</w:t>
      </w:r>
      <w:r>
        <w:rPr>
          <w:rFonts w:ascii="Arial" w:cs="Arial" w:eastAsia="Arial" w:hAnsi="Arial"/>
          <w:sz w:val="18"/>
          <w:szCs w:val="18"/>
          <w:color w:val="auto"/>
        </w:rPr>
        <w:t xml:space="preserve"> . Permit any cash dividends or any other equity distributions.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Restricted Cash Payments</w:t>
      </w:r>
      <w:r>
        <w:rPr>
          <w:rFonts w:ascii="Arial" w:cs="Arial" w:eastAsia="Arial" w:hAnsi="Arial"/>
          <w:sz w:val="18"/>
          <w:szCs w:val="18"/>
          <w:color w:val="auto"/>
        </w:rPr>
        <w:t xml:space="preserve"> . Permit any cash payments for the Seller Note or any contingent earn-out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the Company and IM Brands, LLC were in full compliance with all of the covenants under the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Seller Note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Purchase Agreement, at the closing, the Company delivered to IM Ready a promissory note (the “Seller Note”) in the principal amount of $7,377,000. The stated interest rate of the Seller Note is 0.25%. Management has determined that this rate is below the Company’s expected borrowing rate, which is 9.25%. Therefore, the Company has discounted the Seller Note by $1,740,000 using a 9.0%, imputed annual interest rate, resulting in a current value of $5,637,000. In addition, the Company pre-paid $123,000 of interest on the Seller Note on the Closing Date. The Seller Note balance at December 31, 2011 is $5,765,000.</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Seller Note initially matures three years from the Closing Date (the “Maturity Date”) subject to extension as described below (the date to which the maturity date of the Seller Note is extended is referred to as the “Subsequent Maturity Date”). We have the right to pay the Seller Note at the Maturity Date in cash or, subject to the following conditions, in shares of Common Stock. If we elect to repay the outstanding principal amount of the Seller Note on the Maturity Date by issuing shares of Common Stock, the number of shares issuable will be obtained by dividing the principal amount of the Seller Note then outstanding by the greater of (i) the fair market value of the Common Stock on the Maturity Date and (ii) $4.50 subject to certain adjustments; provided, however, that if the fair market value of the Common Stock is less than $4.50 as adjusted, IM Ready will have the option to extend the maturity of the Seller Note to the Subsequent Maturity Date. If the maturity date of the Seller Note is so extended, IM Ready will have the option to convert the Seller Note into Common Shares based on the greater of (i) the fair market value of the Common Stock on the Subsequent Maturity Date and (ii) $4.50, subject to certain adjustments. If the maturity date of the Seller Note is extended, we will also have the option to repay the outstanding principal amount of the Seller Note on the Subsequent Maturity Date in cash or by issuing the number of shares of Common Stock obtained by dividing the principal amount of the Note outstanding on the Subsequent Maturity Date by the fair market value of the Common Stock on the Maturity Date. In addition, at any time the Seller Note is outstanding, we have the right to convert the Note, in whole or in part, into the number of shares of Common Stock obtained by dividing the principal amount to be converted by the fair market value of the Common Stock at the time of the conversion, so long as the fair market value of our Common Stock is at least $4.50.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 Term Installment Obligations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described in Note 3 herein, prior to the Merger and related transactions, Earthbound had certain rights and provided certain services to IM Ready related to the Isaac Mizrahi Business. Effective as of the Closing Date, IM Ready and Earthbound entered into the Services Agreement pursuant to which Earthbound provided transitional services to IM Ready prior to the closing of the Merger and for which Earthbound received from IM Ready $600,000 in cash on the Closing Date and IM Ready agreed to pay to Earthbound an additional payment of $1,500,000 (the “Future Payment”), with such amount payable over the next five years. The Company assumed the obligations related to the Future Payment from IM Ready upon its acquisition of the Isaac Mizrahi Business. The five-year obligation is non-interest bearing and the Company has discounted the amount of the installment obligation by a 9.25% imputed annual interest rate, resulting in an initial value of $1,132,000. The balance of the Installment Obligation at December 31, 2011 is $1,158,000.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Payments are due quarterly beginning March 2012. Annual payments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87"/>
              </w:rPr>
              <w:t>Year Ending December 31,</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160" w:type="dxa"/>
            <w:vAlign w:val="bottom"/>
            <w:shd w:val="clear" w:color="auto" w:fill="CCFFCC"/>
          </w:tcPr>
          <w:p>
            <w:pPr>
              <w:ind w:left="60"/>
              <w:spacing w:after="0"/>
              <w:rPr>
                <w:sz w:val="20"/>
                <w:szCs w:val="20"/>
                <w:color w:val="auto"/>
              </w:rPr>
            </w:pPr>
            <w:r>
              <w:rPr>
                <w:rFonts w:ascii="Arial" w:cs="Arial" w:eastAsia="Arial" w:hAnsi="Arial"/>
                <w:sz w:val="18"/>
                <w:szCs w:val="18"/>
                <w:color w:val="auto"/>
              </w:rPr>
              <w:t>2012</w:t>
            </w:r>
          </w:p>
        </w:tc>
        <w:tc>
          <w:tcPr>
            <w:tcW w:w="4460" w:type="dxa"/>
            <w:vAlign w:val="bottom"/>
            <w:gridSpan w:val="2"/>
            <w:shd w:val="clear" w:color="auto" w:fill="CCFFCC"/>
          </w:tcPr>
          <w:p>
            <w:pPr>
              <w:ind w:left="38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150,000</w:t>
            </w:r>
          </w:p>
        </w:tc>
        <w:tc>
          <w:tcPr>
            <w:tcW w:w="178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2013</w:t>
            </w: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325,000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160" w:type="dxa"/>
            <w:vAlign w:val="bottom"/>
            <w:shd w:val="clear" w:color="auto" w:fill="CCFFCC"/>
          </w:tcPr>
          <w:p>
            <w:pPr>
              <w:ind w:left="60"/>
              <w:spacing w:after="0"/>
              <w:rPr>
                <w:sz w:val="20"/>
                <w:szCs w:val="20"/>
                <w:color w:val="auto"/>
              </w:rPr>
            </w:pPr>
            <w:r>
              <w:rPr>
                <w:rFonts w:ascii="Arial" w:cs="Arial" w:eastAsia="Arial" w:hAnsi="Arial"/>
                <w:sz w:val="18"/>
                <w:szCs w:val="18"/>
                <w:color w:val="auto"/>
              </w:rPr>
              <w:t>2014</w:t>
            </w:r>
          </w:p>
        </w:tc>
        <w:tc>
          <w:tcPr>
            <w:tcW w:w="38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325,000</w:t>
            </w:r>
          </w:p>
        </w:tc>
        <w:tc>
          <w:tcPr>
            <w:tcW w:w="178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2015</w:t>
            </w:r>
          </w:p>
        </w:tc>
        <w:tc>
          <w:tcPr>
            <w:tcW w:w="3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160" w:type="dxa"/>
            <w:vAlign w:val="bottom"/>
            <w:tcBorders>
              <w:bottom w:val="single" w:sz="8" w:color="CCFFCC"/>
            </w:tcBorders>
            <w:shd w:val="clear" w:color="auto" w:fill="CCFFCC"/>
          </w:tcPr>
          <w:p>
            <w:pPr>
              <w:ind w:left="60"/>
              <w:spacing w:after="0"/>
              <w:rPr>
                <w:sz w:val="20"/>
                <w:szCs w:val="20"/>
                <w:color w:val="auto"/>
              </w:rPr>
            </w:pPr>
            <w:r>
              <w:rPr>
                <w:rFonts w:ascii="Arial" w:cs="Arial" w:eastAsia="Arial" w:hAnsi="Arial"/>
                <w:sz w:val="18"/>
                <w:szCs w:val="18"/>
                <w:color w:val="auto"/>
              </w:rPr>
              <w:t>2016</w:t>
            </w:r>
          </w:p>
        </w:tc>
        <w:tc>
          <w:tcPr>
            <w:tcW w:w="382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1780" w:type="dxa"/>
            <w:vAlign w:val="bottom"/>
            <w:tcBorders>
              <w:left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160" w:type="dxa"/>
            <w:vAlign w:val="bottom"/>
          </w:tcPr>
          <w:p>
            <w:pPr>
              <w:ind w:left="60"/>
              <w:spacing w:after="0"/>
              <w:rPr>
                <w:sz w:val="20"/>
                <w:szCs w:val="20"/>
                <w:color w:val="auto"/>
              </w:rPr>
            </w:pPr>
            <w:r>
              <w:rPr>
                <w:rFonts w:ascii="Arial" w:cs="Arial" w:eastAsia="Arial" w:hAnsi="Arial"/>
                <w:sz w:val="18"/>
                <w:szCs w:val="18"/>
                <w:color w:val="auto"/>
              </w:rPr>
              <w:t>Total</w:t>
            </w:r>
          </w:p>
        </w:tc>
        <w:tc>
          <w:tcPr>
            <w:tcW w:w="4460" w:type="dxa"/>
            <w:vAlign w:val="bottom"/>
            <w:gridSpan w:val="2"/>
          </w:tcPr>
          <w:p>
            <w:pPr>
              <w:ind w:left="38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1,500,000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20" w:type="dxa"/>
            <w:vAlign w:val="bottom"/>
            <w:vMerge w:val="restart"/>
          </w:tcPr>
          <w:p>
            <w:pPr>
              <w:jc w:val="right"/>
              <w:ind w:right="1810"/>
              <w:spacing w:after="0"/>
              <w:rPr>
                <w:sz w:val="20"/>
                <w:szCs w:val="20"/>
                <w:color w:val="auto"/>
              </w:rPr>
            </w:pPr>
            <w:r>
              <w:rPr>
                <w:rFonts w:ascii="Arial" w:cs="Arial" w:eastAsia="Arial" w:hAnsi="Arial"/>
                <w:sz w:val="18"/>
                <w:szCs w:val="18"/>
                <w:color w:val="auto"/>
              </w:rPr>
              <w:t>45</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u w:val="single" w:color="auto"/>
          <w:color w:val="auto"/>
        </w:rPr>
        <w:t>Capitalized Lease Obligations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assumed the obligations from the Seller under an equipment lease through February 2013. The net discounted payments of the lease obligations are in excess of 90% of the fair market value (FMV) of the equipment. The Company has capitalized the discounted lease payments by its imputed interest rate of 9.25%. The capital lease obligation balance at December 31, 2011 is $20,000.</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29, 2011, NetFabrics entered into an Agreement of Merger and Plan of Reorganization (the “Merger Agreement”) pursuant to which a subsidiary of NetFabrics was merged with and into XCel, with XCel surviving as a wholly-owned subsidiary of the Company (the “Merger”). Pursuant to the Merger, the Company exchanged all of its outstanding common stock for shares of NetFabrics and issued an aggregate 944,668 shares of Common Stock for each share of the common stock outstanding at the effective time of the Merger.</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Also in connection with the Merger and related transactions, as more fully described herein, the Company issued (i) 2,759,000 shares of Common Stock to IM Ready, and 944,688 shares of Common Stock to Earthbound, both in satisfaction of Old XCel’s obligations under an asset purchase agreement with IM Ready and (ii) 47,132 shares of Common Stock to Mr. Stephen J. Cole-Hatchard or his designees, a then-current director of the Company for his continued service as a director of the Company until new directors were appointed to the board of directors of the Company, which appointments were effective on October 17, 2011 and at which point Mr. Cole-Hatchard resigned from the Company’s board of directors.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28, 2011, NetFabrics filed an amendment to its certificate of incorporation and affected a 1 for 520.5479607 reverse stock split such that holders of its Common Stock prior to the Merger held a total of 186,811 shares of Common Stock and options and warrants to purchase 1,064 shares of Common Stock immediately prior to the Merger. After giving effect to the Merger, the Offering, the Loan and the transactions related thereto (all as defined and described herein), there were 5,743,319 shares of common stock issued and outstanding as of the Closing Date. All numbers of shares of Common Stock referenced herein are on a post-split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20,000 of the shares of Common Stock held by Beaufort Ventures, PLC, a principal stockholder of the Company prior to the Merger, are being held in escrow until such time as final determination is made by the Internal Revenue Service of certain Company tax liabilities. As additional consideration for the Merger, Old XCel paid $125,000 at the Closing to the then-current counsel of NetFabrics in order to extinguish certain remaining liabilities of the Company immediately preceding the Merger.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Simultaneously with the closing of the Merger, and pursuant to a Subscription Agreement (the “Subscription Agreement”) between the Company and certain accredited investors (the “Investors”) named in the Subscription Agreement, we completed an offering (the “Offering”), raising proceeds of $4,305,000, through the sale of 8.61 units (each, a “Unit,” and collectively, the “Units”), each Unit consisting of One Hundred Thousand (100,000) shares of Common Stock and a Warrant to purchase Fifty Thousand (50,000) shares of Common Stock, at an exercise price of $0.01 per share (the “Warrants” and together with the Common Stock the “Securities”) at a price of $500,000 per Unit. Certain executive officers and their affiliates purchased 4.25 Units in the Offering on the same terms and conditions as other Investors (the “Insider Participation”).</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Warrants may be exercised at any time upon the election of the holder, beginning on the date of issuance and ending on September 29, 2016. If, one (1) year from the date of issuance there is no effective registration statement registering the shares of Common Stock underlying the Warrants, the Warrants will be exercisable on a cashless basis. The exercise price and number of shares of Common Stock to be received upon the exercise of Warrants are subject to adjustment upon the occurrence of certain events, such as stock splits, stock dividends or our recapitalization. In the event of our liquidation, dissolution or winding up, the holders of Warrants will not be entitled to participate in the distribution of our assets. Holders of Warrants do not have voting, pre-emptive, subscription or other rights of stockholders in respect of the Warrants, nor shall holders thereof be entitled to receive dividends.</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connection with the Offering, we issued to the placement agent, for placement agent services and as nominal consideration, five-year warrants (the “Agent Warrants”) to purchase 9,800 shares of Common Stock, exercisable at any time at a price equal to $5.50 per share, valued at approximately $3,000.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Requirements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agreed to register the shares of the Common Stock and 100% of the Warrant Shares issued in connection with the Offering, on a registration statement to be filed with the Commission (the “Registration Statement”) within sixty (60) days after the final closing of the Offering (the “Filing Date”) and keep the Registration Statement effective until the earlier of (i) September 29, 2012 or (ii) until all Registrable Securities covered by such Registration Statement have been sold, or may be sold without volume or manner-of-sale restrictions pursuant to Rule 144, without the requirement for the Company to be in compliance with the current public information requirement under Rule 144.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Agent Warrants have registration rights similar to the registration rights afforded to the Investors.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agreed to include up to 1,200,000 of the shares of Common Stock issuable to IM Ready on the Closing Date in the Registration Statement.</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granted to certain of the executive officers pursuant to their individual employment agreements piggy-back registration rights with respect to the shares of Common Stock issuable upon exercise of the executive warrants. These individuals have, however, agreed not to include such shares in the Registration Statement.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granted to the holders of the Lender Warrants (as defined herein) piggy-back registration rights with respect to the shares of Common Stock issuable upon exercise of the Lender Warrants and the share issuable upon exercise of the Lender Warrants will be included in the Registration Statement.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the Closing Date, the Company assumed the 2011 Equity Incentive Plan (the “Plan”) of Old XCel as approved by Old XCel’s board of directors and stockholders. The purpose of the Plan is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A total of 2,500,000 shares of common stock are eligible for issuance under the Plan. The Plan provides for the grant of any or all of the following types of awards: stock options, restricted stock, deferred stock, stock appreciation rights and other stock-based awards. The Plan will be administered by the Board, or, at the Board's discretion, a committee of the Board. On October 17, 2011, the Company issued to the board 250,000 options.</w:t>
      </w:r>
    </w:p>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33.33% vest immediately, 33.34% vest on the first anniversary of the grant and the 33.34% vest on the 2nd anniversary of the grant. On October 21, 2011 the Company issued to employees (non-management) 17,125 stock options and 17,125 restricted stock grants. The employee stock options and restricted stock grants vest 50% on the first anniversary of the grant and 50% vest on the 2nd anniversary of the grant.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Warrants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Closing Date, the Company issued to management warrants to purchase 463,750 shares of common stock. The warrants are exercisable in whole or in part, at an exercise price of $5.00 per share (“Exercise Price”). The warrants consist of (1) immediately exercisable warrants to purchase 363,750 shares of common stock, beginning on the date of issuance and ending of the tenth anniversary of the Closing Date and (2) 100,000 shares issuable upon exercise of warrants subject to 2-year, even vesting from the Closing Date and ending of the tenth anniversary of the Closing Date. Upon the expiration of the Warrant exercise period, the Warrants will expire and become void and worthless. The stock based compensation recorded for the period September 29, 2011 to December 31, 2011 is $324,000.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Warrants</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As part of the Offering, we issued Warrants to purchase 430,500 shares of common stock to investors in the Offering. The Warrants are exercisable in whole or in part, at an exercise price of $0.01 per share (“Exercise Price”). The Warrants may be exercised at any time upon the election of the holder, beginning on the date of issuance and ending of the fifth anniversary of the Closing Date. Upon the expiration of the Warrant exercise period, the Warrants will expire and become void and worthless.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 for these options and warrants for all years was estimated at the date of grant using a Black-Scholes option-pricing model with the following weighted-average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5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6040" w:type="dxa"/>
            <w:vAlign w:val="bottom"/>
            <w:shd w:val="clear" w:color="auto" w:fill="CCFFCC"/>
          </w:tcPr>
          <w:p>
            <w:pPr>
              <w:spacing w:after="0"/>
              <w:rPr>
                <w:sz w:val="20"/>
                <w:szCs w:val="20"/>
                <w:color w:val="auto"/>
              </w:rPr>
            </w:pPr>
            <w:r>
              <w:rPr>
                <w:rFonts w:ascii="Arial" w:cs="Arial" w:eastAsia="Arial" w:hAnsi="Arial"/>
                <w:sz w:val="18"/>
                <w:szCs w:val="18"/>
                <w:color w:val="auto"/>
              </w:rPr>
              <w:t>Expected Life (Term)</w:t>
            </w:r>
          </w:p>
        </w:tc>
        <w:tc>
          <w:tcPr>
            <w:tcW w:w="538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 – 5.75 years</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380" w:type="dxa"/>
            <w:vAlign w:val="bottom"/>
          </w:tcPr>
          <w:p>
            <w:pPr>
              <w:jc w:val="right"/>
              <w:spacing w:after="0"/>
              <w:rPr>
                <w:sz w:val="20"/>
                <w:szCs w:val="20"/>
                <w:color w:val="auto"/>
              </w:rPr>
            </w:pPr>
            <w:r>
              <w:rPr>
                <w:rFonts w:ascii="Arial" w:cs="Arial" w:eastAsia="Arial" w:hAnsi="Arial"/>
                <w:sz w:val="18"/>
                <w:szCs w:val="18"/>
                <w:color w:val="auto"/>
              </w:rPr>
              <w:t>0.42% - 0.98%</w:t>
            </w:r>
          </w:p>
        </w:tc>
      </w:tr>
    </w:tbl>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options that the Company granted under its plans expire at various times, either five, seven or ten years from the date of grant, depending on the particular grant.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Options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September 28, 2011</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576</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267,125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FFC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267,701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Exercisable at December 31, 2011</w:t>
            </w:r>
          </w:p>
        </w:tc>
        <w:tc>
          <w:tcPr>
            <w:tcW w:w="1620" w:type="dxa"/>
            <w:vAlign w:val="bottom"/>
            <w:gridSpan w:val="2"/>
            <w:shd w:val="clear" w:color="auto" w:fill="CCFFCC"/>
          </w:tcPr>
          <w:p>
            <w:pPr>
              <w:jc w:val="right"/>
              <w:ind w:right="120"/>
              <w:spacing w:after="0" w:line="196" w:lineRule="exact"/>
              <w:rPr>
                <w:sz w:val="20"/>
                <w:szCs w:val="20"/>
                <w:color w:val="auto"/>
              </w:rPr>
            </w:pPr>
            <w:r>
              <w:rPr>
                <w:rFonts w:ascii="Arial" w:cs="Arial" w:eastAsia="Arial" w:hAnsi="Arial"/>
                <w:sz w:val="18"/>
                <w:szCs w:val="18"/>
                <w:color w:val="auto"/>
              </w:rPr>
              <w:t>83,076</w:t>
            </w:r>
          </w:p>
        </w:tc>
        <w:tc>
          <w:tcPr>
            <w:tcW w:w="260" w:type="dxa"/>
            <w:vAlign w:val="bottom"/>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related to stock option grants for the period from September 29, 2011 to December 31, 2011 was $43,000.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Warrants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8"/>
                <w:szCs w:val="18"/>
                <w:color w:val="auto"/>
              </w:rPr>
              <w:t>Warrants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September 28, 2011</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1,065</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1,268,478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00" w:type="dxa"/>
            <w:vAlign w:val="bottom"/>
            <w:shd w:val="clear" w:color="auto" w:fill="CCFFC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1,219,543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Exercisable at December 31, 2011</w:t>
            </w:r>
          </w:p>
        </w:tc>
        <w:tc>
          <w:tcPr>
            <w:tcW w:w="1620" w:type="dxa"/>
            <w:vAlign w:val="bottom"/>
            <w:gridSpan w:val="2"/>
            <w:shd w:val="clear" w:color="auto" w:fill="CCFFCC"/>
          </w:tcPr>
          <w:p>
            <w:pPr>
              <w:jc w:val="right"/>
              <w:ind w:right="120"/>
              <w:spacing w:after="0" w:line="196" w:lineRule="exact"/>
              <w:rPr>
                <w:sz w:val="20"/>
                <w:szCs w:val="20"/>
                <w:color w:val="auto"/>
              </w:rPr>
            </w:pPr>
            <w:r>
              <w:rPr>
                <w:rFonts w:ascii="Arial" w:cs="Arial" w:eastAsia="Arial" w:hAnsi="Arial"/>
                <w:sz w:val="18"/>
                <w:szCs w:val="18"/>
                <w:color w:val="auto"/>
              </w:rPr>
              <w:t>1,169,543</w:t>
            </w:r>
          </w:p>
        </w:tc>
        <w:tc>
          <w:tcPr>
            <w:tcW w:w="260" w:type="dxa"/>
            <w:vAlign w:val="bottom"/>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values other warrants issued to non-employees at the commitment date at the fair market value of the instruments issued, a measure which is more readily available than the fair market value of services rendered, using the Black-Scholes model. The fair market value of the instruments issued is expensed over the vesting period. The stock based compensation recorded for the period September 29, 2011 to December 31, 2011 is $324,000.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cost for restricted stock is measured as the excess, if any, of the market price of the Company’s stock at the date the common stock is issued over the amount the employee must pay to acquire the stock (which is generally zero). The compensation cost, net of projected forfeitures, is recognized over the period between the issue date and the date any restrictions lapse, with compensation cost for grants with a graded vesting schedule recognized using the treasury method. The restrictions do not affect voting and dividend rights.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Pr>
          <w:p>
            <w:pPr>
              <w:jc w:val="right"/>
              <w:ind w:right="310"/>
              <w:spacing w:after="0"/>
              <w:rPr>
                <w:sz w:val="20"/>
                <w:szCs w:val="20"/>
                <w:color w:val="auto"/>
              </w:rPr>
            </w:pPr>
            <w:r>
              <w:rPr>
                <w:rFonts w:ascii="Arial" w:cs="Arial" w:eastAsia="Arial" w:hAnsi="Arial"/>
                <w:sz w:val="18"/>
                <w:szCs w:val="18"/>
                <w:color w:val="auto"/>
              </w:rPr>
              <w:t>Restricted</w:t>
            </w:r>
          </w:p>
        </w:tc>
        <w:tc>
          <w:tcPr>
            <w:tcW w:w="220" w:type="dxa"/>
            <w:vAlign w:val="bottom"/>
          </w:tcPr>
          <w:p>
            <w:pPr>
              <w:spacing w:after="0"/>
              <w:rPr>
                <w:sz w:val="18"/>
                <w:szCs w:val="18"/>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Weighted-Average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Exercise 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September 28, 2011</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17,125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Canceled</w:t>
            </w:r>
          </w:p>
        </w:tc>
        <w:tc>
          <w:tcPr>
            <w:tcW w:w="1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Vested</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Expired/Forfeited</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Outstanding at December 31, 2011</w:t>
            </w:r>
          </w:p>
        </w:tc>
        <w:tc>
          <w:tcPr>
            <w:tcW w:w="1500" w:type="dxa"/>
            <w:vAlign w:val="bottom"/>
          </w:tcPr>
          <w:p>
            <w:pPr>
              <w:jc w:val="right"/>
              <w:spacing w:after="0"/>
              <w:rPr>
                <w:sz w:val="20"/>
                <w:szCs w:val="20"/>
                <w:color w:val="auto"/>
              </w:rPr>
            </w:pPr>
            <w:r>
              <w:rPr>
                <w:rFonts w:ascii="Arial" w:cs="Arial" w:eastAsia="Arial" w:hAnsi="Arial"/>
                <w:sz w:val="18"/>
                <w:szCs w:val="18"/>
                <w:color w:val="auto"/>
              </w:rPr>
              <w:t>17,125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21, 2011, the Company issued to employees (non-management) 17,125 restricted stock grants. The restricted stock granted to employees vests as follows: (i) 50% on the first anniversary of the grant, and (ii) 50% on the 2nd anniversary of the grant. The stock based compensation recorded for the period September 29, 2011 to December 31, 2011 is $5,000.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2011 there were 2,215,750 common shares available for issuance under the Company’s 2011 Equity Incentive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At December 31, 2011 there were 3,702,994 common shares reserved for issuance pursuant to warrants, stock options and availability for issuance under the Company’s 2011 Equity Incentive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lease our current facility under an operating lease expiring on February 28, 2016. The future minimum non-cancelable lease payments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81"/>
              </w:rPr>
              <w:t>Lease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Payments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Year ending December 31, 2012</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532,000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Year ending December 31, 2013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FFCC"/>
          </w:tcPr>
          <w:p>
            <w:pPr>
              <w:spacing w:after="0"/>
              <w:rPr>
                <w:sz w:val="20"/>
                <w:szCs w:val="20"/>
                <w:color w:val="auto"/>
              </w:rPr>
            </w:pPr>
            <w:r>
              <w:rPr>
                <w:rFonts w:ascii="Arial" w:cs="Arial" w:eastAsia="Arial" w:hAnsi="Arial"/>
                <w:sz w:val="18"/>
                <w:szCs w:val="18"/>
                <w:color w:val="auto"/>
              </w:rPr>
              <w:t>Year ending December 31, 2014</w:t>
            </w: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584,000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Year ending December 31, 2015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Year ending December 31, 2016</w:t>
            </w:r>
          </w:p>
        </w:tc>
        <w:tc>
          <w:tcPr>
            <w:tcW w:w="180" w:type="dxa"/>
            <w:vAlign w:val="bottom"/>
            <w:tcBorders>
              <w:bottom w:val="single" w:sz="8" w:color="auto"/>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102,000</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lease requires the Company to pay additional rents by virtue of increases in the base taxes and other costs on the property. Additional rents have not been material. Total rent expense was $145,000 for the period September 29, 2011 to December 31, 2011 (the Successor period). Rent expense for the period January 1, 2011 to September 28, 2011 and the year ended December 31, 2010 (the Predecessor periods) is $436,000 and $525,000,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w:t>
      </w:r>
    </w:p>
    <w:p>
      <w:pPr>
        <w:spacing w:after="0" w:line="22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Employment</w:t>
      </w:r>
    </w:p>
    <w:p>
      <w:pPr>
        <w:spacing w:after="0" w:line="2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Contract</w:t>
      </w:r>
    </w:p>
    <w:p>
      <w:pPr>
        <w:spacing w:after="0" w:line="9"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5715</wp:posOffset>
            </wp:positionV>
            <wp:extent cx="7543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shd w:val="clear" w:color="auto" w:fill="CCFFCC"/>
          </w:tcPr>
          <w:p>
            <w:pPr>
              <w:spacing w:after="0"/>
              <w:rPr>
                <w:sz w:val="20"/>
                <w:szCs w:val="20"/>
                <w:color w:val="auto"/>
              </w:rPr>
            </w:pPr>
            <w:r>
              <w:rPr>
                <w:rFonts w:ascii="Arial" w:cs="Arial" w:eastAsia="Arial" w:hAnsi="Arial"/>
                <w:sz w:val="18"/>
                <w:szCs w:val="18"/>
                <w:color w:val="auto"/>
              </w:rPr>
              <w:t>Year ending December 31, 2012</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2,156,000</w:t>
            </w:r>
          </w:p>
        </w:tc>
        <w:tc>
          <w:tcPr>
            <w:tcW w:w="80" w:type="dxa"/>
            <w:vAlign w:val="bottom"/>
            <w:shd w:val="clear" w:color="auto" w:fill="CCFFCC"/>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Year ending December 31, 2013</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2,505,000</w:t>
            </w:r>
          </w:p>
        </w:tc>
        <w:tc>
          <w:tcPr>
            <w:tcW w:w="80" w:type="dxa"/>
            <w:vAlign w:val="bottom"/>
          </w:tcPr>
          <w:p>
            <w:pPr>
              <w:spacing w:after="0"/>
              <w:rPr>
                <w:sz w:val="18"/>
                <w:szCs w:val="18"/>
                <w:color w:val="auto"/>
              </w:rPr>
            </w:pPr>
          </w:p>
        </w:tc>
      </w:tr>
      <w:tr>
        <w:trPr>
          <w:trHeight w:val="216"/>
        </w:trPr>
        <w:tc>
          <w:tcPr>
            <w:tcW w:w="78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Year ending December 31, 2014</w:t>
            </w:r>
          </w:p>
        </w:tc>
        <w:tc>
          <w:tcPr>
            <w:tcW w:w="28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2,008,000</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7860" w:type="dxa"/>
            <w:vAlign w:val="bottom"/>
          </w:tcPr>
          <w:p>
            <w:pPr>
              <w:ind w:left="16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6,669,000</w:t>
            </w:r>
          </w:p>
        </w:tc>
        <w:tc>
          <w:tcPr>
            <w:tcW w:w="8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accounts for income taxes in accordance with ASC Topic 740. Under ASC Topic 740, deferred tax assets and liabilities are determined based on differences between the financial reporting and tax basis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 See below in this Note 8 for information relating to the Predecessor.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operating losses incurred, the Successor has no current income tax provision for the period from September 29, 2011 to December 31, 2011 The Predecessor entity, as further discussed below, was subject to State and local unincorporated business income taxes. The income tax provision (benefit) consists of the following: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Successor</w:t>
            </w:r>
          </w:p>
        </w:tc>
        <w:tc>
          <w:tcPr>
            <w:tcW w:w="120" w:type="dxa"/>
            <w:vAlign w:val="bottom"/>
          </w:tcPr>
          <w:p>
            <w:pPr>
              <w:spacing w:after="0"/>
              <w:rPr>
                <w:sz w:val="20"/>
                <w:szCs w:val="20"/>
                <w:color w:val="auto"/>
              </w:rPr>
            </w:pPr>
          </w:p>
        </w:tc>
        <w:tc>
          <w:tcPr>
            <w:tcW w:w="2680" w:type="dxa"/>
            <w:vAlign w:val="bottom"/>
            <w:gridSpan w:val="5"/>
          </w:tcPr>
          <w:p>
            <w:pPr>
              <w:ind w:left="800"/>
              <w:spacing w:after="0"/>
              <w:rPr>
                <w:sz w:val="20"/>
                <w:szCs w:val="20"/>
                <w:color w:val="auto"/>
              </w:rPr>
            </w:pPr>
            <w:r>
              <w:rPr>
                <w:rFonts w:ascii="Arial" w:cs="Arial" w:eastAsia="Arial" w:hAnsi="Arial"/>
                <w:sz w:val="18"/>
                <w:szCs w:val="18"/>
                <w:b w:val="1"/>
                <w:bCs w:val="1"/>
                <w:color w:val="auto"/>
              </w:rPr>
              <w:t>Predecesso</w:t>
            </w:r>
            <w:r>
              <w:rPr>
                <w:rFonts w:ascii="Arial" w:cs="Arial" w:eastAsia="Arial" w:hAnsi="Arial"/>
                <w:sz w:val="18"/>
                <w:szCs w:val="18"/>
                <w:color w:val="auto"/>
              </w:rPr>
              <w:t>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95" w:lineRule="exact"/>
              <w:rPr>
                <w:sz w:val="20"/>
                <w:szCs w:val="20"/>
                <w:color w:val="auto"/>
              </w:rPr>
            </w:pPr>
            <w:r>
              <w:rPr>
                <w:rFonts w:ascii="Arial" w:cs="Arial" w:eastAsia="Arial" w:hAnsi="Arial"/>
                <w:sz w:val="18"/>
                <w:szCs w:val="18"/>
                <w:color w:val="auto"/>
                <w:w w:val="92"/>
              </w:rPr>
              <w:t>Period</w:t>
            </w: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29,</w:t>
            </w:r>
          </w:p>
        </w:tc>
        <w:tc>
          <w:tcPr>
            <w:tcW w:w="12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2011 to</w:t>
            </w:r>
          </w:p>
        </w:tc>
        <w:tc>
          <w:tcPr>
            <w:tcW w:w="1380" w:type="dxa"/>
            <w:vAlign w:val="bottom"/>
            <w:gridSpan w:val="2"/>
          </w:tcPr>
          <w:p>
            <w:pPr>
              <w:ind w:left="20"/>
              <w:spacing w:after="0"/>
              <w:rPr>
                <w:sz w:val="20"/>
                <w:szCs w:val="20"/>
                <w:color w:val="auto"/>
              </w:rPr>
            </w:pPr>
            <w:r>
              <w:rPr>
                <w:rFonts w:ascii="Arial" w:cs="Arial" w:eastAsia="Arial" w:hAnsi="Arial"/>
                <w:sz w:val="18"/>
                <w:szCs w:val="18"/>
                <w:color w:val="auto"/>
                <w:w w:val="89"/>
              </w:rPr>
              <w:t>January 1, 2011 to</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w w:val="88"/>
              </w:rPr>
              <w:t>September 28,</w:t>
            </w:r>
          </w:p>
        </w:tc>
        <w:tc>
          <w:tcPr>
            <w:tcW w:w="16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b w:val="1"/>
                <w:bCs w:val="1"/>
                <w:color w:val="auto"/>
                <w:w w:val="92"/>
              </w:rPr>
              <w:t>Current:</w:t>
            </w:r>
          </w:p>
        </w:tc>
        <w:tc>
          <w:tcPr>
            <w:tcW w:w="2680" w:type="dxa"/>
            <w:vAlign w:val="bottom"/>
            <w:tcBorders>
              <w:bottom w:val="single" w:sz="8" w:color="CCFFCC"/>
            </w:tcBorders>
            <w:gridSpan w:val="2"/>
            <w:shd w:val="clear" w:color="auto" w:fill="CCFFCC"/>
          </w:tcPr>
          <w:p>
            <w:pPr>
              <w:spacing w:after="0"/>
              <w:rPr>
                <w:sz w:val="16"/>
                <w:szCs w:val="16"/>
                <w:color w:val="auto"/>
              </w:rPr>
            </w:pPr>
          </w:p>
        </w:tc>
        <w:tc>
          <w:tcPr>
            <w:tcW w:w="16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CCFFCC"/>
            </w:tcBorders>
            <w:shd w:val="clear" w:color="auto" w:fill="CCFFCC"/>
          </w:tcPr>
          <w:p>
            <w:pPr>
              <w:spacing w:after="0"/>
              <w:rPr>
                <w:sz w:val="16"/>
                <w:szCs w:val="16"/>
                <w:color w:val="auto"/>
              </w:rPr>
            </w:pPr>
          </w:p>
        </w:tc>
        <w:tc>
          <w:tcPr>
            <w:tcW w:w="104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right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260" w:type="dxa"/>
            <w:vAlign w:val="bottom"/>
            <w:tcBorders>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120" w:type="dxa"/>
            <w:vAlign w:val="bottom"/>
            <w:tcBorders>
              <w:bottom w:val="single" w:sz="8" w:color="CCFFCC"/>
            </w:tcBorders>
            <w:shd w:val="clear" w:color="auto" w:fill="CCFFCC"/>
          </w:tcPr>
          <w:p>
            <w:pPr>
              <w:spacing w:after="0"/>
              <w:rPr>
                <w:sz w:val="16"/>
                <w:szCs w:val="16"/>
                <w:color w:val="auto"/>
              </w:rPr>
            </w:pPr>
          </w:p>
        </w:tc>
        <w:tc>
          <w:tcPr>
            <w:tcW w:w="1060" w:type="dxa"/>
            <w:vAlign w:val="bottom"/>
            <w:tcBorders>
              <w:bottom w:val="single" w:sz="8" w:color="CCFFCC"/>
            </w:tcBorders>
            <w:shd w:val="clear" w:color="auto" w:fill="CCFFCC"/>
          </w:tcPr>
          <w:p>
            <w:pPr>
              <w:spacing w:after="0"/>
              <w:rPr>
                <w:sz w:val="16"/>
                <w:szCs w:val="16"/>
                <w:color w:val="auto"/>
              </w:rPr>
            </w:pPr>
          </w:p>
        </w:tc>
        <w:tc>
          <w:tcPr>
            <w:tcW w:w="8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Federal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State and local</w:t>
            </w:r>
          </w:p>
        </w:tc>
        <w:tc>
          <w:tcPr>
            <w:tcW w:w="16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222,000</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Total current</w:t>
            </w:r>
          </w:p>
        </w:tc>
        <w:tc>
          <w:tcPr>
            <w:tcW w:w="1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262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tcBorders>
              <w:right w:val="single" w:sz="8" w:color="CCFFCC"/>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Deferred:</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Federal</w:t>
            </w:r>
          </w:p>
        </w:tc>
        <w:tc>
          <w:tcPr>
            <w:tcW w:w="16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(178,000)</w:t>
            </w:r>
          </w:p>
        </w:tc>
        <w:tc>
          <w:tcPr>
            <w:tcW w:w="12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tcPr>
          <w:p>
            <w:pPr>
              <w:spacing w:after="0"/>
              <w:rPr>
                <w:sz w:val="20"/>
                <w:szCs w:val="20"/>
                <w:color w:val="auto"/>
              </w:rPr>
            </w:pPr>
            <w:r>
              <w:rPr>
                <w:rFonts w:ascii="Arial" w:cs="Arial" w:eastAsia="Arial" w:hAnsi="Arial"/>
                <w:sz w:val="18"/>
                <w:szCs w:val="18"/>
                <w:color w:val="auto"/>
              </w:rPr>
              <w:t>State and local</w:t>
            </w: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Total deferred</w:t>
            </w:r>
          </w:p>
        </w:tc>
        <w:tc>
          <w:tcPr>
            <w:tcW w:w="162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(190,000</w:t>
            </w:r>
          </w:p>
        </w:tc>
        <w:tc>
          <w:tcPr>
            <w:tcW w:w="160" w:type="dxa"/>
            <w:vAlign w:val="bottom"/>
            <w:tcBorders>
              <w:bottom w:val="single" w:sz="8" w:color="CCFFCC"/>
              <w:right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33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provision (benefit)</w:t>
            </w:r>
          </w:p>
        </w:tc>
        <w:tc>
          <w:tcPr>
            <w:tcW w:w="1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(190,000)</w:t>
            </w:r>
          </w:p>
        </w:tc>
        <w:tc>
          <w:tcPr>
            <w:tcW w:w="120" w:type="dxa"/>
            <w:vAlign w:val="bottom"/>
            <w:shd w:val="clear" w:color="auto" w:fill="CCFFCC"/>
          </w:tcPr>
          <w:p>
            <w:pPr>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175,000</w:t>
            </w:r>
          </w:p>
        </w:tc>
        <w:tc>
          <w:tcPr>
            <w:tcW w:w="2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222,000</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CCFFCC"/>
            </w:tcBorders>
            <w:shd w:val="clear" w:color="auto" w:fill="CCFFCC"/>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6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income tax computed at the Federal and state statutory rate to loss before taxes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gridSpan w:val="7"/>
          </w:tcPr>
          <w:p>
            <w:pPr>
              <w:jc w:val="right"/>
              <w:ind w:right="1320"/>
              <w:spacing w:after="0"/>
              <w:rPr>
                <w:sz w:val="20"/>
                <w:szCs w:val="20"/>
                <w:color w:val="auto"/>
              </w:rPr>
            </w:pPr>
            <w:r>
              <w:rPr>
                <w:rFonts w:ascii="Arial" w:cs="Arial" w:eastAsia="Arial" w:hAnsi="Arial"/>
                <w:sz w:val="18"/>
                <w:szCs w:val="18"/>
                <w:b w:val="1"/>
                <w:bCs w:val="1"/>
                <w:color w:val="auto"/>
                <w:w w:val="91"/>
              </w:rPr>
              <w:t>Predecesso</w:t>
            </w:r>
            <w:r>
              <w:rPr>
                <w:rFonts w:ascii="Arial" w:cs="Arial" w:eastAsia="Arial" w:hAnsi="Arial"/>
                <w:sz w:val="18"/>
                <w:szCs w:val="18"/>
                <w:color w:val="auto"/>
                <w:w w:val="91"/>
              </w:rPr>
              <w:t>r</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Period September</w:t>
            </w:r>
          </w:p>
        </w:tc>
        <w:tc>
          <w:tcPr>
            <w:tcW w:w="320" w:type="dxa"/>
            <w:vAlign w:val="bottom"/>
          </w:tcPr>
          <w:p>
            <w:pPr>
              <w:spacing w:after="0"/>
              <w:rPr>
                <w:sz w:val="16"/>
                <w:szCs w:val="16"/>
                <w:color w:val="auto"/>
              </w:rPr>
            </w:pPr>
          </w:p>
        </w:tc>
        <w:tc>
          <w:tcPr>
            <w:tcW w:w="1640" w:type="dxa"/>
            <w:vAlign w:val="bottom"/>
            <w:tcBorders>
              <w:top w:val="single" w:sz="8" w:color="auto"/>
            </w:tcBorders>
            <w:gridSpan w:val="5"/>
          </w:tcPr>
          <w:p>
            <w:pPr>
              <w:jc w:val="center"/>
              <w:ind w:right="200"/>
              <w:spacing w:after="0" w:line="195" w:lineRule="exact"/>
              <w:rPr>
                <w:sz w:val="20"/>
                <w:szCs w:val="20"/>
                <w:color w:val="auto"/>
              </w:rPr>
            </w:pPr>
            <w:r>
              <w:rPr>
                <w:rFonts w:ascii="Arial" w:cs="Arial" w:eastAsia="Arial" w:hAnsi="Arial"/>
                <w:sz w:val="18"/>
                <w:szCs w:val="18"/>
                <w:color w:val="auto"/>
                <w:w w:val="89"/>
              </w:rPr>
              <w:t>Period January</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29, 2011 to</w:t>
            </w:r>
          </w:p>
        </w:tc>
        <w:tc>
          <w:tcPr>
            <w:tcW w:w="164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1, 2011 to</w:t>
            </w:r>
          </w:p>
        </w:tc>
        <w:tc>
          <w:tcPr>
            <w:tcW w:w="100" w:type="dxa"/>
            <w:vAlign w:val="bottom"/>
          </w:tcPr>
          <w:p>
            <w:pPr>
              <w:spacing w:after="0"/>
              <w:rPr>
                <w:sz w:val="18"/>
                <w:szCs w:val="18"/>
                <w:color w:val="auto"/>
              </w:rPr>
            </w:pPr>
          </w:p>
        </w:tc>
        <w:tc>
          <w:tcPr>
            <w:tcW w:w="1640" w:type="dxa"/>
            <w:vAlign w:val="bottom"/>
            <w:gridSpan w:val="4"/>
          </w:tcPr>
          <w:p>
            <w:pPr>
              <w:jc w:val="right"/>
              <w:ind w:right="5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w:t>
            </w:r>
          </w:p>
        </w:tc>
        <w:tc>
          <w:tcPr>
            <w:tcW w:w="1640" w:type="dxa"/>
            <w:vAlign w:val="bottom"/>
            <w:gridSpan w:val="5"/>
          </w:tcPr>
          <w:p>
            <w:pPr>
              <w:jc w:val="center"/>
              <w:ind w:right="200"/>
              <w:spacing w:after="0"/>
              <w:rPr>
                <w:sz w:val="20"/>
                <w:szCs w:val="20"/>
                <w:color w:val="auto"/>
              </w:rPr>
            </w:pPr>
            <w:r>
              <w:rPr>
                <w:rFonts w:ascii="Arial" w:cs="Arial" w:eastAsia="Arial" w:hAnsi="Arial"/>
                <w:sz w:val="18"/>
                <w:szCs w:val="18"/>
                <w:color w:val="auto"/>
                <w:w w:val="88"/>
              </w:rPr>
              <w:t>September 28,</w:t>
            </w:r>
          </w:p>
        </w:tc>
        <w:tc>
          <w:tcPr>
            <w:tcW w:w="100" w:type="dxa"/>
            <w:vAlign w:val="bottom"/>
          </w:tcPr>
          <w:p>
            <w:pPr>
              <w:spacing w:after="0"/>
              <w:rPr>
                <w:sz w:val="18"/>
                <w:szCs w:val="18"/>
                <w:color w:val="auto"/>
              </w:rPr>
            </w:pPr>
          </w:p>
        </w:tc>
        <w:tc>
          <w:tcPr>
            <w:tcW w:w="1640" w:type="dxa"/>
            <w:vAlign w:val="bottom"/>
            <w:gridSpan w:val="4"/>
          </w:tcPr>
          <w:p>
            <w:pPr>
              <w:jc w:val="right"/>
              <w:ind w:right="42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Federal statutory income tax rate</w:t>
            </w:r>
          </w:p>
        </w:tc>
        <w:tc>
          <w:tcPr>
            <w:tcW w:w="1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w:t>
            </w: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gridSpan w:val="5"/>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gridSpan w:val="4"/>
          </w:tcPr>
          <w:p>
            <w:pPr>
              <w:spacing w:after="0"/>
              <w:rPr>
                <w:sz w:val="20"/>
                <w:szCs w:val="20"/>
                <w:color w:val="auto"/>
              </w:rPr>
            </w:pPr>
            <w:r>
              <w:rPr>
                <w:rFonts w:ascii="Arial" w:cs="Arial" w:eastAsia="Arial" w:hAnsi="Arial"/>
                <w:sz w:val="18"/>
                <w:szCs w:val="18"/>
                <w:color w:val="auto"/>
              </w:rPr>
              <w:t>State and local, net of federal tax</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1740" w:type="dxa"/>
            <w:vAlign w:val="bottom"/>
            <w:gridSpan w:val="5"/>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24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Non deductible stock compensation</w:t>
            </w:r>
          </w:p>
        </w:tc>
        <w:tc>
          <w:tcPr>
            <w:tcW w:w="1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w:t>
            </w: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gridSpan w:val="4"/>
          </w:tcPr>
          <w:p>
            <w:pPr>
              <w:spacing w:after="0"/>
              <w:rPr>
                <w:sz w:val="20"/>
                <w:szCs w:val="20"/>
                <w:color w:val="auto"/>
              </w:rPr>
            </w:pPr>
            <w:r>
              <w:rPr>
                <w:rFonts w:ascii="Arial" w:cs="Arial" w:eastAsia="Arial" w:hAnsi="Arial"/>
                <w:sz w:val="18"/>
                <w:szCs w:val="18"/>
                <w:color w:val="auto"/>
              </w:rPr>
              <w:t>Miscellaneous difference</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5"/>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3480" w:type="dxa"/>
            <w:vAlign w:val="bottom"/>
            <w:shd w:val="clear" w:color="auto" w:fill="CCFFCC"/>
          </w:tcPr>
          <w:p>
            <w:pPr>
              <w:spacing w:after="0"/>
              <w:rPr>
                <w:sz w:val="18"/>
                <w:szCs w:val="18"/>
                <w:color w:val="auto"/>
              </w:rPr>
            </w:pPr>
          </w:p>
        </w:tc>
        <w:tc>
          <w:tcPr>
            <w:tcW w:w="1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(17.9)%</w:t>
            </w: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5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w:t>
            </w:r>
          </w:p>
        </w:tc>
        <w:tc>
          <w:tcPr>
            <w:tcW w:w="1740" w:type="dxa"/>
            <w:vAlign w:val="bottom"/>
            <w:gridSpan w:val="5"/>
            <w:shd w:val="clear" w:color="auto" w:fill="CCFFC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140" w:type="dxa"/>
            <w:vAlign w:val="bottom"/>
            <w:shd w:val="clear" w:color="auto" w:fill="CCFFCC"/>
          </w:tcPr>
          <w:p>
            <w:pPr>
              <w:spacing w:after="0" w:line="20" w:lineRule="exact"/>
              <w:rPr>
                <w:sz w:val="1"/>
                <w:szCs w:val="1"/>
                <w:color w:val="auto"/>
              </w:rPr>
            </w:pPr>
          </w:p>
        </w:tc>
        <w:tc>
          <w:tcPr>
            <w:tcW w:w="20" w:type="dxa"/>
            <w:vAlign w:val="bottom"/>
            <w:shd w:val="clear" w:color="auto" w:fill="CCFFCC"/>
          </w:tcPr>
          <w:p>
            <w:pPr>
              <w:spacing w:after="0" w:line="20" w:lineRule="exact"/>
              <w:rPr>
                <w:sz w:val="1"/>
                <w:szCs w:val="1"/>
                <w:color w:val="auto"/>
              </w:rPr>
            </w:pPr>
          </w:p>
        </w:tc>
        <w:tc>
          <w:tcPr>
            <w:tcW w:w="1600" w:type="dxa"/>
            <w:vAlign w:val="bottom"/>
            <w:shd w:val="clear" w:color="auto" w:fill="CCFFCC"/>
          </w:tcPr>
          <w:p>
            <w:pPr>
              <w:spacing w:after="0" w:line="20" w:lineRule="exact"/>
              <w:rPr>
                <w:sz w:val="1"/>
                <w:szCs w:val="1"/>
                <w:color w:val="auto"/>
              </w:rPr>
            </w:pPr>
          </w:p>
        </w:tc>
        <w:tc>
          <w:tcPr>
            <w:tcW w:w="3480" w:type="dxa"/>
            <w:vAlign w:val="bottom"/>
            <w:shd w:val="clear" w:color="auto" w:fill="CCFFC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6"/>
          </w:tcPr>
          <w:p>
            <w:pPr>
              <w:spacing w:after="0"/>
              <w:rPr>
                <w:sz w:val="20"/>
                <w:szCs w:val="20"/>
                <w:color w:val="auto"/>
              </w:rPr>
            </w:pPr>
            <w:r>
              <w:rPr>
                <w:rFonts w:ascii="Arial" w:cs="Arial" w:eastAsia="Arial" w:hAnsi="Arial"/>
                <w:sz w:val="18"/>
                <w:szCs w:val="18"/>
                <w:color w:val="auto"/>
              </w:rPr>
              <w:t>The significant components of net deferred tax assets of the Company consist of the following:</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7"/>
          </w:tcPr>
          <w:p>
            <w:pPr>
              <w:jc w:val="center"/>
              <w:ind w:right="1320"/>
              <w:spacing w:after="0"/>
              <w:rPr>
                <w:sz w:val="20"/>
                <w:szCs w:val="20"/>
                <w:color w:val="auto"/>
              </w:rPr>
            </w:pPr>
            <w:r>
              <w:rPr>
                <w:rFonts w:ascii="Arial" w:cs="Arial" w:eastAsia="Arial" w:hAnsi="Arial"/>
                <w:sz w:val="18"/>
                <w:szCs w:val="18"/>
                <w:b w:val="1"/>
                <w:bCs w:val="1"/>
                <w:color w:val="auto"/>
                <w:w w:val="83"/>
              </w:rPr>
              <w:t>Successor</w:t>
            </w:r>
          </w:p>
        </w:tc>
        <w:tc>
          <w:tcPr>
            <w:tcW w:w="0" w:type="dxa"/>
            <w:vAlign w:val="bottom"/>
          </w:tcPr>
          <w:p>
            <w:pPr>
              <w:spacing w:after="0"/>
              <w:rPr>
                <w:sz w:val="1"/>
                <w:szCs w:val="1"/>
                <w:color w:val="auto"/>
              </w:rPr>
            </w:pPr>
          </w:p>
        </w:tc>
      </w:tr>
      <w:tr>
        <w:trPr>
          <w:trHeight w:val="195"/>
        </w:trPr>
        <w:tc>
          <w:tcPr>
            <w:tcW w:w="6240" w:type="dxa"/>
            <w:vAlign w:val="bottom"/>
            <w:gridSpan w:val="4"/>
            <w:vMerge w:val="restart"/>
          </w:tcPr>
          <w:p>
            <w:pPr>
              <w:ind w:left="1140"/>
              <w:spacing w:after="0"/>
              <w:rPr>
                <w:sz w:val="20"/>
                <w:szCs w:val="20"/>
                <w:color w:val="auto"/>
              </w:rPr>
            </w:pPr>
            <w:r>
              <w:rPr>
                <w:rFonts w:ascii="Arial" w:cs="Arial" w:eastAsia="Arial" w:hAnsi="Arial"/>
                <w:sz w:val="18"/>
                <w:szCs w:val="18"/>
                <w:b w:val="1"/>
                <w:bCs w:val="1"/>
                <w:color w:val="auto"/>
              </w:rPr>
              <w:t>Deferred tax assets</w:t>
            </w: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4"/>
          </w:tcPr>
          <w:p>
            <w:pPr>
              <w:jc w:val="center"/>
              <w:ind w:right="10"/>
              <w:spacing w:after="0" w:line="195" w:lineRule="exact"/>
              <w:rPr>
                <w:sz w:val="20"/>
                <w:szCs w:val="20"/>
                <w:color w:val="auto"/>
              </w:rPr>
            </w:pPr>
            <w:r>
              <w:rPr>
                <w:rFonts w:ascii="Arial" w:cs="Arial" w:eastAsia="Arial" w:hAnsi="Arial"/>
                <w:sz w:val="18"/>
                <w:szCs w:val="18"/>
                <w:color w:val="auto"/>
                <w:w w:val="88"/>
              </w:rPr>
              <w:t>December 31,</w:t>
            </w:r>
          </w:p>
        </w:tc>
        <w:tc>
          <w:tcPr>
            <w:tcW w:w="12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40" w:type="dxa"/>
            <w:vAlign w:val="bottom"/>
            <w:gridSpan w:val="4"/>
            <w:vMerge w:val="continue"/>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center"/>
              <w:ind w:left="230"/>
              <w:spacing w:after="0"/>
              <w:rPr>
                <w:sz w:val="20"/>
                <w:szCs w:val="20"/>
                <w:color w:val="auto"/>
              </w:rPr>
            </w:pPr>
            <w:r>
              <w:rPr>
                <w:rFonts w:ascii="Arial" w:cs="Arial" w:eastAsia="Arial" w:hAnsi="Arial"/>
                <w:sz w:val="18"/>
                <w:szCs w:val="18"/>
                <w:color w:val="auto"/>
                <w:w w:val="89"/>
              </w:rPr>
              <w:t>2011</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Federal state and local net operating loss carryforwards</w:t>
            </w:r>
          </w:p>
        </w:tc>
        <w:tc>
          <w:tcPr>
            <w:tcW w:w="14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310,000</w:t>
            </w:r>
          </w:p>
        </w:tc>
        <w:tc>
          <w:tcPr>
            <w:tcW w:w="80" w:type="dxa"/>
            <w:vAlign w:val="bottom"/>
            <w:shd w:val="clear" w:color="auto" w:fill="CCFFCC"/>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Stock based compensation</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135,000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Accrued compensation and other</w:t>
            </w:r>
          </w:p>
        </w:tc>
        <w:tc>
          <w:tcPr>
            <w:tcW w:w="148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420" w:type="dxa"/>
            <w:vAlign w:val="bottom"/>
            <w:tcBorders>
              <w:bottom w:val="single" w:sz="8" w:color="auto"/>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520" w:type="dxa"/>
            <w:vAlign w:val="bottom"/>
            <w:tcBorders>
              <w:bottom w:val="single" w:sz="8" w:color="auto"/>
            </w:tcBorders>
            <w:gridSpan w:val="2"/>
            <w:shd w:val="clear" w:color="auto" w:fill="CCFFCC"/>
          </w:tcPr>
          <w:p>
            <w:pPr>
              <w:jc w:val="right"/>
              <w:spacing w:after="0"/>
              <w:rPr>
                <w:sz w:val="20"/>
                <w:szCs w:val="20"/>
                <w:color w:val="auto"/>
              </w:rPr>
            </w:pPr>
            <w:r>
              <w:rPr>
                <w:rFonts w:ascii="Arial" w:cs="Arial" w:eastAsia="Arial" w:hAnsi="Arial"/>
                <w:sz w:val="18"/>
                <w:szCs w:val="18"/>
                <w:color w:val="auto"/>
                <w:w w:val="90"/>
              </w:rPr>
              <w:t>18,000</w:t>
            </w:r>
          </w:p>
        </w:tc>
        <w:tc>
          <w:tcPr>
            <w:tcW w:w="80" w:type="dxa"/>
            <w:vAlign w:val="bottom"/>
            <w:tcBorders>
              <w:bottom w:val="single" w:sz="8" w:color="CCFFCC"/>
            </w:tcBorders>
            <w:shd w:val="clear" w:color="auto" w:fill="CCFFCC"/>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463,000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600" w:type="dxa"/>
            <w:vAlign w:val="bottom"/>
            <w:shd w:val="clear" w:color="auto" w:fill="CCFFCC"/>
          </w:tcPr>
          <w:p>
            <w:pPr>
              <w:spacing w:after="0"/>
              <w:rPr>
                <w:sz w:val="18"/>
                <w:szCs w:val="18"/>
                <w:color w:val="auto"/>
              </w:rPr>
            </w:pPr>
          </w:p>
        </w:tc>
        <w:tc>
          <w:tcPr>
            <w:tcW w:w="348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50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Deferred tax liability</w:t>
            </w: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14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0"/>
              </w:rPr>
              <w:t>13,000</w:t>
            </w:r>
          </w:p>
        </w:tc>
        <w:tc>
          <w:tcPr>
            <w:tcW w:w="80" w:type="dxa"/>
            <w:vAlign w:val="bottom"/>
            <w:shd w:val="clear" w:color="auto" w:fill="CCFFCC"/>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Basis difference arising from discounted note payable</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590,000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Basis difference arising from intangible assets of acquisition</w:t>
            </w:r>
          </w:p>
        </w:tc>
        <w:tc>
          <w:tcPr>
            <w:tcW w:w="1480" w:type="dxa"/>
            <w:vAlign w:val="bottom"/>
            <w:tcBorders>
              <w:bottom w:val="single" w:sz="8" w:color="CCFFCC"/>
            </w:tcBorders>
            <w:shd w:val="clear" w:color="auto" w:fill="CCFFCC"/>
          </w:tcPr>
          <w:p>
            <w:pPr>
              <w:spacing w:after="0"/>
              <w:rPr>
                <w:sz w:val="18"/>
                <w:szCs w:val="18"/>
                <w:color w:val="auto"/>
              </w:rPr>
            </w:pPr>
          </w:p>
        </w:tc>
        <w:tc>
          <w:tcPr>
            <w:tcW w:w="3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auto"/>
            </w:tcBorders>
            <w:shd w:val="clear" w:color="auto" w:fill="CCFFCC"/>
          </w:tcPr>
          <w:p>
            <w:pPr>
              <w:spacing w:after="0"/>
              <w:rPr>
                <w:sz w:val="18"/>
                <w:szCs w:val="18"/>
                <w:color w:val="auto"/>
              </w:rPr>
            </w:pPr>
          </w:p>
        </w:tc>
        <w:tc>
          <w:tcPr>
            <w:tcW w:w="1100" w:type="dxa"/>
            <w:vAlign w:val="bottom"/>
            <w:tcBorders>
              <w:bottom w:val="single" w:sz="8" w:color="auto"/>
            </w:tcBorders>
            <w:gridSpan w:val="4"/>
            <w:shd w:val="clear" w:color="auto" w:fill="CCFFCC"/>
          </w:tcPr>
          <w:p>
            <w:pPr>
              <w:jc w:val="right"/>
              <w:spacing w:after="0"/>
              <w:rPr>
                <w:sz w:val="20"/>
                <w:szCs w:val="20"/>
                <w:color w:val="auto"/>
              </w:rPr>
            </w:pPr>
            <w:r>
              <w:rPr>
                <w:rFonts w:ascii="Arial" w:cs="Arial" w:eastAsia="Arial" w:hAnsi="Arial"/>
                <w:sz w:val="18"/>
                <w:szCs w:val="18"/>
                <w:color w:val="auto"/>
              </w:rPr>
              <w:t>9,691,000</w:t>
            </w:r>
          </w:p>
        </w:tc>
        <w:tc>
          <w:tcPr>
            <w:tcW w:w="80" w:type="dxa"/>
            <w:vAlign w:val="bottom"/>
            <w:tcBorders>
              <w:bottom w:val="single" w:sz="8" w:color="CCFFCC"/>
            </w:tcBorders>
            <w:shd w:val="clear" w:color="auto" w:fill="CCFFCC"/>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Total deferred tax liabilities</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10,294,000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deferred tax liabilities</w:t>
            </w:r>
          </w:p>
        </w:tc>
        <w:tc>
          <w:tcPr>
            <w:tcW w:w="14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0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FFCC"/>
          </w:tcPr>
          <w:p>
            <w:pPr>
              <w:jc w:val="right"/>
              <w:spacing w:after="0"/>
              <w:rPr>
                <w:sz w:val="20"/>
                <w:szCs w:val="20"/>
                <w:color w:val="auto"/>
              </w:rPr>
            </w:pPr>
            <w:r>
              <w:rPr>
                <w:rFonts w:ascii="Arial" w:cs="Arial" w:eastAsia="Arial" w:hAnsi="Arial"/>
                <w:sz w:val="18"/>
                <w:szCs w:val="18"/>
                <w:color w:val="auto"/>
              </w:rPr>
              <w:t>9,831,000</w:t>
            </w:r>
          </w:p>
        </w:tc>
        <w:tc>
          <w:tcPr>
            <w:tcW w:w="80" w:type="dxa"/>
            <w:vAlign w:val="bottom"/>
            <w:shd w:val="clear" w:color="auto" w:fill="CCFFCC"/>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CCFFCC"/>
          </w:tcPr>
          <w:p>
            <w:pPr>
              <w:spacing w:after="0" w:line="20" w:lineRule="exact"/>
              <w:rPr>
                <w:sz w:val="1"/>
                <w:szCs w:val="1"/>
                <w:color w:val="auto"/>
              </w:rPr>
            </w:pPr>
          </w:p>
        </w:tc>
        <w:tc>
          <w:tcPr>
            <w:tcW w:w="3480" w:type="dxa"/>
            <w:vAlign w:val="bottom"/>
            <w:shd w:val="clear" w:color="auto" w:fill="CCFFCC"/>
          </w:tcPr>
          <w:p>
            <w:pPr>
              <w:spacing w:after="0" w:line="20" w:lineRule="exact"/>
              <w:rPr>
                <w:sz w:val="1"/>
                <w:szCs w:val="1"/>
                <w:color w:val="auto"/>
              </w:rPr>
            </w:pPr>
          </w:p>
        </w:tc>
        <w:tc>
          <w:tcPr>
            <w:tcW w:w="148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Successor has available at December 31, 2011 approximately $310,000 of unused net operating loss carryforwards that may be applied against future taxable income, which begin to expire in 2031. Under the Tax Reform Act of 1986, the amounts of and benefits from net operating loss carry forwards may be impaired or limited in certain circumstances. Events which cause limitations in the amount of net operating losses that the Company may utilize in any one year include, but are not limited to a cumulative ownership change of more than 50%, as defined, over a three year period. The amount of such limitation, if any, has not been determined.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IM Ready-Made, LLC is a limited liability company, and treated as a partnership for income tax reporting purposes. The Internal Revenue Code (“IRC”) provides that any income or loss is passed through to the members for federal and state income tax purposes. Accordingly, neither IM Ready-Made, LLC nor its unincorporated Licensing Business division (the Predecessor) has provided for federal or state income taxes. IM Ready-Made, LLC is subject to New York City unincorporated business taxes. The Predecessor has provided for these taxes with an effective tax rate of approximately 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ind w:right="8640" w:firstLine="332"/>
        <w:spacing w:after="0" w:line="503" w:lineRule="auto"/>
        <w:tabs>
          <w:tab w:leader="none" w:pos="64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 IPX Capital, LLC</w:t>
      </w:r>
    </w:p>
    <w:p>
      <w:pPr>
        <w:spacing w:after="0" w:line="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Old XCel and its wholly owned subsidiary IM Brands, collectively the “Buyers,” entered into the Purchase Agreement with IM Ready, whereby the Buyers acquired certain assets and assumed certain obligations of IM Ready. IPX Capital, LLC (“IPX”) entered into certain agreements with Old XCel and IM Ready whereby IPX provided services to both Old XCel and IM-Ready. IPX and Old XCel have common ownership and common management.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IPX Capital, LLC – Xcel Brands, Inc., Due Diligence Service Agreement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IPX and Old XCel entered into a Due Diligence Service Agreement dated December 3, 2010 whereby IPX provided various due diligence tasks relating to the Purchase Agreement including financial review of IM Ready, preparing business plans, financial projections and other documents required in connection with the transaction, advise the Buyers regarding the corporate, legal and financial structure of the transaction and assist the Buyers with the negotiation of documentation relating to the transaction. Market service fees for this type of engagement are typically either a fixed dollar amount or based upon hourly billing rates, plus reimbursement of direct expenses. IPX waived all of its fees it would have otherwise been entitled to, but not reimbursement of its direct expenses. Direct expenses incurred by, and reimbursable to IPX by Old XCel, subject to the acquisition of the Isaac Mizrahi Business, of approximately $242,000 were paid by the Company following the Closing Date. The expense was recognized by the Company on the Closing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to Stockholder</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Robert D’Loren, Chairman and Chief Executive Officer and a principal stockholder of the Company, advanced certain expenses including but not limited to legal fees, banking fees, lender fees and appraisals on behalf of Old XCel of approximately $162,000. The Company reimbursed D’Loren in October 2011 of the full amount. There have been no further advances from D’Loren since the Closing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August 12, 2011, Old XCel entered into a one year agreement which was amended on October 4, 2011, with Todd Slater, who was appointed as a director of the Company commencing on October 17, 2011, for services related to the Company’s licensing strategy and introduction of potential licensees. Slater’s agreement provides for a one-time fee in the amount of $52,500 for strategic and planning services related to the Company’s licensing strategy. In addition, during the term of the agreement or during the year following the expiration of the term of the agreement, if the Company enters into a license or distribution agreement with a licensee introduced by Mr. Slater, Mr. Slater will receive a commission equal to fifteen percent (15%) of all net royalties received by the Company during the first term of such agreement, payable within thirty days of receipt of the net royalties. Mr. Slater earned $53,000 for the period September 29, 2011 to December 31, 2011 (the Successor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Jones Texas, LLC</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May 12, 2011, Old XCel entered into an agreement with Jones Texas, LLC (the “Jones Texas Agreement”) pursuant to which Old XCel agreed to pay Jones Texas, LLC consulting fees of $30,000 to assist in the restructure of IM Ready’s couture and ready-to-wear apparel businesses, which fees became due and payable to Jones Texas, LLC upon the completion of such restructuring work and closing of the transactions pursuant to the Purchase Agreement. The Jones Texas Agreement was terminated on July 31, 2011, however given the related work had been completed by Jones Texas, LLC, Old XCel recorded a $30,000 obligation to Jones Texas, LLC which obligation was subject to the closing of the acquisition of the Isaac Mizrahi Business. Ed Jones, a principal shareholder and chief executive officer of Jones Texas, LLC was appointed to the Company’s board of directors following the Merger, which appointment became effective on October 17, 2011. The Company has no further obligations under the Jones Texas Agreement. The Company paid Jones Texas, LLC $30,000 following the Closing Date and the expense was recognized by the Company on the Closing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Earthbound, LLC</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Earthbound entered into a service agreement with Laugh Club, Inc. (“Laugh Club”) on November 6, 2001 whereby Laugh Club engaged Earthbound to provide brand management and design services for mass-merchandised retail products for the Isaac Mizrahi Business (the “Earthbound Agreement”). Isaac Mizrahi, individually, is the controlling member and manager of Laugh Club and IM Ready-Made, LLC. On September 3, 2002, Laugh Club assigned all of the rights and obligations in the Earthbound Agreement to IM Ready. Earthbound has no common ownership, direct or indirect, with either IM Ready or Laugh Club.</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Effective as of the Closing Date, IM Ready and Earthbound entered into the Services Agreement pursuant to which Earthbound provided transitional services to IM Ready prior to the closing of the transactions pursuant to the Purchase Agreement and Contribution Agreement, for which Earthbound received from IM Ready $600,000 in cash on the Closing Date and IM Ready agreed to pay Earthbound a total of $1,500,000 in additional consideration over the next five years (See Note 4, Debt for details). The Company assumed such payment obligation from IM Ready pursuant to the Purchase Agreement. Jeff Cohen is a principal owner of Earthbound and sits on the Company’s board of directors.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Licensing Agent Agreement</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August 2, 2011, Old XCel entered into a licensing agent agreement with Adam Dweck (“AD”) who is an Executive Vice President of Earthbound pursuant to which AD is entitled to a five percent (5%); commission on any royalties we receive under any new license agreements that he procures for us during the initial term of such license agreements. We are obligated to grant to AD 5-year warrants to purchase 12,500 shares of common stock at an exercise price of $5.00 per share, subject to the AD generating $0.5 million of accumulated royalties and an additional 5-year warrants to purchase12,500 shares of common stock at an exercise price of $5.00 per share, subject to the AD generating $1.0 million of accumulated royalties. Additionally, the AD shall be entitled to receive 5-year warrants to purchase 25,000 shares of common stock priced at the fair market value at the time of issuance, subject to the AD generating $2.0 million of accumulated royalties. AD is the son of Jack Dweck, who is a principal of Earthbound and has been granted observer rights related to the Company’s meetings of its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and IM Ready-Made, LLC had transaction between each other relating to the transitions of the Isaac Mizrahi Business from IM ready to the Company. As of December 31, 2011 IM Ready owes the Company approximately $85,000.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Marisa Gardini, our Executive Vice President of Strategic Planning and Marketing and a director; the Irrevocable Trust of Rose Dempsey; the D’Loren Family Trust; James Haran, our Chief Financial Officer; Seth Burroughs, our Executive Vice President of Business Development and Treasury; and Mark X. DiSanto Investment Trust, a director, purchased 2; .495; .255; .15; .10 and .25 Units in the Offering (as defined in Note 6) for purchase prices of $1,000,000; $247,500; $127,500; $75,000; $50,000; and $125,000, on the same terms and conditions as other investors in the Offering.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Unaudited Quarterly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consolidated financial information 2011 and 2010 is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89"/>
              </w:rPr>
              <w:t>Period July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4"/>
          </w:tcPr>
          <w:p>
            <w:pPr>
              <w:jc w:val="right"/>
              <w:ind w:right="260"/>
              <w:spacing w:after="0" w:line="195" w:lineRule="exact"/>
              <w:rPr>
                <w:sz w:val="20"/>
                <w:szCs w:val="20"/>
                <w:color w:val="auto"/>
              </w:rPr>
            </w:pPr>
            <w:r>
              <w:rPr>
                <w:rFonts w:ascii="Arial" w:cs="Arial" w:eastAsia="Arial" w:hAnsi="Arial"/>
                <w:sz w:val="18"/>
                <w:szCs w:val="18"/>
                <w:color w:val="auto"/>
                <w:w w:val="90"/>
              </w:rPr>
              <w:t>Period Sept.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First</w:t>
            </w:r>
          </w:p>
        </w:tc>
        <w:tc>
          <w:tcPr>
            <w:tcW w:w="22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Second</w:t>
            </w:r>
          </w:p>
        </w:tc>
        <w:tc>
          <w:tcPr>
            <w:tcW w:w="1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2011 to Sept.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w w:val="97"/>
              </w:rPr>
              <w:t>29, 2011 to</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color w:val="auto"/>
              </w:rPr>
              <w:t>Fourth</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2011</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Quarter</w:t>
            </w:r>
          </w:p>
        </w:tc>
        <w:tc>
          <w:tcPr>
            <w:tcW w:w="220" w:type="dxa"/>
            <w:vAlign w:val="bottom"/>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1"/>
              </w:rPr>
              <w:t>Quarter</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28, 2011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5"/>
          </w:tcPr>
          <w:p>
            <w:pPr>
              <w:ind w:left="40"/>
              <w:spacing w:after="0"/>
              <w:rPr>
                <w:sz w:val="20"/>
                <w:szCs w:val="20"/>
                <w:color w:val="auto"/>
              </w:rPr>
            </w:pPr>
            <w:r>
              <w:rPr>
                <w:rFonts w:ascii="Arial" w:cs="Arial" w:eastAsia="Arial" w:hAnsi="Arial"/>
                <w:sz w:val="18"/>
                <w:szCs w:val="18"/>
                <w:color w:val="auto"/>
                <w:w w:val="99"/>
              </w:rPr>
              <w:t>Sept. 30, 2011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Net licensing &amp; design revenues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   2,895,000</w:t>
            </w:r>
          </w:p>
        </w:tc>
        <w:tc>
          <w:tcPr>
            <w:tcW w:w="12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   2,894,000</w:t>
            </w:r>
          </w:p>
        </w:tc>
        <w:tc>
          <w:tcPr>
            <w:tcW w:w="12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   2,940,000</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47,000</w:t>
            </w:r>
          </w:p>
        </w:tc>
        <w:tc>
          <w:tcPr>
            <w:tcW w:w="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2,599,000</w:t>
            </w:r>
          </w:p>
        </w:tc>
        <w:tc>
          <w:tcPr>
            <w:tcW w:w="100" w:type="dxa"/>
            <w:vAlign w:val="bottom"/>
            <w:shd w:val="clear" w:color="auto" w:fill="CCFFCC"/>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1,358,000</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1,480,000</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1,510,000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(803,000)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1,304,000</w:t>
            </w:r>
          </w:p>
        </w:tc>
        <w:tc>
          <w:tcPr>
            <w:tcW w:w="12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1,421,000</w:t>
            </w:r>
          </w:p>
        </w:tc>
        <w:tc>
          <w:tcPr>
            <w:tcW w:w="122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1,448,000</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(804,000)</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(65,000)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Basic and dilutive earnings per share (1)</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(0.14)</w:t>
            </w: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(0.01)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gridSpan w:val="8"/>
          </w:tcPr>
          <w:p>
            <w:pPr>
              <w:jc w:val="right"/>
              <w:ind w:right="480"/>
              <w:spacing w:after="0"/>
              <w:rPr>
                <w:sz w:val="20"/>
                <w:szCs w:val="20"/>
                <w:color w:val="auto"/>
              </w:rPr>
            </w:pPr>
            <w:r>
              <w:rPr>
                <w:rFonts w:ascii="Arial" w:cs="Arial" w:eastAsia="Arial" w:hAnsi="Arial"/>
                <w:sz w:val="18"/>
                <w:szCs w:val="18"/>
                <w:color w:val="auto"/>
                <w:w w:val="94"/>
              </w:rPr>
              <w:t>(1)  Quarterly earnings per share amounts may not add to full year amounts due to rounding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right"/>
              <w:ind w:right="1020"/>
              <w:spacing w:after="0"/>
              <w:rPr>
                <w:sz w:val="20"/>
                <w:szCs w:val="20"/>
                <w:color w:val="auto"/>
              </w:rPr>
            </w:pPr>
            <w:r>
              <w:rPr>
                <w:rFonts w:ascii="Arial" w:cs="Arial" w:eastAsia="Arial" w:hAnsi="Arial"/>
                <w:sz w:val="18"/>
                <w:szCs w:val="18"/>
                <w:b w:val="1"/>
                <w:bCs w:val="1"/>
                <w:color w:val="auto"/>
              </w:rPr>
              <w:t>Predecessor</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40"/>
              <w:spacing w:after="0" w:line="195" w:lineRule="exact"/>
              <w:rPr>
                <w:sz w:val="20"/>
                <w:szCs w:val="20"/>
                <w:color w:val="auto"/>
              </w:rPr>
            </w:pPr>
            <w:r>
              <w:rPr>
                <w:rFonts w:ascii="Arial" w:cs="Arial" w:eastAsia="Arial" w:hAnsi="Arial"/>
                <w:sz w:val="18"/>
                <w:szCs w:val="18"/>
                <w:color w:val="auto"/>
              </w:rPr>
              <w:t>First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right"/>
              <w:ind w:right="540"/>
              <w:spacing w:after="0" w:line="195" w:lineRule="exact"/>
              <w:rPr>
                <w:sz w:val="20"/>
                <w:szCs w:val="20"/>
                <w:color w:val="auto"/>
              </w:rPr>
            </w:pPr>
            <w:r>
              <w:rPr>
                <w:rFonts w:ascii="Arial" w:cs="Arial" w:eastAsia="Arial" w:hAnsi="Arial"/>
                <w:sz w:val="18"/>
                <w:szCs w:val="18"/>
                <w:color w:val="auto"/>
                <w:w w:val="85"/>
              </w:rPr>
              <w:t>Second</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Third</w:t>
            </w:r>
          </w:p>
        </w:tc>
        <w:tc>
          <w:tcPr>
            <w:tcW w:w="100" w:type="dxa"/>
            <w:vAlign w:val="bottom"/>
          </w:tcPr>
          <w:p>
            <w:pPr>
              <w:spacing w:after="0"/>
              <w:rPr>
                <w:sz w:val="16"/>
                <w:szCs w:val="16"/>
                <w:color w:val="auto"/>
              </w:rPr>
            </w:pPr>
          </w:p>
        </w:tc>
        <w:tc>
          <w:tcPr>
            <w:tcW w:w="1040" w:type="dxa"/>
            <w:vAlign w:val="bottom"/>
          </w:tcPr>
          <w:p>
            <w:pPr>
              <w:ind w:left="200"/>
              <w:spacing w:after="0" w:line="195" w:lineRule="exact"/>
              <w:rPr>
                <w:sz w:val="20"/>
                <w:szCs w:val="20"/>
                <w:color w:val="auto"/>
              </w:rPr>
            </w:pPr>
            <w:r>
              <w:rPr>
                <w:rFonts w:ascii="Arial" w:cs="Arial" w:eastAsia="Arial" w:hAnsi="Arial"/>
                <w:sz w:val="18"/>
                <w:szCs w:val="18"/>
                <w:color w:val="auto"/>
              </w:rPr>
              <w:t>Fourth</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The Year Ended December 31, 2010</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Quarter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8"/>
                <w:szCs w:val="18"/>
                <w:color w:val="auto"/>
                <w:w w:val="91"/>
              </w:rPr>
              <w:t>Quarter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Quarter</w:t>
            </w:r>
          </w:p>
        </w:tc>
        <w:tc>
          <w:tcPr>
            <w:tcW w:w="10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Quarter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Licensing and other revenue</w:t>
            </w:r>
          </w:p>
        </w:tc>
        <w:tc>
          <w:tcPr>
            <w:tcW w:w="1040" w:type="dxa"/>
            <w:vAlign w:val="bottom"/>
            <w:shd w:val="clear" w:color="auto" w:fill="CCFFCC"/>
          </w:tcPr>
          <w:p>
            <w:pPr>
              <w:spacing w:after="0"/>
              <w:rPr>
                <w:sz w:val="18"/>
                <w:szCs w:val="18"/>
                <w:color w:val="auto"/>
              </w:rPr>
            </w:pPr>
          </w:p>
        </w:tc>
        <w:tc>
          <w:tcPr>
            <w:tcW w:w="1260" w:type="dxa"/>
            <w:vAlign w:val="bottom"/>
            <w:gridSpan w:val="3"/>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2,102,000</w:t>
            </w:r>
          </w:p>
        </w:tc>
        <w:tc>
          <w:tcPr>
            <w:tcW w:w="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1,420,000</w:t>
            </w:r>
          </w:p>
        </w:tc>
        <w:tc>
          <w:tcPr>
            <w:tcW w:w="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3,207,000</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1,054,000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263,000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1,855,000</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1,012,000</w:t>
            </w:r>
          </w:p>
        </w:tc>
        <w:tc>
          <w:tcPr>
            <w:tcW w:w="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252,000</w:t>
            </w: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ind w:left="200"/>
              <w:spacing w:after="0"/>
              <w:rPr>
                <w:sz w:val="20"/>
                <w:szCs w:val="20"/>
                <w:color w:val="auto"/>
              </w:rPr>
            </w:pPr>
            <w:r>
              <w:rPr>
                <w:rFonts w:ascii="Arial" w:cs="Arial" w:eastAsia="Arial" w:hAnsi="Arial"/>
                <w:sz w:val="18"/>
                <w:szCs w:val="18"/>
                <w:color w:val="auto"/>
              </w:rPr>
              <w:t>1,776,000</w:t>
            </w:r>
          </w:p>
        </w:tc>
        <w:tc>
          <w:tcPr>
            <w:tcW w:w="1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1,584,000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disagreements with the Company’s prior auditors which would require disclosure under Item 304(b) of Regulation S-K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Chief Executive Officer and Principal Financial Officer, after evaluating the effectiveness of the Company’s “disclosure controls and procedures” (as defined in the Securities Exchange Act of 1934 (Exchange Act) Rules 13a-15(e) or 15d-15(e)) as of the end of the period covered by this annual report, has concluded that our disclosure controls and procedures are effective at a reasonable assurance level based on his evaluation of these controls and procedures as required by paragraph (b) of Exchange Act Rules 13a-15 or 15d-15.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evaluation of internal control over financial reporting includes using the COSO framework, an integrated framework for the evaluation of internal controls issued by the Committee of Sponsoring Organizations of the Treadway Commission, to identify the risks and control objectives related to the evaluation of our control environment.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evaluation under the frameworks described above, our management has concluded that our internal control over financial reporting was effective as of December 31, 2011.</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requirements by the Company’s registered public accounting firm pursuant to temporary rules of the Securities and Exchange Commission that permit the Company to provide only management’s report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13a-15(f) and 15d-15(f)) during the quarter ended December 31, 2011 that has materially affected, or is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7" w:lineRule="exact"/>
        <w:rPr>
          <w:sz w:val="20"/>
          <w:szCs w:val="20"/>
          <w:color w:val="auto"/>
        </w:rPr>
      </w:pPr>
    </w:p>
    <w:p>
      <w:pPr>
        <w:jc w:val="both"/>
        <w:ind w:left="780" w:right="20" w:hanging="769"/>
        <w:spacing w:after="0" w:line="282" w:lineRule="auto"/>
        <w:rPr>
          <w:sz w:val="20"/>
          <w:szCs w:val="20"/>
          <w:color w:val="auto"/>
        </w:rPr>
      </w:pPr>
      <w:r>
        <w:rPr>
          <w:rFonts w:ascii="Arial" w:cs="Arial" w:eastAsia="Arial" w:hAnsi="Arial"/>
          <w:sz w:val="18"/>
          <w:szCs w:val="18"/>
          <w:b w:val="1"/>
          <w:bCs w:val="1"/>
          <w:color w:val="auto"/>
        </w:rPr>
        <w:t>Item 10. DIRECTORS, EXECUTIVE OFFICERS, PROMOTERS, CONTROL PERSONS AND CORPORATE GOVERNANCE; COMPLIANCE WITH SECTION 16(a) OF THE EXCHANGE ACT</w:t>
      </w:r>
    </w:p>
    <w:p>
      <w:pPr>
        <w:spacing w:after="0" w:line="27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elected annually by our board of directors. Each executive officer holds his office until he resigns, is removed by the Board, or his successor is elected and qualified. Directors are elected annually by our stockholders at the annual meeting. Each director holds his office until his successor is elected and qualified or his earlier resignation or removal.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640" w:type="dxa"/>
            <w:vAlign w:val="bottom"/>
          </w:tcPr>
          <w:p>
            <w:pPr>
              <w:ind w:left="760"/>
              <w:spacing w:after="0"/>
              <w:rPr>
                <w:sz w:val="20"/>
                <w:szCs w:val="20"/>
                <w:color w:val="auto"/>
              </w:rPr>
            </w:pPr>
            <w:r>
              <w:rPr>
                <w:rFonts w:ascii="Arial" w:cs="Arial" w:eastAsia="Arial" w:hAnsi="Arial"/>
                <w:sz w:val="18"/>
                <w:szCs w:val="18"/>
                <w:b w:val="1"/>
                <w:bCs w:val="1"/>
                <w:color w:val="auto"/>
              </w:rPr>
              <w:t>AGE</w:t>
            </w:r>
          </w:p>
        </w:tc>
        <w:tc>
          <w:tcPr>
            <w:tcW w:w="7440" w:type="dxa"/>
            <w:vAlign w:val="bottom"/>
          </w:tcPr>
          <w:p>
            <w:pPr>
              <w:ind w:left="48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Robert W. D’Loren</w:t>
            </w:r>
          </w:p>
        </w:tc>
        <w:tc>
          <w:tcPr>
            <w:tcW w:w="1640" w:type="dxa"/>
            <w:vAlign w:val="bottom"/>
          </w:tcPr>
          <w:p>
            <w:pPr>
              <w:ind w:left="760"/>
              <w:spacing w:after="0"/>
              <w:rPr>
                <w:sz w:val="20"/>
                <w:szCs w:val="20"/>
                <w:color w:val="auto"/>
              </w:rPr>
            </w:pPr>
            <w:r>
              <w:rPr>
                <w:rFonts w:ascii="Arial" w:cs="Arial" w:eastAsia="Arial" w:hAnsi="Arial"/>
                <w:sz w:val="18"/>
                <w:szCs w:val="18"/>
                <w:color w:val="auto"/>
              </w:rPr>
              <w:t>54</w:t>
            </w:r>
          </w:p>
        </w:tc>
        <w:tc>
          <w:tcPr>
            <w:tcW w:w="7440" w:type="dxa"/>
            <w:vAlign w:val="bottom"/>
          </w:tcPr>
          <w:p>
            <w:pPr>
              <w:ind w:left="480"/>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James F. Haran</w:t>
            </w:r>
          </w:p>
        </w:tc>
        <w:tc>
          <w:tcPr>
            <w:tcW w:w="1640" w:type="dxa"/>
            <w:vAlign w:val="bottom"/>
          </w:tcPr>
          <w:p>
            <w:pPr>
              <w:ind w:left="760"/>
              <w:spacing w:after="0"/>
              <w:rPr>
                <w:sz w:val="20"/>
                <w:szCs w:val="20"/>
                <w:color w:val="auto"/>
              </w:rPr>
            </w:pPr>
            <w:r>
              <w:rPr>
                <w:rFonts w:ascii="Arial" w:cs="Arial" w:eastAsia="Arial" w:hAnsi="Arial"/>
                <w:sz w:val="18"/>
                <w:szCs w:val="18"/>
                <w:color w:val="auto"/>
              </w:rPr>
              <w:t>51</w:t>
            </w:r>
          </w:p>
        </w:tc>
        <w:tc>
          <w:tcPr>
            <w:tcW w:w="7440" w:type="dxa"/>
            <w:vAlign w:val="bottom"/>
          </w:tcPr>
          <w:p>
            <w:pPr>
              <w:ind w:left="480"/>
              <w:spacing w:after="0"/>
              <w:rPr>
                <w:sz w:val="20"/>
                <w:szCs w:val="20"/>
                <w:color w:val="auto"/>
              </w:rPr>
            </w:pPr>
            <w:r>
              <w:rPr>
                <w:rFonts w:ascii="Arial" w:cs="Arial" w:eastAsia="Arial" w:hAnsi="Arial"/>
                <w:sz w:val="18"/>
                <w:szCs w:val="18"/>
                <w:color w:val="auto"/>
              </w:rPr>
              <w:t>Chief Financial Officer and Assistant Secretary</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Giuseppe “Joe” Falco</w:t>
            </w:r>
          </w:p>
        </w:tc>
        <w:tc>
          <w:tcPr>
            <w:tcW w:w="1640" w:type="dxa"/>
            <w:vAlign w:val="bottom"/>
          </w:tcPr>
          <w:p>
            <w:pPr>
              <w:ind w:left="760"/>
              <w:spacing w:after="0"/>
              <w:rPr>
                <w:sz w:val="20"/>
                <w:szCs w:val="20"/>
                <w:color w:val="auto"/>
              </w:rPr>
            </w:pPr>
            <w:r>
              <w:rPr>
                <w:rFonts w:ascii="Arial" w:cs="Arial" w:eastAsia="Arial" w:hAnsi="Arial"/>
                <w:sz w:val="18"/>
                <w:szCs w:val="18"/>
                <w:color w:val="auto"/>
              </w:rPr>
              <w:t>40</w:t>
            </w:r>
          </w:p>
        </w:tc>
        <w:tc>
          <w:tcPr>
            <w:tcW w:w="7440" w:type="dxa"/>
            <w:vAlign w:val="bottom"/>
          </w:tcPr>
          <w:p>
            <w:pPr>
              <w:ind w:left="480"/>
              <w:spacing w:after="0"/>
              <w:rPr>
                <w:sz w:val="20"/>
                <w:szCs w:val="20"/>
                <w:color w:val="auto"/>
              </w:rPr>
            </w:pPr>
            <w:r>
              <w:rPr>
                <w:rFonts w:ascii="Arial" w:cs="Arial" w:eastAsia="Arial" w:hAnsi="Arial"/>
                <w:sz w:val="18"/>
                <w:szCs w:val="18"/>
                <w:color w:val="auto"/>
              </w:rPr>
              <w:t>President and Chief Operating Officer of the Isaac Mizrahi Brand</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Marisa Gardini</w:t>
            </w:r>
          </w:p>
        </w:tc>
        <w:tc>
          <w:tcPr>
            <w:tcW w:w="1640" w:type="dxa"/>
            <w:vAlign w:val="bottom"/>
          </w:tcPr>
          <w:p>
            <w:pPr>
              <w:ind w:left="760"/>
              <w:spacing w:after="0"/>
              <w:rPr>
                <w:sz w:val="20"/>
                <w:szCs w:val="20"/>
                <w:color w:val="auto"/>
              </w:rPr>
            </w:pPr>
            <w:r>
              <w:rPr>
                <w:rFonts w:ascii="Arial" w:cs="Arial" w:eastAsia="Arial" w:hAnsi="Arial"/>
                <w:sz w:val="18"/>
                <w:szCs w:val="18"/>
                <w:color w:val="auto"/>
              </w:rPr>
              <w:t>44</w:t>
            </w:r>
          </w:p>
        </w:tc>
        <w:tc>
          <w:tcPr>
            <w:tcW w:w="7440" w:type="dxa"/>
            <w:vAlign w:val="bottom"/>
          </w:tcPr>
          <w:p>
            <w:pPr>
              <w:ind w:left="480"/>
              <w:spacing w:after="0"/>
              <w:rPr>
                <w:sz w:val="20"/>
                <w:szCs w:val="20"/>
                <w:color w:val="auto"/>
              </w:rPr>
            </w:pPr>
            <w:r>
              <w:rPr>
                <w:rFonts w:ascii="Arial" w:cs="Arial" w:eastAsia="Arial" w:hAnsi="Arial"/>
                <w:sz w:val="18"/>
                <w:szCs w:val="18"/>
                <w:color w:val="auto"/>
              </w:rPr>
              <w:t>Executive Vice President of Strategic Planning and Marketing and Director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Seth Burroughs</w:t>
            </w:r>
          </w:p>
        </w:tc>
        <w:tc>
          <w:tcPr>
            <w:tcW w:w="1640" w:type="dxa"/>
            <w:vAlign w:val="bottom"/>
          </w:tcPr>
          <w:p>
            <w:pPr>
              <w:ind w:left="760"/>
              <w:spacing w:after="0"/>
              <w:rPr>
                <w:sz w:val="20"/>
                <w:szCs w:val="20"/>
                <w:color w:val="auto"/>
              </w:rPr>
            </w:pPr>
            <w:r>
              <w:rPr>
                <w:rFonts w:ascii="Arial" w:cs="Arial" w:eastAsia="Arial" w:hAnsi="Arial"/>
                <w:sz w:val="18"/>
                <w:szCs w:val="18"/>
                <w:color w:val="auto"/>
              </w:rPr>
              <w:t>32</w:t>
            </w:r>
          </w:p>
        </w:tc>
        <w:tc>
          <w:tcPr>
            <w:tcW w:w="7440" w:type="dxa"/>
            <w:vAlign w:val="bottom"/>
          </w:tcPr>
          <w:p>
            <w:pPr>
              <w:ind w:left="480"/>
              <w:spacing w:after="0"/>
              <w:rPr>
                <w:sz w:val="20"/>
                <w:szCs w:val="20"/>
                <w:color w:val="auto"/>
              </w:rPr>
            </w:pPr>
            <w:r>
              <w:rPr>
                <w:rFonts w:ascii="Arial" w:cs="Arial" w:eastAsia="Arial" w:hAnsi="Arial"/>
                <w:sz w:val="18"/>
                <w:szCs w:val="18"/>
                <w:color w:val="auto"/>
              </w:rPr>
              <w:t>Executive Vice President of Business Development and Treasury and Secretary</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Jeffrey Cohen</w:t>
            </w:r>
          </w:p>
        </w:tc>
        <w:tc>
          <w:tcPr>
            <w:tcW w:w="1640" w:type="dxa"/>
            <w:vAlign w:val="bottom"/>
          </w:tcPr>
          <w:p>
            <w:pPr>
              <w:ind w:left="760"/>
              <w:spacing w:after="0"/>
              <w:rPr>
                <w:sz w:val="20"/>
                <w:szCs w:val="20"/>
                <w:color w:val="auto"/>
              </w:rPr>
            </w:pPr>
            <w:r>
              <w:rPr>
                <w:rFonts w:ascii="Arial" w:cs="Arial" w:eastAsia="Arial" w:hAnsi="Arial"/>
                <w:sz w:val="18"/>
                <w:szCs w:val="18"/>
                <w:color w:val="auto"/>
              </w:rPr>
              <w:t>51</w:t>
            </w:r>
          </w:p>
        </w:tc>
        <w:tc>
          <w:tcPr>
            <w:tcW w:w="7440" w:type="dxa"/>
            <w:vAlign w:val="bottom"/>
          </w:tcPr>
          <w:p>
            <w:pPr>
              <w:ind w:left="48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Mark DiSanto</w:t>
            </w:r>
          </w:p>
        </w:tc>
        <w:tc>
          <w:tcPr>
            <w:tcW w:w="1640" w:type="dxa"/>
            <w:vAlign w:val="bottom"/>
          </w:tcPr>
          <w:p>
            <w:pPr>
              <w:ind w:left="760"/>
              <w:spacing w:after="0"/>
              <w:rPr>
                <w:sz w:val="20"/>
                <w:szCs w:val="20"/>
                <w:color w:val="auto"/>
              </w:rPr>
            </w:pPr>
            <w:r>
              <w:rPr>
                <w:rFonts w:ascii="Arial" w:cs="Arial" w:eastAsia="Arial" w:hAnsi="Arial"/>
                <w:sz w:val="18"/>
                <w:szCs w:val="18"/>
                <w:color w:val="auto"/>
              </w:rPr>
              <w:t>49</w:t>
            </w:r>
          </w:p>
        </w:tc>
        <w:tc>
          <w:tcPr>
            <w:tcW w:w="7440" w:type="dxa"/>
            <w:vAlign w:val="bottom"/>
          </w:tcPr>
          <w:p>
            <w:pPr>
              <w:ind w:left="48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Todd Slater</w:t>
            </w:r>
          </w:p>
        </w:tc>
        <w:tc>
          <w:tcPr>
            <w:tcW w:w="1640" w:type="dxa"/>
            <w:vAlign w:val="bottom"/>
          </w:tcPr>
          <w:p>
            <w:pPr>
              <w:ind w:left="760"/>
              <w:spacing w:after="0"/>
              <w:rPr>
                <w:sz w:val="20"/>
                <w:szCs w:val="20"/>
                <w:color w:val="auto"/>
              </w:rPr>
            </w:pPr>
            <w:r>
              <w:rPr>
                <w:rFonts w:ascii="Arial" w:cs="Arial" w:eastAsia="Arial" w:hAnsi="Arial"/>
                <w:sz w:val="18"/>
                <w:szCs w:val="18"/>
                <w:color w:val="auto"/>
              </w:rPr>
              <w:t>49</w:t>
            </w:r>
          </w:p>
        </w:tc>
        <w:tc>
          <w:tcPr>
            <w:tcW w:w="7440" w:type="dxa"/>
            <w:vAlign w:val="bottom"/>
          </w:tcPr>
          <w:p>
            <w:pPr>
              <w:ind w:left="480"/>
              <w:spacing w:after="0"/>
              <w:rPr>
                <w:sz w:val="20"/>
                <w:szCs w:val="20"/>
                <w:color w:val="auto"/>
              </w:rPr>
            </w:pPr>
            <w:r>
              <w:rPr>
                <w:rFonts w:ascii="Arial" w:cs="Arial" w:eastAsia="Arial" w:hAnsi="Arial"/>
                <w:sz w:val="18"/>
                <w:szCs w:val="18"/>
                <w:color w:val="auto"/>
              </w:rPr>
              <w:t>Director</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Edward Jones, III</w:t>
            </w:r>
          </w:p>
        </w:tc>
        <w:tc>
          <w:tcPr>
            <w:tcW w:w="1640" w:type="dxa"/>
            <w:vAlign w:val="bottom"/>
          </w:tcPr>
          <w:p>
            <w:pPr>
              <w:ind w:left="760"/>
              <w:spacing w:after="0"/>
              <w:rPr>
                <w:sz w:val="20"/>
                <w:szCs w:val="20"/>
                <w:color w:val="auto"/>
              </w:rPr>
            </w:pPr>
            <w:r>
              <w:rPr>
                <w:rFonts w:ascii="Arial" w:cs="Arial" w:eastAsia="Arial" w:hAnsi="Arial"/>
                <w:sz w:val="18"/>
                <w:szCs w:val="18"/>
                <w:color w:val="auto"/>
              </w:rPr>
              <w:t>63</w:t>
            </w:r>
          </w:p>
        </w:tc>
        <w:tc>
          <w:tcPr>
            <w:tcW w:w="7440" w:type="dxa"/>
            <w:vAlign w:val="bottom"/>
          </w:tcPr>
          <w:p>
            <w:pPr>
              <w:ind w:left="480"/>
              <w:spacing w:after="0"/>
              <w:rPr>
                <w:sz w:val="20"/>
                <w:szCs w:val="20"/>
                <w:color w:val="auto"/>
              </w:rPr>
            </w:pPr>
            <w:r>
              <w:rPr>
                <w:rFonts w:ascii="Arial" w:cs="Arial" w:eastAsia="Arial" w:hAnsi="Arial"/>
                <w:sz w:val="18"/>
                <w:szCs w:val="18"/>
                <w:color w:val="auto"/>
              </w:rPr>
              <w:t>Director</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Howard Liebman</w:t>
            </w:r>
          </w:p>
        </w:tc>
        <w:tc>
          <w:tcPr>
            <w:tcW w:w="1640" w:type="dxa"/>
            <w:vAlign w:val="bottom"/>
          </w:tcPr>
          <w:p>
            <w:pPr>
              <w:ind w:left="760"/>
              <w:spacing w:after="0"/>
              <w:rPr>
                <w:sz w:val="20"/>
                <w:szCs w:val="20"/>
                <w:color w:val="auto"/>
              </w:rPr>
            </w:pPr>
            <w:r>
              <w:rPr>
                <w:rFonts w:ascii="Arial" w:cs="Arial" w:eastAsia="Arial" w:hAnsi="Arial"/>
                <w:sz w:val="18"/>
                <w:szCs w:val="18"/>
                <w:color w:val="auto"/>
              </w:rPr>
              <w:t>69</w:t>
            </w:r>
          </w:p>
        </w:tc>
        <w:tc>
          <w:tcPr>
            <w:tcW w:w="7440" w:type="dxa"/>
            <w:vAlign w:val="bottom"/>
          </w:tcPr>
          <w:p>
            <w:pPr>
              <w:ind w:left="480"/>
              <w:spacing w:after="0"/>
              <w:rPr>
                <w:sz w:val="20"/>
                <w:szCs w:val="20"/>
                <w:color w:val="auto"/>
              </w:rPr>
            </w:pPr>
            <w:r>
              <w:rPr>
                <w:rFonts w:ascii="Arial" w:cs="Arial" w:eastAsia="Arial" w:hAnsi="Arial"/>
                <w:sz w:val="18"/>
                <w:szCs w:val="18"/>
                <w:color w:val="auto"/>
              </w:rPr>
              <w:t>Director</w:t>
            </w:r>
          </w:p>
        </w:tc>
      </w:tr>
      <w:tr>
        <w:trPr>
          <w:trHeight w:val="648"/>
        </w:trPr>
        <w:tc>
          <w:tcPr>
            <w:tcW w:w="2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904"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Below are the biographies of each of our officers and directors as of March 23, 2012.</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i w:val="1"/>
          <w:iCs w:val="1"/>
          <w:color w:val="auto"/>
        </w:rPr>
        <w:t xml:space="preserve">Robert W. D’Loren </w:t>
      </w:r>
      <w:r>
        <w:rPr>
          <w:rFonts w:ascii="Arial" w:cs="Arial" w:eastAsia="Arial" w:hAnsi="Arial"/>
          <w:sz w:val="17"/>
          <w:szCs w:val="17"/>
          <w:color w:val="auto"/>
        </w:rPr>
        <w:t>is our Chairman of the Board and Chief Executive Officer. He served as Chairman and CEO of IPX Capital, LLC and related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subsidiaries, a consumer products advisory firm from 2009 to 2011. Mr. D’Loren previously served as a Director and President and Chief Executive Officer of Nexcen Brands, Inc., a global brand acquisition and management company from June 2006 until August 2008. Prior to NexCen Brands, he served as President and Chief Executive Officer of UCC Capital Corporation (“UCC”) from 2004 to 2006. Prior to forming UCC, Mr. D’Loren served as President and Chief Operating Officer of CAK Universal Credit Corporation, an intellectual property finance company from 1998 to 2003. Mr. D’Loren’s career debt and equity investments in intellectual property centric and consumer branded products companies exceed $1.0 billion. From 1985 to 1997, Mr. D’Loren served as President and Chief Executive Officer of the D’Loren Organization, an investment and restructuring firm responsible for aggregate transactions in excess of $2 billion. Prior to that, Mr. D’Loren served as an asset manager for Fosterlane Management where he managed in excess of $1.0 billion in assets, and previously served as a manager with Deloitte. Mr. D’Loren is a Certified Public Accountant and holds a Master’s degree from Columbia University and a B.S. from New York University.</w:t>
      </w:r>
    </w:p>
    <w:p>
      <w:pPr>
        <w:spacing w:after="0" w:line="17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Mr. D’Loren has served on the board of directors of Iconix Brand Group, Longaberger Company, Business Loan Center, Achilles Track Club International and served as a board advisor to The Athletes Foot and Bill Blass, Ltd.</w:t>
      </w:r>
    </w:p>
    <w:p>
      <w:pPr>
        <w:spacing w:after="0" w:line="170" w:lineRule="exact"/>
        <w:rPr>
          <w:sz w:val="20"/>
          <w:szCs w:val="20"/>
          <w:color w:val="auto"/>
        </w:rPr>
      </w:pPr>
    </w:p>
    <w:p>
      <w:pPr>
        <w:ind w:right="280" w:firstLine="648"/>
        <w:spacing w:after="0" w:line="293" w:lineRule="auto"/>
        <w:rPr>
          <w:sz w:val="20"/>
          <w:szCs w:val="20"/>
          <w:color w:val="auto"/>
        </w:rPr>
      </w:pPr>
      <w:r>
        <w:rPr>
          <w:rFonts w:ascii="Arial" w:cs="Arial" w:eastAsia="Arial" w:hAnsi="Arial"/>
          <w:sz w:val="16"/>
          <w:szCs w:val="16"/>
          <w:b w:val="1"/>
          <w:bCs w:val="1"/>
          <w:i w:val="1"/>
          <w:iCs w:val="1"/>
          <w:color w:val="auto"/>
        </w:rPr>
        <w:t xml:space="preserve">James F. Haran </w:t>
      </w:r>
      <w:r>
        <w:rPr>
          <w:rFonts w:ascii="Arial" w:cs="Arial" w:eastAsia="Arial" w:hAnsi="Arial"/>
          <w:sz w:val="16"/>
          <w:szCs w:val="16"/>
          <w:color w:val="auto"/>
        </w:rPr>
        <w:t>is our Chief Financial Officer. Mr. Haran served as CFO of IPX Capital, LLC and related subsidiaries, a consumer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advisory firm from 2009 to 2011. Mr. Haran was the Executive Vice President, Capital Markets for Nexcen Brands, Inc. from 2006 to 2008 and Chief Financial Officer and Chief Credit Officer for UCC Capital Corp.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served his clients on an array of strategic and operational levels. Mr. Haran is a Certified Public Accountant and holds a Bachelor of Science degree from State University of New York at Plattsburgh.</w:t>
      </w:r>
    </w:p>
    <w:p>
      <w:pPr>
        <w:spacing w:after="0" w:line="16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b w:val="1"/>
          <w:bCs w:val="1"/>
          <w:i w:val="1"/>
          <w:iCs w:val="1"/>
          <w:color w:val="auto"/>
        </w:rPr>
        <w:t xml:space="preserve">Giuseppe “Joe” Falco </w:t>
      </w:r>
      <w:r>
        <w:rPr>
          <w:rFonts w:ascii="Arial" w:cs="Arial" w:eastAsia="Arial" w:hAnsi="Arial"/>
          <w:sz w:val="16"/>
          <w:szCs w:val="16"/>
          <w:color w:val="auto"/>
        </w:rPr>
        <w:t>is our President and Chief Operating Officer of the Isaac Mizrahi Brand. Mr. Falco is a merchant with almost two decades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managing lifestyle brands and business development. Mr. Falco served as President of Misook, a division of HMX from 2009 to 2010,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15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Marisa Gardini </w:t>
      </w:r>
      <w:r>
        <w:rPr>
          <w:rFonts w:ascii="Arial" w:cs="Arial" w:eastAsia="Arial" w:hAnsi="Arial"/>
          <w:sz w:val="16"/>
          <w:szCs w:val="16"/>
          <w:color w:val="auto"/>
        </w:rPr>
        <w:t>is our Executive Vice President of Strategic Planning and Marketing and member of our board of directors. Since 2006, Ms. Gardini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President and Chief Executive Officer of IM Ready. During this tenure, she has led all segments of the business including managing all media and public relations, licensing, design, and merchandising for Isaac Mizrahi, and has worked to help launch Isaac Mizrahi at Target, LC, and QVC. Ms. Gardini has a B.A. from Barnard College and a J.D. from Brooklyn Law, and currently serves on the board of trustees of Brearley School in New York City.</w:t>
      </w:r>
    </w:p>
    <w:p>
      <w:pPr>
        <w:spacing w:after="0" w:line="15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is our Executive Vice President of Business Development and Treasury. From 2006 to 2010, Mr. Burroughs served as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NexCen Brands, Inc., where he was responsible for M&amp;A and Strategic initiatives for the Company. At NexCen, Mr. Burroughs oversaw over $300 million in acquisitions. Prior to his role at NexCen, from 2003 to 2006 Mr. Burroughs served as Director of M&amp;A Advisory and Investor Relations at UCC Capital Corp., a financing company specializing in consumer branded products M&amp;A and the securitization of intellectual property, where he worked on an additional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is a graduate of The Wharton School of Business at the University of Pennsylvania, and serves on the board of directors of the Young Learners of New York, a charity focused on providing equipment and funding to public middle schools of New York City.</w:t>
      </w:r>
    </w:p>
    <w:p>
      <w:pPr>
        <w:spacing w:after="0" w:line="18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i w:val="1"/>
          <w:iCs w:val="1"/>
          <w:color w:val="auto"/>
        </w:rPr>
        <w:t xml:space="preserve">Jeffrey Cohen </w:t>
      </w:r>
      <w:r>
        <w:rPr>
          <w:rFonts w:ascii="Arial" w:cs="Arial" w:eastAsia="Arial" w:hAnsi="Arial"/>
          <w:sz w:val="16"/>
          <w:szCs w:val="16"/>
          <w:color w:val="auto"/>
        </w:rPr>
        <w:t>has agreed to serve as a member of our board of directors commencing on the Appointment Date. Jeffrey Cohen has a unique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deep background in American retail. From 2000 to present, he has served as Co-Chairman of Earthbound, LLC. Mr. Cohen oversees all business and creative operations for Earthbound. Earthbound is a full service brand design and licensing business. Since Mr. Cohen joined Earthbound, Earthbound managed brands have generated over $10 Billion in retail sales. From 1983 to 1999, Mr. Cohen served as Principal and EVP of Conway Stores, a major NY based deep discount retail business founded by his father in 1942. At Conway, Mr. Cohen was involved in all aspects of the business operation including significant involvement in merchandising and operations. Jeff served for 10 years on the Executive Board and as Chairman of the Board of Education at Hillel Yeshiva. Jeff is currently Chairman of the Board of the Allegra Franco Sephardic Women’s Teachers College.</w:t>
      </w:r>
    </w:p>
    <w:p>
      <w:pPr>
        <w:spacing w:after="0" w:line="16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b w:val="1"/>
          <w:bCs w:val="1"/>
          <w:i w:val="1"/>
          <w:iCs w:val="1"/>
          <w:color w:val="auto"/>
        </w:rPr>
        <w:t xml:space="preserve">Mark DiSanto </w:t>
      </w:r>
      <w:r>
        <w:rPr>
          <w:rFonts w:ascii="Arial" w:cs="Arial" w:eastAsia="Arial" w:hAnsi="Arial"/>
          <w:sz w:val="16"/>
          <w:szCs w:val="16"/>
          <w:color w:val="auto"/>
        </w:rPr>
        <w:t>has agreed to serve as a member of our board of directors commencing on the Appointment Date. From 1988 to the present,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DiSanto has served as the Chief Executive Officer of Triple Crown Corporation a regional real estate development and investment company with commercial and residential development projects exceeding 7 million square feet. Mr. DiSanto received a degree in business administration from Villanova University’s College of Commerce and Finance, a Juris Doctorate from the University of Toledo College of Law and an MS degree from Columbia University.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ind w:right="40" w:firstLine="648"/>
        <w:spacing w:after="0" w:line="270" w:lineRule="auto"/>
        <w:rPr>
          <w:sz w:val="20"/>
          <w:szCs w:val="20"/>
          <w:color w:val="auto"/>
        </w:rPr>
      </w:pPr>
      <w:r>
        <w:rPr>
          <w:rFonts w:ascii="Arial" w:cs="Arial" w:eastAsia="Arial" w:hAnsi="Arial"/>
          <w:sz w:val="17"/>
          <w:szCs w:val="17"/>
          <w:b w:val="1"/>
          <w:bCs w:val="1"/>
          <w:i w:val="1"/>
          <w:iCs w:val="1"/>
          <w:color w:val="auto"/>
        </w:rPr>
        <w:t xml:space="preserve">Todd Slater </w:t>
      </w:r>
      <w:r>
        <w:rPr>
          <w:rFonts w:ascii="Arial" w:cs="Arial" w:eastAsia="Arial" w:hAnsi="Arial"/>
          <w:sz w:val="17"/>
          <w:szCs w:val="17"/>
          <w:color w:val="auto"/>
        </w:rPr>
        <w:t>has agreed to serve as a member of our board of directors commencing on the Appointment Date. Mr. Slater has a broad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distinguished background in the retail and branded consumer sectors, serving most recently as a Managing Director at Lazard Capital Markets. At Lazard and then Lazard Capital Markets, Mr. Slater led the retail and branded consumer research team from 1996-2011, where he won numerous industry awards, including the #1 “Best Analyst” ranking by Starmine and the Financial Times in Specialty Retail, and the #2 “Best On The Street” in the Clothing and Accessory sectors over a period of many years. Prior to joining Lazard, Mr. Slater was a Vice President and headed the retail and consumer research team at UBS Securities from 1992-1996, where he was ranked by Institutional Investor as #1 “Up and Comer” in the Textile and Apparel space. During this period, Mr. Slater was President of the Textile and Apparel Analyst Group in NY from 1999-2002. Before becoming a top retail and consumer industry analyst, Mr. Slater began his career at Macy’s New York, where he started in the Executive Training Program, rising to senior executive positions in merchandising, buying, and store management from 1984-1992. Mr. Slater received a B.A. in French Literature from Tufts University, and also completed a year of studies at Science Po (Institute d’Etudes Politiques) in Paris, France.</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Edward Jones, III </w:t>
      </w:r>
      <w:r>
        <w:rPr>
          <w:rFonts w:ascii="Arial" w:cs="Arial" w:eastAsia="Arial" w:hAnsi="Arial"/>
          <w:sz w:val="16"/>
          <w:szCs w:val="16"/>
          <w:color w:val="auto"/>
        </w:rPr>
        <w:t>has agreed to serve as a member of our board of directors commencing on the Appointment Date. In a career that has spanned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thirty-five years in the fashion industry, Mr. Jones has been recognized as a marketing and brand visionary. Mr. Jones began his career in retail in Dallas, Texas with Hartmarx. Mr. Jones then moved on to Neiman Marcus where he spent five years in various men’s merchandising and buying positions. In his career Edward Jones has held positions in major companies that include CEO (Perry Ellis Men’s, Women’s &amp; International; Segrets Inc., GM Design Inc.), President (Calvin Klein, Esprit, Haggar Women’s), Director International Licensing (Perry Ellis, Calvin Klein), Creative Director (Haggar Women’s), Chief Merchandising Officer (Haggar Men’s &amp; Women’s). For the past four years, he has been active as an advisor in the fashion apparel, accessory and footwear markets in numerous brand and company strategies and M&amp;A assignments. During this period he has participated in the review and analysis of over sixty companies or brands. He has advised on brand and business model strategy in over half of these companies.</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b w:val="1"/>
          <w:bCs w:val="1"/>
          <w:i w:val="1"/>
          <w:iCs w:val="1"/>
          <w:color w:val="auto"/>
        </w:rPr>
        <w:t xml:space="preserve">Howard Liebman </w:t>
      </w:r>
      <w:r>
        <w:rPr>
          <w:rFonts w:ascii="Arial" w:cs="Arial" w:eastAsia="Arial" w:hAnsi="Arial"/>
          <w:sz w:val="17"/>
          <w:szCs w:val="17"/>
          <w:color w:val="auto"/>
        </w:rPr>
        <w:t>has agreed to serve as a member of our board of directors commencing on the Appointment Date. From 2008 to the present,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Liebman has served as a Director and member of the Executive Committee of Federation Employment and Guidance Services (FEGS) and as the chairman of its audit committee. FEGS is a large not-for-profit health and human services organization providing a vast array of services to individuals and families throughout the greater New York area. Mr. Liebman was a director of Sharper Image Corporation and served as chairman of its audit committee from 2006 to 2008. In February 2008, Sharper Image filed for bankruptcy under Chapter 11 of Title 11 of the Bankruptcy Code.</w:t>
      </w:r>
    </w:p>
    <w:p>
      <w:pPr>
        <w:spacing w:after="0" w:line="173"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Howard Liebman was President, Chief Operating Officer and a director of Hobart West Group, a provider of national court reporting and litigation support services from 2007 until the sale of the business in 2008. Mr. Liebman served as a consultant to Hobart from 2006 to 2007. Mr. Liebman was President, Chief Financial Officer and director of Shorewood Packaging Corporation, a New York Stock Exchange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 nominees and directors have a reputation for honesty, integrity, and adherence to high ethical standards. They each have demonstrated business acumen, leadership and an ability to exercise sound judgment, as well as a commitment to serve XCel and our Board. The following descriptions demonstrate the qualifications of each director:</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b w:val="1"/>
          <w:bCs w:val="1"/>
          <w:i w:val="1"/>
          <w:iCs w:val="1"/>
          <w:color w:val="auto"/>
        </w:rPr>
        <w:t xml:space="preserve">Robert D’Loren </w:t>
      </w:r>
      <w:r>
        <w:rPr>
          <w:rFonts w:ascii="Arial" w:cs="Arial" w:eastAsia="Arial" w:hAnsi="Arial"/>
          <w:sz w:val="17"/>
          <w:szCs w:val="17"/>
          <w:color w:val="auto"/>
        </w:rPr>
        <w:t>has extensive experience in and knowledge of the licensing and commercial business industries and financial markets.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knowledge and experience, including his experience as director, president and chief executive officer of a global brand management company provide us with valuable insight to formulate and create the Company’s acquisition strategy and how to manage and license acquired brands.</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Marisa Gardini </w:t>
      </w:r>
      <w:r>
        <w:rPr>
          <w:rFonts w:ascii="Arial" w:cs="Arial" w:eastAsia="Arial" w:hAnsi="Arial"/>
          <w:sz w:val="18"/>
          <w:szCs w:val="18"/>
          <w:color w:val="auto"/>
        </w:rPr>
        <w:t>has operated and co-owned the Isaac Mizrahi Brand for over nine years and has a unique knowledge of the brand and its position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marketplace.</w:t>
      </w:r>
    </w:p>
    <w:p>
      <w:pPr>
        <w:spacing w:after="0" w:line="170"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b w:val="1"/>
          <w:bCs w:val="1"/>
          <w:i w:val="1"/>
          <w:iCs w:val="1"/>
          <w:color w:val="auto"/>
        </w:rPr>
        <w:t xml:space="preserve">Jeffrey Cohen </w:t>
      </w:r>
      <w:r>
        <w:rPr>
          <w:rFonts w:ascii="Arial" w:cs="Arial" w:eastAsia="Arial" w:hAnsi="Arial"/>
          <w:sz w:val="16"/>
          <w:szCs w:val="16"/>
          <w:color w:val="auto"/>
        </w:rPr>
        <w:t>has a strong retail industry background with experience in licensing, consumer brand management and merchandising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relationships with various retailers. His background includes the management of the Isaac Mizrahi Brand through his positions with Earthbound.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Mark DiSanto </w:t>
      </w:r>
      <w:r>
        <w:rPr>
          <w:rFonts w:ascii="Arial" w:cs="Arial" w:eastAsia="Arial" w:hAnsi="Arial"/>
          <w:sz w:val="18"/>
          <w:szCs w:val="18"/>
          <w:color w:val="auto"/>
        </w:rPr>
        <w:t>has experience in building and running businesses and brings his strong business acumen to the Board.</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Todd Slater </w:t>
      </w:r>
      <w:r>
        <w:rPr>
          <w:rFonts w:ascii="Arial" w:cs="Arial" w:eastAsia="Arial" w:hAnsi="Arial"/>
          <w:sz w:val="18"/>
          <w:szCs w:val="18"/>
          <w:color w:val="auto"/>
        </w:rPr>
        <w:t>has extensive knowledge and experience in the retail and branded consumer sector industry, through his senior positions at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banking firms, focusing on retail and consumer research, and his senior positions at Macy’s. Mr. Slater also brings relationships with various retailers and businesses in the consumer products markets.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Edward Jones III </w:t>
      </w:r>
      <w:r>
        <w:rPr>
          <w:rFonts w:ascii="Arial" w:cs="Arial" w:eastAsia="Arial" w:hAnsi="Arial"/>
          <w:sz w:val="17"/>
          <w:szCs w:val="17"/>
          <w:color w:val="auto"/>
        </w:rPr>
        <w:t>brings over 35 years of experience in the fashion industry, as well as relationships in the fashion and apparel industries.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right="640" w:firstLine="648"/>
        <w:spacing w:after="0" w:line="308" w:lineRule="auto"/>
        <w:rPr>
          <w:sz w:val="20"/>
          <w:szCs w:val="20"/>
          <w:color w:val="auto"/>
        </w:rPr>
      </w:pPr>
      <w:r>
        <w:rPr>
          <w:rFonts w:ascii="Arial" w:cs="Arial" w:eastAsia="Arial" w:hAnsi="Arial"/>
          <w:sz w:val="17"/>
          <w:szCs w:val="17"/>
          <w:b w:val="1"/>
          <w:bCs w:val="1"/>
          <w:i w:val="1"/>
          <w:iCs w:val="1"/>
          <w:color w:val="auto"/>
        </w:rPr>
        <w:t xml:space="preserve">Howard Liebman </w:t>
      </w:r>
      <w:r>
        <w:rPr>
          <w:rFonts w:ascii="Arial" w:cs="Arial" w:eastAsia="Arial" w:hAnsi="Arial"/>
          <w:sz w:val="17"/>
          <w:szCs w:val="17"/>
          <w:color w:val="auto"/>
        </w:rPr>
        <w:t>brings extensive knowledge of accounting, the capital markets, mergers and acquisitions, financial reporting and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from his extensive public accounting experience and prior service as Chief Financial Officer of a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b w:val="1"/>
          <w:bCs w:val="1"/>
          <w:i w:val="1"/>
          <w:iCs w:val="1"/>
          <w:color w:val="auto"/>
        </w:rPr>
        <w:t xml:space="preserve">Isaac Mizrahi </w:t>
      </w:r>
      <w:r>
        <w:rPr>
          <w:rFonts w:ascii="Arial" w:cs="Arial" w:eastAsia="Arial" w:hAnsi="Arial"/>
          <w:sz w:val="17"/>
          <w:szCs w:val="17"/>
          <w:color w:val="auto"/>
        </w:rPr>
        <w:t>is Chief Design Officer for the Isaac Mizrahi Brand. Mr. Mizrahi founded the Isaac Mizrahi New York brand in 1987 and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President and Chief Designer of IM Ready. As Chief Design Officer, Mr. Mizrahi is responsible for design and design direction for all brands under the Isaac Mizrahi Business, including the Isaac Mizrahi New York brand, which is still sold in Bergdorf Goodman and other luxury retailers. In December 2009, Mr. Mizrahi launched his lifestyle collection, Isaac Mizrahi Live! on QVC for IM Ready. Under IM Ready’s design agreement with LC, Mr. Mizrahi also serves as the creative director for the Liz Claiborne New York line at QVC. Previously, Mr. Mizrahi teamed with Target in 2003 to launch an innovative collection of chic and stylish clothing and accessories for women. Mr. Mizrahi has received four awards from the Council of Fashion Designers of America (CFDA), including two awards for Designer of the Year and an award in 1996 for the documentary “Unzipped”. Mr. Mizrahi’s media presence includes publishing the book “How to Have Style” in 2008, and appearances and roles in films and television shows, including “Sex in the City,” “Ugly Betty” and “Celebrity Jeopardy” and has hosted his own series, Bravo’s “The Fashion Show,” as well as series on the Oxygen Network and the Style Network. Mr. Mizrahi is also the host of the media program Project Runway All-Stars which begins airing in the first quarter of 2012. Mr. Mizrahi has also designed costumes and/or directed productions for the Metropolitan Opera, the Mark Morris Dance Company, the Opera Theatre of St. Louis, and the Brooklyn Youth Choir, and has served on the board of directors of and is actively involved with the Good Shepherd Services which provides services to underserviced children.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Executives and Key Employees</w:t>
      </w:r>
    </w:p>
    <w:p>
      <w:pPr>
        <w:spacing w:after="0" w:line="22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b w:val="1"/>
          <w:bCs w:val="1"/>
          <w:i w:val="1"/>
          <w:iCs w:val="1"/>
          <w:color w:val="auto"/>
        </w:rPr>
        <w:t xml:space="preserve">Robert D’Loren. </w:t>
      </w:r>
      <w:r>
        <w:rPr>
          <w:rFonts w:ascii="Arial" w:cs="Arial" w:eastAsia="Arial" w:hAnsi="Arial"/>
          <w:sz w:val="16"/>
          <w:szCs w:val="16"/>
          <w:color w:val="auto"/>
        </w:rPr>
        <w:t>On September 22, 2011, and effective as of September 16, 2011, the Company entered into a three-year employment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Robert D’Loren for him to serve as our Chief Executive Officer. Additionally, we shall use our reasonable best efforts to cause Mr. D’Loren to be nominated to our Board of Directors and to serve as our Chairman of the Board during the term of the agreement. Following the initial three-year term, the agreement will be automatically renewed for one year terms thereafter unless either party gives written notice of intent to terminate at least 90 days prior to such termination. Mr. D’Loren’s salary for the first year, starting on the Closing Date, is $240,000, for the second year, it is $530,000 and for third year it is $580,000. The board or the compensation committee may approve increases (but not decreases) from time to time. Following the initial three-year term, the base salary shall be reviewed at least annually. We will also reimburse Mr. D’Loren for up to $50,000 of undocumented expenses each calendar year. In addition, Mr. D’Loren will receive an allowance for an automobile appropriate for his level of position, and the Company shall pay (in addition to monthly lease or other payments) all of the related expenses for gasoline, insurance, maintenance, repairs or any other costs with Mr. D’Loren’s automobile.</w:t>
      </w:r>
    </w:p>
    <w:p>
      <w:pPr>
        <w:spacing w:after="0" w:line="167"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 Mr. D’ Loren is eligible for an annual cash bonus of up to $450,000 per year based on annual EBITDA targets. The cash bonus is a portion</w:t>
      </w:r>
      <w:r>
        <w:rPr>
          <w:rFonts w:ascii="Arial" w:cs="Arial" w:eastAsia="Arial" w:hAnsi="Arial"/>
          <w:sz w:val="17"/>
          <w:szCs w:val="17"/>
          <w:i w:val="1"/>
          <w:iCs w:val="1"/>
          <w:color w:val="auto"/>
        </w:rPr>
        <w:t xml:space="preserve"> </w:t>
      </w:r>
      <w:r>
        <w:rPr>
          <w:rFonts w:ascii="Arial" w:cs="Arial" w:eastAsia="Arial" w:hAnsi="Arial"/>
          <w:sz w:val="17"/>
          <w:szCs w:val="17"/>
          <w:color w:val="auto"/>
        </w:rPr>
        <w:t>of five percent of the licensing income in excess of $8,000,000 earned and received by us, in accordance with the following schedule:</w:t>
      </w:r>
    </w:p>
    <w:p>
      <w:pPr>
        <w:sectPr>
          <w:pgSz w:w="11900" w:h="16838" w:orient="portrait"/>
          <w:cols w:equalWidth="0" w:num="1">
            <w:col w:w="11420"/>
          </w:cols>
          <w:pgMar w:left="240" w:top="909"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Annual Level of Target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EBITDA Achieved for each</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fiscal year ending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 and thereafter</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Percentage of 5% of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licensing income earned by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in excess of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00" w:lineRule="exact"/>
        <w:rPr>
          <w:sz w:val="20"/>
          <w:szCs w:val="20"/>
          <w:color w:val="auto"/>
        </w:rPr>
      </w:pPr>
    </w:p>
    <w:p>
      <w:pPr>
        <w:sectPr>
          <w:pgSz w:w="11900" w:h="16838" w:orient="portrait"/>
          <w:cols w:equalWidth="0" w:num="2">
            <w:col w:w="8260" w:space="720"/>
            <w:col w:w="2440"/>
          </w:cols>
          <w:pgMar w:left="240" w:top="909" w:right="2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0%-49%</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50%-69%</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70%-89%</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8"/>
                <w:szCs w:val="18"/>
                <w:color w:val="auto"/>
              </w:rPr>
              <w:t>90%-100%</w:t>
            </w:r>
          </w:p>
        </w:tc>
        <w:tc>
          <w:tcPr>
            <w:tcW w:w="5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 If Mr. D’Loren’s employment is terminated by us without “cause”, or if Mr. D’Loren resigns with “good reason”, or if we fail to renew</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then Mr. D’Loren will be entitled to receive his unpaid base salary and cash bonuses through the termination date and an amount equal to the base salary in effect on the termination date for the longer of two years from the termination date and the remainder of the then-current term. Additionally, Mr.</w:t>
      </w:r>
    </w:p>
    <w:p>
      <w:pPr>
        <w:ind w:right="100"/>
        <w:spacing w:after="0" w:line="261" w:lineRule="auto"/>
        <w:rPr>
          <w:sz w:val="20"/>
          <w:szCs w:val="20"/>
          <w:color w:val="auto"/>
        </w:rPr>
      </w:pPr>
      <w:r>
        <w:rPr>
          <w:rFonts w:ascii="Arial" w:cs="Arial" w:eastAsia="Arial" w:hAnsi="Arial"/>
          <w:sz w:val="18"/>
          <w:szCs w:val="18"/>
          <w:color w:val="auto"/>
        </w:rPr>
        <w:t>D’Loren would be entitled to two times the average annual cash bonuses paid in the preceding 12 months. Mr. D’Loren would also be entitled to continue to participate in our group medical plan, subject to certain conditions, for a period of 18 months from the termination date.</w:t>
      </w:r>
    </w:p>
    <w:p>
      <w:pPr>
        <w:spacing w:after="0" w:line="184"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i w:val="1"/>
          <w:iCs w:val="1"/>
          <w:color w:val="auto"/>
        </w:rPr>
        <w:t xml:space="preserve">Change of Control </w:t>
      </w:r>
      <w:r>
        <w:rPr>
          <w:rFonts w:ascii="Arial" w:cs="Arial" w:eastAsia="Arial" w:hAnsi="Arial"/>
          <w:sz w:val="17"/>
          <w:szCs w:val="17"/>
          <w:color w:val="auto"/>
        </w:rPr>
        <w:t>. In the event Mr. D’Loren’s employment is terminated within twelve months following a change of control by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cause or by Mr. D’Loren with good reason, he would be entitled to a lump sum payment equal to two times (i) his base salary in effect on the termination date for the longer of two years from the termination date and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59" w:name="page60"/>
    <w:bookmarkEnd w:id="59"/>
    <w:p>
      <w:pPr>
        <w:ind w:right="240" w:firstLine="648"/>
        <w:spacing w:after="0" w:line="26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On the Closing Date, Mr. D’Loren received a warrant to purchase 239,250 shares of our common stock with an exercise price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$5.00 per share. The warrant vested and became exercisable on the Closing Date and has a ten-year term. The shares of common stock underlying the warrant have customary piggy back registration and cashless exercise rights.</w:t>
      </w:r>
    </w:p>
    <w:p>
      <w:pPr>
        <w:spacing w:after="0" w:line="18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i w:val="1"/>
          <w:iCs w:val="1"/>
          <w:color w:val="auto"/>
        </w:rPr>
        <w:t xml:space="preserve">Non-Competition and Non-Solicitation </w:t>
      </w:r>
      <w:r>
        <w:rPr>
          <w:rFonts w:ascii="Arial" w:cs="Arial" w:eastAsia="Arial" w:hAnsi="Arial"/>
          <w:sz w:val="17"/>
          <w:szCs w:val="17"/>
          <w:color w:val="auto"/>
        </w:rPr>
        <w:t>.. During the term of his employment by the Company and for a one-year period after the termination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b w:val="1"/>
          <w:bCs w:val="1"/>
          <w:i w:val="1"/>
          <w:iCs w:val="1"/>
          <w:color w:val="auto"/>
        </w:rPr>
        <w:t>James Haran</w:t>
      </w:r>
      <w:r>
        <w:rPr>
          <w:rFonts w:ascii="Arial" w:cs="Arial" w:eastAsia="Arial" w:hAnsi="Arial"/>
          <w:sz w:val="18"/>
          <w:szCs w:val="18"/>
          <w:color w:val="auto"/>
        </w:rPr>
        <w:t>. On September 22, 2011, and effective as of September 16, 2011, the Company entered into a two-year employment agreement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James Haran for him to serve as our Chief Financial Officer. Following the initial two-year term, the agreement will be automatically renewed for one year terms thereafter unless either party gives written notice of intent to terminate at least 30 days prior to such termination. Mr. Haran’s salary for the first year starting on the Closing Date is $225,000 per year and for the second year it is $250,000. The board or the compensation committee may approve increases (but not decreases) from time to time. Following the initial two year term, the base salary shall be reviewed at least annually. In addition, Mr. Haran will receive a car allowance of $1,500 per month.</w:t>
      </w:r>
    </w:p>
    <w:p>
      <w:pPr>
        <w:spacing w:after="0" w:line="19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 Mr. Haran is eligible for a cash bonus of up to $50,000 based upon the following: 50% of the $50,000 cash bonus shall be paid to Mr. Haran</w:t>
      </w:r>
      <w:r>
        <w:rPr>
          <w:rFonts w:ascii="Arial" w:cs="Arial" w:eastAsia="Arial" w:hAnsi="Arial"/>
          <w:sz w:val="18"/>
          <w:szCs w:val="18"/>
          <w:i w:val="1"/>
          <w:iCs w:val="1"/>
          <w:color w:val="auto"/>
        </w:rPr>
        <w:t xml:space="preserve"> </w:t>
      </w:r>
      <w:r>
        <w:rPr>
          <w:rFonts w:ascii="Arial" w:cs="Arial" w:eastAsia="Arial" w:hAnsi="Arial"/>
          <w:sz w:val="18"/>
          <w:szCs w:val="18"/>
          <w:color w:val="auto"/>
        </w:rPr>
        <w:t>if we achieve at least 70% of our budgeted EBITDA and 100% of the $50,000 cash bonus shall be paid to Mr. Haran if we achieve at least 90% of our budgeted EBITDA.</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If Mr. Haran’s employment is terminated by us without “cause”, or if Mr. Haran resigns with “good reason”, or if we fail to renew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then Mr. Haran will be entitled to receive his unpaid base salary and cash bonuses through the termination date and an amount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Change of Control </w:t>
      </w:r>
      <w:r>
        <w:rPr>
          <w:rFonts w:ascii="Arial" w:cs="Arial" w:eastAsia="Arial" w:hAnsi="Arial"/>
          <w:sz w:val="18"/>
          <w:szCs w:val="18"/>
          <w:color w:val="auto"/>
        </w:rPr>
        <w:t>. In the event Mr. Haran’s employment is terminated within twelve months following a change of control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w:t>
      </w:r>
    </w:p>
    <w:p>
      <w:pPr>
        <w:spacing w:after="0" w:line="188"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On the Closing Date, Mr. Haran received a warrant to purchase 49,500 shares of our common stock with an exercise price equal to $5.00</w:t>
      </w:r>
      <w:r>
        <w:rPr>
          <w:rFonts w:ascii="Arial" w:cs="Arial" w:eastAsia="Arial" w:hAnsi="Arial"/>
          <w:sz w:val="18"/>
          <w:szCs w:val="18"/>
          <w:i w:val="1"/>
          <w:iCs w:val="1"/>
          <w:color w:val="auto"/>
        </w:rPr>
        <w:t xml:space="preserve"> </w:t>
      </w:r>
      <w:r>
        <w:rPr>
          <w:rFonts w:ascii="Arial" w:cs="Arial" w:eastAsia="Arial" w:hAnsi="Arial"/>
          <w:sz w:val="18"/>
          <w:szCs w:val="18"/>
          <w:color w:val="auto"/>
        </w:rPr>
        <w:t>per share. The warrant vested and became exercisable on the Closing Date and has a ten-year term. The shares of common stock underlying the warrant have customary piggy back registration and cashless exercise rights.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 During the term of his employment by the Company and for a one-year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6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i w:val="1"/>
          <w:iCs w:val="1"/>
          <w:color w:val="auto"/>
        </w:rPr>
        <w:t xml:space="preserve">Giuseppe “Joe” Falco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August 1, 2011, and effective as of September 16, 2011, the Company entered into a two-year employment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Joe Falco for him to serve as the President, Chief Operating Officer of the Izaac Mizrahi Brand. Following the initial two-year term, the agreement will be automatically be renewed for a one year term, unless either party gives written notice of intent to terminate at least 30 days prior to such termination. Mr. Falco’s salary for the first year starting on the Closing Date is $350,000 per year. The board or the compensation committee may approve increases (but not decreases) from time to time, and his base salary shall be reviewed at least annually. If the Closing Date does not occur on or prior to October 1, 2011, then Mr. Falco’s employment agreement shall terminate.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 Mr. Falco is eligible for a cash bonus of up to $50,000 based upon the following: one half of one percent (0.5%) of all Isaac Mizrahi Live</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in excess of $60 million on QVC as reported by QVC to the Company.</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If Mr. Falco’s employment is terminated by us without “cause”, or if Mr. Falco resigns with “good reason”, or if we fail to renew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then Mr. Falco will be entitled to receive his unpaid base salary and cash bonuses through the termination date and an amount equal to his base salary in effect on the termination date for six months. Mr. Falco would also be entitled to continue to participate in our group medical plan, subject to certain conditions, for a period of six months from the termination date.</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 On the Closing Date, Mr. Falco received a warrant to purchase 100,000 shares of our common stock with an exercise price equal to $5.00</w:t>
      </w:r>
      <w:r>
        <w:rPr>
          <w:rFonts w:ascii="Arial" w:cs="Arial" w:eastAsia="Arial" w:hAnsi="Arial"/>
          <w:sz w:val="16"/>
          <w:szCs w:val="16"/>
          <w:i w:val="1"/>
          <w:iCs w:val="1"/>
          <w:color w:val="auto"/>
        </w:rPr>
        <w:t xml:space="preserve"> </w:t>
      </w:r>
      <w:r>
        <w:rPr>
          <w:rFonts w:ascii="Arial" w:cs="Arial" w:eastAsia="Arial" w:hAnsi="Arial"/>
          <w:sz w:val="16"/>
          <w:szCs w:val="16"/>
          <w:color w:val="auto"/>
        </w:rPr>
        <w:t>per share. The warrant shall vest one half on the first anniversary of the Closing Date, and one half on the second anniversary of the Closing Date. The warrant has a ten-year term. The shares of common stock underlying the warrant have customary piggy back registration and cashless exercise rights.</w:t>
      </w:r>
    </w:p>
    <w:p>
      <w:pPr>
        <w:spacing w:after="0" w:line="14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 During the term of his employment by the Company and for a six-month period after the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six-month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Such non-solicitation provisions, however, do not apply to any customer, supplier, licensee or other business relation of the Company or any of its subsidiaries with whom Mr. Falco had a prior business relationship before he started performing services for the Company.</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Marisa Gardini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May 19, 2011 and effective on the Closing Date, the Company entered into a three-year employment agreement with Marisa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Gardini such that she will serve as the Senior Vice President of Strategic Planning of the Company. Following the initial three-year term, the agreement will be renewable, at the option of the Company, for two successive one-year periods on the same terms and conditions as those in effect during the third year of the initial term. Thereafter, the agreement will renew automatically for one-year periods, unless either party gives written notice of intent to terminate at least 30 days prior to such termination. Ms. Gardini’s salary will be $250,000, $250,000 and $500,000 per annum, respectively, in the first three successive 12-month periods following the effective date of the agreement. The Board or the compensation committee may approve increases (but not decreases) in Ms. Gardini’s base salary from time to time, and it shall be subject to review on the third anniversary of Ms. Gardini’s employment agreement and each anniversary thereafter during the term of the agreement.</w:t>
      </w:r>
    </w:p>
    <w:p>
      <w:pPr>
        <w:spacing w:after="0" w:line="18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Bonus </w:t>
      </w:r>
      <w:r>
        <w:rPr>
          <w:rFonts w:ascii="Arial" w:cs="Arial" w:eastAsia="Arial" w:hAnsi="Arial"/>
          <w:sz w:val="18"/>
          <w:szCs w:val="18"/>
          <w:color w:val="auto"/>
        </w:rPr>
        <w:t>. Ms. Gardini has the right to participate in all employee bonus plans offered to other executives and senior management and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bonus payments as the Board, or the compensation committee of the Board, may approve in its sole discretion.</w:t>
      </w:r>
    </w:p>
    <w:p>
      <w:pPr>
        <w:spacing w:after="0" w:line="170" w:lineRule="exact"/>
        <w:rPr>
          <w:sz w:val="20"/>
          <w:szCs w:val="20"/>
          <w:color w:val="auto"/>
        </w:rPr>
      </w:pPr>
    </w:p>
    <w:p>
      <w:pPr>
        <w:jc w:val="both"/>
        <w:ind w:right="220" w:firstLine="648"/>
        <w:spacing w:after="0" w:line="288" w:lineRule="auto"/>
        <w:rPr>
          <w:sz w:val="20"/>
          <w:szCs w:val="20"/>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 If Ms. Gardini’s employment is terminated by us without “cause”, or if Ms. Gardini resigns with “good reason”, or if we fail to renew</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then Ms. Gardini will be entitled to receive her unpaid base salary and cash bonuses through the termination date and an amount equal to her base salary in effect on the termination date for the longer of six months and the remainder of the then-current term, but in no event exceeding 18 months. Ms.</w:t>
      </w:r>
    </w:p>
    <w:p>
      <w:pPr>
        <w:ind w:right="300"/>
        <w:spacing w:after="0" w:line="261" w:lineRule="auto"/>
        <w:rPr>
          <w:sz w:val="20"/>
          <w:szCs w:val="20"/>
          <w:color w:val="auto"/>
        </w:rPr>
      </w:pPr>
      <w:r>
        <w:rPr>
          <w:rFonts w:ascii="Arial" w:cs="Arial" w:eastAsia="Arial" w:hAnsi="Arial"/>
          <w:sz w:val="18"/>
          <w:szCs w:val="18"/>
          <w:color w:val="auto"/>
        </w:rPr>
        <w:t>Gardini would also be entitled to continue to participate in our group medical plan, subject to certain conditions, for the same period of time for which she would continue to receive her base salary pursuant to the terms of the agreement.</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 During the term of her employment by the Company and for a one-year period after the termination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employment (unless Ms. Gardini’s employment was terminated without cause or was terminated by him for good reason), Ms. Gardini may not permit her name to be used by or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her employment and for a one-year period after the termination of such employment, Ms. Gardini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69"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b w:val="1"/>
          <w:bCs w:val="1"/>
          <w:i w:val="1"/>
          <w:iCs w:val="1"/>
          <w:color w:val="auto"/>
        </w:rPr>
        <w:t xml:space="preserve">Seth Burroughs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22, 2011, and effective as of September 16, 2011, entered into a two-year employment agreement with Seth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Burroughs for him to serve as our Executive Vice President – Business Development and Treasury. Following the initial two-year term, the agreement will be automatically renewed for one year terms thereafter unless either party gives written notice of intent to terminate at least 30 days prior to such termination. Mr. Burroughs’ salary for the first year commencing on the Closing Date is $175,000 and it is $200,000 for the second year. The Board or the compensation committee may approve increases (but not decreases) from time to time. Following the initial two-year term, the base salary shall be reviewed at least annually.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right="220" w:firstLine="648"/>
        <w:spacing w:after="0" w:line="297"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 Mr. Burroughs is eligible for cash bonuses as follows: (i) for any acquisition completed by us with a purchase price of an amount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or greater than $10 million, but less than $25 million, he shall be paid $50,000; (ii) for any acquisition completed by us with a purchase price of an amount that is equal to or greater than $25 million, but less than $75 million, he shall be paid $100,000; (iii) for any acquisition completed by us with a purchase price of an amount that is equal to or greater than $75 million, but less than $150 million, he shall be paid $125,000; and (iv) for any acquisition completed by us with a purchase price of an amount that is equal to or greater than $150 million, he shall be paid $150,000.</w:t>
      </w:r>
    </w:p>
    <w:p>
      <w:pPr>
        <w:spacing w:after="0" w:line="15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If Mr. Burroughs’ employment is terminated by us without “cause”, or if Mr. Burroughs resigns with “good reason”, or if we fail to</w:t>
      </w:r>
      <w:r>
        <w:rPr>
          <w:rFonts w:ascii="Arial" w:cs="Arial" w:eastAsia="Arial" w:hAnsi="Arial"/>
          <w:sz w:val="18"/>
          <w:szCs w:val="18"/>
          <w:i w:val="1"/>
          <w:iCs w:val="1"/>
          <w:color w:val="auto"/>
        </w:rPr>
        <w:t xml:space="preserve"> </w:t>
      </w:r>
      <w:r>
        <w:rPr>
          <w:rFonts w:ascii="Arial" w:cs="Arial" w:eastAsia="Arial" w:hAnsi="Arial"/>
          <w:sz w:val="18"/>
          <w:szCs w:val="18"/>
          <w:color w:val="auto"/>
        </w:rPr>
        <w:t>renew the term, then Mr. Burroughs will be entitled to receive his unpaid base salary and cash bonuses through the termination date and an amount equal to his base salary in effect on the termination date for 12 months. Mr. Burroughs would also be entitled to continue to participate in our group medical plan, subject to certain conditions, for a period of 12 months from the termination date.</w:t>
      </w:r>
    </w:p>
    <w:p>
      <w:pPr>
        <w:spacing w:after="0" w:line="18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On the Closing Date, Mr. Burroughs received a warrant to purchase 50,000 shares of our common stock with an exercise price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$5.00 per share. The warrant vested and became exercisable on the Closing Date and has a ten-year term. The shares of common stock underlying the warrant have customary piggy back registration and cashless exercise rights.</w:t>
      </w:r>
    </w:p>
    <w:p>
      <w:pPr>
        <w:spacing w:after="0" w:line="18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 During the term of his employment by the Company and for a one-year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the Company does business as of the date of termination of such employment, other than the Company and its subsidiaries. Also during his employment and for a one-year period after the termination of such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i w:val="1"/>
          <w:iCs w:val="1"/>
          <w:color w:val="auto"/>
        </w:rPr>
        <w:t xml:space="preserve">Isaac Mizrahi. </w:t>
      </w:r>
      <w:r>
        <w:rPr>
          <w:rFonts w:ascii="Arial" w:cs="Arial" w:eastAsia="Arial" w:hAnsi="Arial"/>
          <w:sz w:val="18"/>
          <w:szCs w:val="18"/>
          <w:color w:val="auto"/>
        </w:rPr>
        <w:t>On May 19, 2011 and effective on the Closing Date, the Company entered into a three-year employment agreement with Isaac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Mizrahi such that he will serve as the Chief Design Officer of Isaac Mizrahi Brand. Following the initial three-year term, the agreement will be renewable, at the option of the Company, for two successive one-year periods on the same terms and conditions as those in effect during the third year of the initial term. Thereafter, the agreement will renew automatically for one-year periods, unless either party gives written notice of intent to terminate at least 30 days prior to such termination. Mr. Mizrahi’s salary will be $500,000, $500,000 and $1,000,000 per annum, respectively, in the first three successive 12-month periods following the effective date of the agreement. The Board or the compensation committee may approve increases (but not decreases) in Mr. Mizrahi’s base salary from time to time, and it shall be subject to review on the third anniversary of Mr. Mizrahi’s employment agreement and each anniversary thereafter during the term of the agreement.</w:t>
      </w:r>
    </w:p>
    <w:p>
      <w:pPr>
        <w:spacing w:after="0" w:line="1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Mr. Mizrahi is required to devote his full business time and attention to the business and affairs of the Company and its subsidiaries; however, Mr. Mizrahi is the principal of IM Ready and Laugh Club, Inc.,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or interfere with his employment duties or (ii) are consented to by the Company. The Company believes that it benefits from Mr. Mizrahi’s independent promotional activities by increased brand awareness of IM Brands and the IM Trademarks.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 Mr. Mizrahi has the right to a bonus if the net royalty income exceeds Twenty-Five Million Dollars ($25,000,000) in the twelve-month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period commencing on the first day of the calendar quarter in which the effective date of the agreement occurs, or in any successive twelve-month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The bonus, if any, is equal to five-percent (5%) of the net royalty income in such twelve-month period in excess of Twenty-Five Million Dollars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($25,000,000). As soon as practicable, and not later than 60 days after the end of such twelve-month period, the Company shall deliver to Mr. Mizrahi: (i)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independently audited statement certifying the net royalty income for the period, (ii) a statement from the Company calculating the amount of the bonus, and</w:t>
      </w:r>
    </w:p>
    <w:p>
      <w:pPr>
        <w:spacing w:after="0" w:line="32" w:lineRule="exact"/>
        <w:rPr>
          <w:sz w:val="20"/>
          <w:szCs w:val="20"/>
          <w:color w:val="auto"/>
        </w:rPr>
      </w:pPr>
    </w:p>
    <w:p>
      <w:pPr>
        <w:ind w:right="40" w:firstLine="8"/>
        <w:spacing w:after="0" w:line="254" w:lineRule="auto"/>
        <w:tabs>
          <w:tab w:leader="none" w:pos="3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 Mr. Mizrahi’s request, supporting documentation of the determination of the net royalty income amount for the period. The bonus, if any, shall be paid to Mr. Mizrahi no later than 30 days after the delivery of the statements described above in (i) and (ii). In addition to, and not in lieu of, the foregoing, Mr. Mizrahi has the right to participate in all employee bonus plans offered to other executives and senior management and such other bonus payments as the Board, or the compensation committee of the Board, may approve in its sole discretion.</w:t>
      </w:r>
    </w:p>
    <w:p>
      <w:pPr>
        <w:spacing w:after="0" w:line="19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Mr. Mizrahi’s employment agreement with the Company, “Net Royalty Income” means booked revenue for the Company’s business (acquiring and licensing consumer brands worldwide), less the sum of advertising royalties, commissions paid to third parties, payments under royalty sharing or participation agreements, and international withholding (solely to the extent the Company or its affiliates are unable to claim a federal tax credit with respect to such international withholding) and other transfer taxes, in each case to the extent related to such booked revenue, calculated in accordance with U.S. GAAP accounting standards; provided, however, that, (i) Net Royalty Income shall not include any deferred revenues recognized during the period for which Net Royalty Income is being calculated for which the Company and IM Brands have not received the related payment, and (ii) in the event of the termination of a license agreement with respect to the Company’s business, the calculation of Net Royalty Income shall not include any revenue accelerated as a result of termination for which termination the Company or its affiliates have not received the related payment.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ind w:right="220" w:firstLine="648"/>
        <w:spacing w:after="0" w:line="288" w:lineRule="auto"/>
        <w:rPr>
          <w:sz w:val="20"/>
          <w:szCs w:val="20"/>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 If Mr. Mizrahi’s employment is terminated by us without “cause”, or if Mr. Mizrahi resigns with “good reason”, or if we fail to renew</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Mr.</w:t>
      </w:r>
    </w:p>
    <w:p>
      <w:pPr>
        <w:ind w:right="360"/>
        <w:spacing w:after="0" w:line="261" w:lineRule="auto"/>
        <w:rPr>
          <w:sz w:val="20"/>
          <w:szCs w:val="20"/>
          <w:color w:val="auto"/>
        </w:rPr>
      </w:pPr>
      <w:r>
        <w:rPr>
          <w:rFonts w:ascii="Arial" w:cs="Arial" w:eastAsia="Arial" w:hAnsi="Arial"/>
          <w:sz w:val="18"/>
          <w:szCs w:val="18"/>
          <w:color w:val="auto"/>
        </w:rPr>
        <w:t>Mizrahi would also be entitled to continue to participate in our group medical plan, subject to certain conditions, for the same period of time for which he would continue to receive his base salary pursuant to the terms of the agreement.</w:t>
      </w:r>
    </w:p>
    <w:p>
      <w:pPr>
        <w:spacing w:after="0" w:line="18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 During the term of his employment by the Company and for a one-year period after the termination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(unless Mr. Mizrahi’s employment was terminated without cause or was terminated by him for good reason), Mr. Mizrahi may not permit his name to be used by or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Classification</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Restated &amp; Amended Bylaws provide that our board of directors be divided into three classes (Class I, Class II and Class III). Commencing with the first annual meeting of stockholders held after the adoption of the Restated &amp; Amended Bylaws, the Class I directors will serve until the following annual meeting of stockholders, the Class II directors until the next successive annual meeting of stockholders, and the Class III directors until the third annual meeting of stockholders, in each case, until their successor(s) are duly elected and qualified or until their earlier resignation or removal. At each annual meeting of stockholders commencing with the first annual meeting following the adoption of the Restated &amp; Amended Bylaws, each of the successors to the directors of the Class whose term shall have expired that year shall be elected for a three-year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no agreements with respect to the election of Directors. Other than described in Section 10 below, we have not compensated our directors for service on our Board of Directors, any committee thereof, or reimbursed for expenses incurred for attendance at meetings of our Board of Directors and/or any committee of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not a “listed issuer” as such term is defined in Rule 10A-3 under the Exchange Act. We use the definition of independence of The NASDAQ Stock Market LLC. The board has determined that Messrs. Todd Slater, Howard Liebman, Edward Jones, III, Jeffrey Cohen and Mark DiSanto are independent. Each current member of the Audit Committee, Compensation Committee and Nominating Committee is independent and meets the applicable rules and regulations regarding independence for such committee, including those set forth in pertinent NASDAQ listing standards, and that each member is free of any relationship that would interfere with his individual exercise of independent judgment.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board of directors has appointed an Audit Committee which consists of Messrs. Liebman and DiSanto. Each of such persons has been determined to be an “independent director” under the listing standards of the NASDAQ Capital Market, which is the independence standard that was adopted by our board of directors. The Board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board of directors has appointed a Compensation Committee consisting of Messrs. DiSanto and Jones. Each of such persons has been determined to be an “independent director” under the listing standards of the NASDAQ Capital Market.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board of directors has appointed a Nominating Committee consisting of Messrs. DiSanto and Jones. Each of such persons has been determined to be an “independent director” under the listing standards of the NASDAQ Capital Market. Our board of directors has adopted a written Nominating Committee Charter that sets forth the committee’s responsibilities.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Section 16(a) of the Exchange Act requires a company's directors, officers and stockholders who beneficially own more than 10% of any class of equity securities of the Company registered pursuant to Section 12 of the Exchange Act, collectively referred to herein as the Reporting Persons, to file initial statements of beneficial ownership of securities and statements of changes in beneficial ownership of securities with respect to the company's equity securities with the SEC. All Reporting Persons are required by SEC regulation to furnish us with copies of all reports that such Reporting Persons file with the SEC pursuant to Section 16(a). Based solely on our review of the copies of such reports and upon written representations of the Reporting Persons received by us, we believe that all Section 16(a) filing requirements applicable to such Reporting Persons have been met for 2010, except for the Forms 3 filed on October 11, 2011 by Isaac Mizrahi, Robert D’Loren, Seth Burroughs, James Haran Giuseppe Falco and Marisa Gardini, which should have been filed on October 10, 2011.</w:t>
      </w:r>
    </w:p>
    <w:p>
      <w:pPr>
        <w:spacing w:after="0" w:line="18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337" w:lineRule="exact"/>
        <w:rPr>
          <w:sz w:val="20"/>
          <w:szCs w:val="20"/>
          <w:color w:val="auto"/>
        </w:rPr>
      </w:pPr>
    </w:p>
    <w:p>
      <w:pPr>
        <w:jc w:val="both"/>
        <w:ind w:firstLine="53"/>
        <w:spacing w:after="0" w:line="342" w:lineRule="auto"/>
        <w:rPr>
          <w:sz w:val="20"/>
          <w:szCs w:val="20"/>
          <w:color w:val="auto"/>
        </w:rPr>
      </w:pPr>
      <w:r>
        <w:rPr>
          <w:rFonts w:ascii="Arial" w:cs="Arial" w:eastAsia="Arial" w:hAnsi="Arial"/>
          <w:sz w:val="16"/>
          <w:szCs w:val="16"/>
          <w:color w:val="auto"/>
        </w:rPr>
        <w:t>The following table sets forth information regarding all cash and non-cash compensation earned by or paid to all of the executive officers of the Company and former executive officers served during the period September 29, 2011 to December 31, 2011, for services in all capacities to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Option &amp;</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Executive</w:t>
            </w:r>
          </w:p>
        </w:tc>
        <w:tc>
          <w:tcPr>
            <w:tcW w:w="120" w:type="dxa"/>
            <w:vAlign w:val="bottom"/>
          </w:tcPr>
          <w:p>
            <w:pPr>
              <w:spacing w:after="0"/>
              <w:rPr>
                <w:sz w:val="12"/>
                <w:szCs w:val="12"/>
                <w:color w:val="auto"/>
              </w:rPr>
            </w:pPr>
          </w:p>
        </w:tc>
        <w:tc>
          <w:tcPr>
            <w:tcW w:w="13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Salary</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Bonus (3)</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Warrant</w:t>
            </w: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Awards (4)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1200" w:type="dxa"/>
            <w:vAlign w:val="bottom"/>
            <w:gridSpan w:val="4"/>
          </w:tcPr>
          <w:p>
            <w:pPr>
              <w:ind w:left="220"/>
              <w:spacing w:after="0"/>
              <w:rPr>
                <w:sz w:val="20"/>
                <w:szCs w:val="20"/>
                <w:color w:val="auto"/>
              </w:rPr>
            </w:pPr>
            <w:r>
              <w:rPr>
                <w:rFonts w:ascii="Arial" w:cs="Arial" w:eastAsia="Arial" w:hAnsi="Arial"/>
                <w:sz w:val="14"/>
                <w:szCs w:val="14"/>
                <w:b w:val="1"/>
                <w:bCs w:val="1"/>
                <w:color w:val="auto"/>
                <w:w w:val="98"/>
              </w:rPr>
              <w:t>Compensation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Robert W. D’Loren (1)</w:t>
            </w:r>
          </w:p>
        </w:tc>
        <w:tc>
          <w:tcPr>
            <w:tcW w:w="1480" w:type="dxa"/>
            <w:vAlign w:val="bottom"/>
            <w:gridSpan w:val="2"/>
            <w:shd w:val="clear" w:color="auto" w:fill="CCFFCC"/>
          </w:tcPr>
          <w:p>
            <w:pPr>
              <w:ind w:left="120"/>
              <w:spacing w:after="0" w:line="142" w:lineRule="exact"/>
              <w:rPr>
                <w:sz w:val="20"/>
                <w:szCs w:val="20"/>
                <w:color w:val="auto"/>
              </w:rPr>
            </w:pPr>
            <w:r>
              <w:rPr>
                <w:rFonts w:ascii="Arial" w:cs="Arial" w:eastAsia="Arial" w:hAnsi="Arial"/>
                <w:sz w:val="14"/>
                <w:szCs w:val="14"/>
                <w:color w:val="auto"/>
              </w:rPr>
              <w:t>CEO, Chairman</w:t>
            </w:r>
          </w:p>
        </w:tc>
        <w:tc>
          <w:tcPr>
            <w:tcW w:w="880" w:type="dxa"/>
            <w:vAlign w:val="bottom"/>
            <w:gridSpan w:val="2"/>
            <w:shd w:val="clear" w:color="auto" w:fill="CCFFCC"/>
          </w:tcPr>
          <w:p>
            <w:pPr>
              <w:jc w:val="right"/>
              <w:ind w:right="108"/>
              <w:spacing w:after="0" w:line="142" w:lineRule="exact"/>
              <w:rPr>
                <w:sz w:val="20"/>
                <w:szCs w:val="20"/>
                <w:color w:val="auto"/>
              </w:rPr>
            </w:pPr>
            <w:r>
              <w:rPr>
                <w:rFonts w:ascii="Arial" w:cs="Arial" w:eastAsia="Arial" w:hAnsi="Arial"/>
                <w:sz w:val="14"/>
                <w:szCs w:val="14"/>
                <w:color w:val="auto"/>
              </w:rPr>
              <w:t>2011</w:t>
            </w:r>
          </w:p>
        </w:tc>
        <w:tc>
          <w:tcPr>
            <w:tcW w:w="36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92,733</w:t>
            </w:r>
          </w:p>
        </w:tc>
        <w:tc>
          <w:tcPr>
            <w:tcW w:w="1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14,034</w:t>
            </w:r>
          </w:p>
        </w:tc>
        <w:tc>
          <w:tcPr>
            <w:tcW w:w="780" w:type="dxa"/>
            <w:vAlign w:val="bottom"/>
            <w:gridSpan w:val="2"/>
            <w:shd w:val="clear" w:color="auto" w:fill="CCFFCC"/>
          </w:tcPr>
          <w:p>
            <w:pPr>
              <w:jc w:val="right"/>
              <w:ind w:right="528"/>
              <w:spacing w:after="0" w:line="142"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374,299</w:t>
            </w:r>
          </w:p>
        </w:tc>
        <w:tc>
          <w:tcPr>
            <w:tcW w:w="960" w:type="dxa"/>
            <w:vAlign w:val="bottom"/>
            <w:gridSpan w:val="2"/>
            <w:shd w:val="clear" w:color="auto" w:fill="CCFFCC"/>
          </w:tcPr>
          <w:p>
            <w:pPr>
              <w:ind w:left="10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84"/>
              </w:rPr>
              <w:t>-</w:t>
            </w:r>
          </w:p>
        </w:tc>
        <w:tc>
          <w:tcPr>
            <w:tcW w:w="320" w:type="dxa"/>
            <w:vAlign w:val="bottom"/>
            <w:gridSpan w:val="2"/>
            <w:shd w:val="clear" w:color="auto" w:fill="CCFFCC"/>
          </w:tcPr>
          <w:p>
            <w:pPr>
              <w:ind w:left="220"/>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7,543</w:t>
            </w:r>
          </w:p>
        </w:tc>
        <w:tc>
          <w:tcPr>
            <w:tcW w:w="26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488,609</w:t>
            </w: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4"/>
                <w:szCs w:val="14"/>
                <w:color w:val="auto"/>
              </w:rPr>
              <w:t>James F. Haran (1)</w:t>
            </w: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CFO, Assist Sec</w:t>
            </w:r>
            <w:r>
              <w:rPr>
                <w:rFonts w:ascii="Arial" w:cs="Arial" w:eastAsia="Arial" w:hAnsi="Arial"/>
                <w:sz w:val="18"/>
                <w:szCs w:val="18"/>
                <w:color w:val="auto"/>
              </w:rPr>
              <w:t>.</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2011</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65,625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14,583</w:t>
            </w:r>
          </w:p>
        </w:tc>
        <w:tc>
          <w:tcPr>
            <w:tcW w:w="78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77,441</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2,328</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159,978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Seth Burroughs (1)</w:t>
            </w:r>
          </w:p>
        </w:tc>
        <w:tc>
          <w:tcPr>
            <w:tcW w:w="1480" w:type="dxa"/>
            <w:vAlign w:val="bottom"/>
            <w:gridSpan w:val="2"/>
            <w:shd w:val="clear" w:color="auto" w:fill="CCFFCC"/>
          </w:tcPr>
          <w:p>
            <w:pPr>
              <w:ind w:left="120"/>
              <w:spacing w:after="0" w:line="149" w:lineRule="exact"/>
              <w:rPr>
                <w:sz w:val="20"/>
                <w:szCs w:val="20"/>
                <w:color w:val="auto"/>
              </w:rPr>
            </w:pPr>
            <w:r>
              <w:rPr>
                <w:rFonts w:ascii="Arial" w:cs="Arial" w:eastAsia="Arial" w:hAnsi="Arial"/>
                <w:sz w:val="14"/>
                <w:szCs w:val="14"/>
                <w:color w:val="auto"/>
              </w:rPr>
              <w:t>Sec, EVP</w:t>
            </w:r>
          </w:p>
        </w:tc>
        <w:tc>
          <w:tcPr>
            <w:tcW w:w="88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2011</w:t>
            </w:r>
          </w:p>
        </w:tc>
        <w:tc>
          <w:tcPr>
            <w:tcW w:w="3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51,042</w:t>
            </w:r>
          </w:p>
        </w:tc>
        <w:tc>
          <w:tcPr>
            <w:tcW w:w="1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10,000</w:t>
            </w:r>
          </w:p>
        </w:tc>
        <w:tc>
          <w:tcPr>
            <w:tcW w:w="780" w:type="dxa"/>
            <w:vAlign w:val="bottom"/>
            <w:gridSpan w:val="2"/>
            <w:shd w:val="clear" w:color="auto" w:fill="CCFFCC"/>
          </w:tcPr>
          <w:p>
            <w:pPr>
              <w:jc w:val="right"/>
              <w:ind w:right="528"/>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78,223</w:t>
            </w:r>
          </w:p>
        </w:tc>
        <w:tc>
          <w:tcPr>
            <w:tcW w:w="96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320" w:type="dxa"/>
            <w:vAlign w:val="bottom"/>
            <w:gridSpan w:val="2"/>
            <w:shd w:val="clear" w:color="auto" w:fill="CCFFCC"/>
          </w:tcPr>
          <w:p>
            <w:pPr>
              <w:ind w:lef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139,265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Cristiano Germinario (2)</w:t>
            </w:r>
          </w:p>
        </w:tc>
        <w:tc>
          <w:tcPr>
            <w:tcW w:w="1480" w:type="dxa"/>
            <w:vAlign w:val="bottom"/>
            <w:gridSpan w:val="2"/>
          </w:tcPr>
          <w:p>
            <w:pPr>
              <w:ind w:left="120"/>
              <w:spacing w:after="0"/>
              <w:rPr>
                <w:sz w:val="20"/>
                <w:szCs w:val="20"/>
                <w:color w:val="auto"/>
              </w:rPr>
            </w:pPr>
            <w:r>
              <w:rPr>
                <w:rFonts w:ascii="Arial" w:cs="Arial" w:eastAsia="Arial" w:hAnsi="Arial"/>
                <w:sz w:val="14"/>
                <w:szCs w:val="14"/>
                <w:color w:val="auto"/>
              </w:rPr>
              <w:t>Former CEO</w:t>
            </w:r>
          </w:p>
        </w:tc>
        <w:tc>
          <w:tcPr>
            <w:tcW w:w="880" w:type="dxa"/>
            <w:vAlign w:val="bottom"/>
            <w:gridSpan w:val="2"/>
          </w:tcPr>
          <w:p>
            <w:pPr>
              <w:jc w:val="right"/>
              <w:ind w:right="108"/>
              <w:spacing w:after="0"/>
              <w:rPr>
                <w:sz w:val="20"/>
                <w:szCs w:val="20"/>
                <w:color w:val="auto"/>
              </w:rPr>
            </w:pPr>
            <w:r>
              <w:rPr>
                <w:rFonts w:ascii="Arial" w:cs="Arial" w:eastAsia="Arial" w:hAnsi="Arial"/>
                <w:sz w:val="14"/>
                <w:szCs w:val="14"/>
                <w:color w:val="auto"/>
              </w:rPr>
              <w:t>2011</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528"/>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Executives did not receive compensation prior to the Merger on September 29, 2011.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Former CEO did not receive compensation in 2010 or 2011. Employment terminated September 29, 2011.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Bonuses are in accordance with Executive’s employment agreements.</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Warrants were issued to Executives on the closing date of the Merger providing for each warrant to purchase 1 common share of stock for $.01 per share, exercisable immediately. The detail for these awards are included in ‘Outstanding Equity Awards at Fiscal Year-End’ table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Option or</w:t>
            </w:r>
          </w:p>
        </w:tc>
        <w:tc>
          <w:tcPr>
            <w:tcW w:w="8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&amp;</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&amp;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Warrant</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Executive</w:t>
            </w:r>
          </w:p>
        </w:tc>
        <w:tc>
          <w:tcPr>
            <w:tcW w:w="100" w:type="dxa"/>
            <w:vAlign w:val="bottom"/>
          </w:tcPr>
          <w:p>
            <w:pPr>
              <w:spacing w:after="0"/>
              <w:rPr>
                <w:sz w:val="12"/>
                <w:szCs w:val="12"/>
                <w:color w:val="auto"/>
              </w:rPr>
            </w:pPr>
          </w:p>
        </w:tc>
        <w:tc>
          <w:tcPr>
            <w:tcW w:w="216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 Not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 Not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Vested</w:t>
            </w: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Robert W. D’Loren</w:t>
            </w:r>
          </w:p>
        </w:tc>
        <w:tc>
          <w:tcPr>
            <w:tcW w:w="2260" w:type="dxa"/>
            <w:vAlign w:val="bottom"/>
            <w:gridSpan w:val="2"/>
            <w:shd w:val="clear" w:color="auto" w:fill="CCFFCC"/>
          </w:tcPr>
          <w:p>
            <w:pPr>
              <w:ind w:left="100"/>
              <w:spacing w:after="0" w:line="142" w:lineRule="exact"/>
              <w:rPr>
                <w:sz w:val="20"/>
                <w:szCs w:val="20"/>
                <w:color w:val="auto"/>
              </w:rPr>
            </w:pPr>
            <w:r>
              <w:rPr>
                <w:rFonts w:ascii="Arial" w:cs="Arial" w:eastAsia="Arial" w:hAnsi="Arial"/>
                <w:sz w:val="14"/>
                <w:szCs w:val="14"/>
                <w:color w:val="auto"/>
              </w:rPr>
              <w:t>CEO, Chairman</w:t>
            </w:r>
          </w:p>
        </w:tc>
        <w:tc>
          <w:tcPr>
            <w:tcW w:w="94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239,250</w:t>
            </w:r>
          </w:p>
        </w:tc>
        <w:tc>
          <w:tcPr>
            <w:tcW w:w="108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FFCC"/>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5.00</w:t>
            </w:r>
          </w:p>
        </w:tc>
        <w:tc>
          <w:tcPr>
            <w:tcW w:w="920" w:type="dxa"/>
            <w:vAlign w:val="bottom"/>
            <w:gridSpan w:val="2"/>
            <w:shd w:val="clear" w:color="auto" w:fill="CCFFCC"/>
          </w:tcPr>
          <w:p>
            <w:pPr>
              <w:ind w:left="200"/>
              <w:spacing w:after="0" w:line="142" w:lineRule="exact"/>
              <w:rPr>
                <w:sz w:val="20"/>
                <w:szCs w:val="20"/>
                <w:color w:val="auto"/>
              </w:rPr>
            </w:pPr>
            <w:r>
              <w:rPr>
                <w:rFonts w:ascii="Arial" w:cs="Arial" w:eastAsia="Arial" w:hAnsi="Arial"/>
                <w:sz w:val="14"/>
                <w:szCs w:val="14"/>
                <w:color w:val="auto"/>
              </w:rPr>
              <w:t>9/29/2021</w:t>
            </w: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spacing w:after="0"/>
              <w:rPr>
                <w:sz w:val="20"/>
                <w:szCs w:val="20"/>
                <w:color w:val="auto"/>
              </w:rPr>
            </w:pPr>
            <w:r>
              <w:rPr>
                <w:rFonts w:ascii="Arial" w:cs="Arial" w:eastAsia="Arial" w:hAnsi="Arial"/>
                <w:sz w:val="14"/>
                <w:szCs w:val="14"/>
                <w:color w:val="auto"/>
              </w:rPr>
              <w:t>James F. Haran</w:t>
            </w:r>
          </w:p>
        </w:tc>
        <w:tc>
          <w:tcPr>
            <w:tcW w:w="2260" w:type="dxa"/>
            <w:vAlign w:val="bottom"/>
            <w:gridSpan w:val="2"/>
          </w:tcPr>
          <w:p>
            <w:pPr>
              <w:ind w:left="100"/>
              <w:spacing w:after="0"/>
              <w:rPr>
                <w:sz w:val="20"/>
                <w:szCs w:val="20"/>
                <w:color w:val="auto"/>
              </w:rPr>
            </w:pPr>
            <w:r>
              <w:rPr>
                <w:rFonts w:ascii="Arial" w:cs="Arial" w:eastAsia="Arial" w:hAnsi="Arial"/>
                <w:sz w:val="14"/>
                <w:szCs w:val="14"/>
                <w:color w:val="auto"/>
              </w:rPr>
              <w:t>CFO, Assist Sec</w:t>
            </w: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49,250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5.00</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9/29/2021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Seth Burroughs</w:t>
            </w:r>
          </w:p>
        </w:tc>
        <w:tc>
          <w:tcPr>
            <w:tcW w:w="226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rPr>
              <w:t>Sec, EVP</w:t>
            </w:r>
          </w:p>
        </w:tc>
        <w:tc>
          <w:tcPr>
            <w:tcW w:w="9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50,000</w:t>
            </w:r>
          </w:p>
        </w:tc>
        <w:tc>
          <w:tcPr>
            <w:tcW w:w="10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5.00</w:t>
            </w:r>
          </w:p>
        </w:tc>
        <w:tc>
          <w:tcPr>
            <w:tcW w:w="920" w:type="dxa"/>
            <w:vAlign w:val="bottom"/>
            <w:gridSpan w:val="2"/>
            <w:shd w:val="clear" w:color="auto" w:fill="CCFFCC"/>
          </w:tcPr>
          <w:p>
            <w:pPr>
              <w:ind w:left="200"/>
              <w:spacing w:after="0" w:line="149" w:lineRule="exact"/>
              <w:rPr>
                <w:sz w:val="20"/>
                <w:szCs w:val="20"/>
                <w:color w:val="auto"/>
              </w:rPr>
            </w:pPr>
            <w:r>
              <w:rPr>
                <w:rFonts w:ascii="Arial" w:cs="Arial" w:eastAsia="Arial" w:hAnsi="Arial"/>
                <w:sz w:val="14"/>
                <w:szCs w:val="14"/>
                <w:color w:val="auto"/>
              </w:rPr>
              <w:t>9/29/2021</w:t>
            </w:r>
          </w:p>
        </w:tc>
        <w:tc>
          <w:tcPr>
            <w:tcW w:w="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director's compensation for the period September 29, 2011 to December 31, 2011.</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 COMPENSATION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Fees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4"/>
              </w:rPr>
              <w:t>Option &amp;</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earned or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Director</w:t>
            </w:r>
          </w:p>
        </w:tc>
        <w:tc>
          <w:tcPr>
            <w:tcW w:w="100" w:type="dxa"/>
            <w:vAlign w:val="bottom"/>
          </w:tcPr>
          <w:p>
            <w:pPr>
              <w:spacing w:after="0"/>
              <w:rPr>
                <w:sz w:val="12"/>
                <w:szCs w:val="12"/>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in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Warrant</w:t>
            </w:r>
          </w:p>
        </w:tc>
        <w:tc>
          <w:tcPr>
            <w:tcW w:w="16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1"/>
              </w:rPr>
              <w:t>cash</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b w:val="1"/>
                <w:bCs w:val="1"/>
                <w:color w:val="auto"/>
                <w:w w:val="94"/>
              </w:rPr>
              <w:t>Awards</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Awards (1)</w:t>
            </w: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Edward Jones</w:t>
            </w:r>
          </w:p>
        </w:tc>
        <w:tc>
          <w:tcPr>
            <w:tcW w:w="100" w:type="dxa"/>
            <w:vAlign w:val="bottom"/>
            <w:shd w:val="clear" w:color="auto" w:fill="CCFFCC"/>
          </w:tcPr>
          <w:p>
            <w:pPr>
              <w:spacing w:after="0"/>
              <w:rPr>
                <w:sz w:val="12"/>
                <w:szCs w:val="12"/>
                <w:color w:val="auto"/>
              </w:rPr>
            </w:pPr>
          </w:p>
        </w:tc>
        <w:tc>
          <w:tcPr>
            <w:tcW w:w="700" w:type="dxa"/>
            <w:vAlign w:val="bottom"/>
            <w:shd w:val="clear" w:color="auto" w:fill="CCFFCC"/>
          </w:tcPr>
          <w:p>
            <w:pPr>
              <w:jc w:val="right"/>
              <w:ind w:right="108"/>
              <w:spacing w:after="0" w:line="142"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FFCC"/>
          </w:tcPr>
          <w:p>
            <w:pPr>
              <w:jc w:val="right"/>
              <w:ind w:right="508"/>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84"/>
              </w:rPr>
              <w:t>-</w:t>
            </w:r>
          </w:p>
        </w:tc>
        <w:tc>
          <w:tcPr>
            <w:tcW w:w="240" w:type="dxa"/>
            <w:vAlign w:val="bottom"/>
            <w:gridSpan w:val="2"/>
            <w:shd w:val="clear" w:color="auto" w:fill="CCFFCC"/>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FFCC"/>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15,907</w:t>
            </w:r>
          </w:p>
        </w:tc>
        <w:tc>
          <w:tcPr>
            <w:tcW w:w="1020" w:type="dxa"/>
            <w:vAlign w:val="bottom"/>
            <w:gridSpan w:val="2"/>
            <w:shd w:val="clear" w:color="auto" w:fill="CCFFCC"/>
          </w:tcPr>
          <w:p>
            <w:pPr>
              <w:ind w:left="160"/>
              <w:spacing w:after="0" w:line="142"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w w:val="84"/>
              </w:rPr>
              <w:t>-</w:t>
            </w:r>
          </w:p>
        </w:tc>
        <w:tc>
          <w:tcPr>
            <w:tcW w:w="260" w:type="dxa"/>
            <w:vAlign w:val="bottom"/>
            <w:gridSpan w:val="2"/>
            <w:shd w:val="clear" w:color="auto" w:fill="CCFFCC"/>
          </w:tcPr>
          <w:p>
            <w:pPr>
              <w:ind w:left="160"/>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2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15,907</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Howard Liebman</w:t>
            </w: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2011</w:t>
            </w:r>
          </w:p>
        </w:tc>
        <w:tc>
          <w:tcPr>
            <w:tcW w:w="800" w:type="dxa"/>
            <w:vAlign w:val="bottom"/>
            <w:gridSpan w:val="2"/>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15,907</w:t>
            </w: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15,907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Jeff Cohen</w:t>
            </w:r>
          </w:p>
        </w:tc>
        <w:tc>
          <w:tcPr>
            <w:tcW w:w="80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FFCC"/>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2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15,907</w:t>
            </w:r>
          </w:p>
        </w:tc>
        <w:tc>
          <w:tcPr>
            <w:tcW w:w="10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26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15,907</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Mark DiSanto</w:t>
            </w:r>
          </w:p>
        </w:tc>
        <w:tc>
          <w:tcPr>
            <w:tcW w:w="8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2011</w:t>
            </w:r>
          </w:p>
        </w:tc>
        <w:tc>
          <w:tcPr>
            <w:tcW w:w="800" w:type="dxa"/>
            <w:vAlign w:val="bottom"/>
            <w:gridSpan w:val="2"/>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15,907</w:t>
            </w:r>
          </w:p>
        </w:tc>
        <w:tc>
          <w:tcPr>
            <w:tcW w:w="10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line="149" w:lineRule="exact"/>
              <w:rPr>
                <w:sz w:val="20"/>
                <w:szCs w:val="20"/>
                <w:color w:val="auto"/>
              </w:rPr>
            </w:pPr>
            <w:r>
              <w:rPr>
                <w:rFonts w:ascii="Arial" w:cs="Arial" w:eastAsia="Arial" w:hAnsi="Arial"/>
                <w:sz w:val="14"/>
                <w:szCs w:val="14"/>
                <w:color w:val="auto"/>
                <w:w w:val="84"/>
              </w:rPr>
              <w:t>-</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15,907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Todd Slater</w:t>
            </w:r>
          </w:p>
        </w:tc>
        <w:tc>
          <w:tcPr>
            <w:tcW w:w="80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2011</w:t>
            </w:r>
          </w:p>
        </w:tc>
        <w:tc>
          <w:tcPr>
            <w:tcW w:w="800" w:type="dxa"/>
            <w:vAlign w:val="bottom"/>
            <w:gridSpan w:val="2"/>
            <w:shd w:val="clear" w:color="auto" w:fill="CCFFCC"/>
          </w:tcPr>
          <w:p>
            <w:pPr>
              <w:jc w:val="right"/>
              <w:ind w:right="50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2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FFCC"/>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15,907</w:t>
            </w:r>
          </w:p>
        </w:tc>
        <w:tc>
          <w:tcPr>
            <w:tcW w:w="102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84"/>
              </w:rPr>
              <w:t>-</w:t>
            </w:r>
          </w:p>
        </w:tc>
        <w:tc>
          <w:tcPr>
            <w:tcW w:w="260" w:type="dxa"/>
            <w:vAlign w:val="bottom"/>
            <w:gridSpan w:val="2"/>
            <w:shd w:val="clear" w:color="auto" w:fill="CCFFCC"/>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FFCC"/>
          </w:tcPr>
          <w:p>
            <w:pPr>
              <w:spacing w:after="0"/>
              <w:rPr>
                <w:sz w:val="12"/>
                <w:szCs w:val="12"/>
                <w:color w:val="auto"/>
              </w:rPr>
            </w:pPr>
          </w:p>
        </w:tc>
        <w:tc>
          <w:tcPr>
            <w:tcW w:w="2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15,907</w:t>
            </w:r>
          </w:p>
        </w:tc>
        <w:tc>
          <w:tcPr>
            <w:tcW w:w="8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right="1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October 17, 2011, each independent director was granted an option to purchase 50,000 shares of common stock exercisable for a period of five years at an exercise price of $5.00 per share. Such options vested one-third upon issuance and vest an additional one-third on each of the following two anniversaries of the issuance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intends to pay its non-executive directors $2,000 for each Board and committee meeting attended up to a maximum of $8,000 per year, except that the chairman of each committee shall receive $3,000 for each such committee meeting attended up to a maximum of $12,000 per year. So long as a principal of Earthbound serves as a member on the board of directors of the Company (Jeffrey Cohen, a principal of Earthbound, has agreed to serve as a director commencing on the Appointment Date), Earthbound has the right to appoint a board observer. Earthbound appointed Jack Dweck, a principal of Earthbound and a principal stockholder of the Company, to be its observer on the board of directors of the Company. As an observer, Mr. Dweck has the right to attend and observe all general meetings of the board of directors, but he has no other rights (including voting rights) and receives no compensation from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As of the Closing Date, the Company assumed the 2011 Equity Incentive Plan (the “Plan”) of Old XCel as approved by Old XCel’s board of directors and stockholders. The purpose of the Plan is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7"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total of 2,500,000 shares of Common Stock are eligible for issuance under the Plan, and the maximum number of shares of Common Stock with respect to which incentive stock options may be granted under the Plan is 2,000,000.</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or a committee consisting of two or more members of the Board of Directors appointed by the Board (for purposes of this description, any such committee, a “Committee”).</w:t>
      </w:r>
    </w:p>
    <w:p>
      <w:pPr>
        <w:spacing w:after="0" w:line="170"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5" w:name="page66"/>
    <w:bookmarkEnd w:id="65"/>
    <w:p>
      <w:pPr>
        <w:ind w:left="660" w:right="10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81"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6"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92"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options or other Awards may be granted on or after the tenth anniversary of the effective date of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33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table lists, as of March [ ], 2011, the number of shares of Common Stock beneficially owned by (i) each person or entity known to the Company to be the beneficial owner of more than 5% of the outstanding common stock; (ii) each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vote or direct the voting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below are calculated based on 5,810,444 shares of Common Stock issued and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Common Stock Beneficially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1210"/>
              <w:spacing w:after="0"/>
              <w:rPr>
                <w:sz w:val="20"/>
                <w:szCs w:val="20"/>
                <w:color w:val="auto"/>
              </w:rPr>
            </w:pPr>
            <w:r>
              <w:rPr>
                <w:rFonts w:ascii="Arial" w:cs="Arial" w:eastAsia="Arial" w:hAnsi="Arial"/>
                <w:sz w:val="18"/>
                <w:szCs w:val="18"/>
                <w:b w:val="1"/>
                <w:bCs w:val="1"/>
                <w:color w:val="auto"/>
                <w:w w:val="93"/>
              </w:rPr>
              <w:t>Owned</w:t>
            </w:r>
          </w:p>
        </w:tc>
        <w:tc>
          <w:tcPr>
            <w:tcW w:w="1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3"/>
          </w:tcPr>
          <w:p>
            <w:pPr>
              <w:jc w:val="center"/>
              <w:ind w:right="440"/>
              <w:spacing w:after="0" w:line="191" w:lineRule="exact"/>
              <w:rPr>
                <w:sz w:val="20"/>
                <w:szCs w:val="20"/>
                <w:color w:val="auto"/>
              </w:rPr>
            </w:pPr>
            <w:r>
              <w:rPr>
                <w:rFonts w:ascii="Arial" w:cs="Arial" w:eastAsia="Arial" w:hAnsi="Arial"/>
                <w:sz w:val="18"/>
                <w:szCs w:val="18"/>
                <w:b w:val="1"/>
                <w:bCs w:val="1"/>
                <w:color w:val="auto"/>
                <w:w w:val="91"/>
              </w:rPr>
              <w:t>Number of</w:t>
            </w:r>
          </w:p>
        </w:tc>
        <w:tc>
          <w:tcPr>
            <w:tcW w:w="130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7"/>
              </w:rPr>
              <w:t>Percentage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3"/>
              </w:rPr>
              <w:t>Shares</w:t>
            </w:r>
          </w:p>
        </w:tc>
        <w:tc>
          <w:tcPr>
            <w:tcW w:w="14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3"/>
              </w:rPr>
              <w:t>Class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9"/>
              </w:rPr>
              <w:t>Owned</w:t>
            </w: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Owned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Robert W. D’Loren (1)</w:t>
            </w:r>
          </w:p>
        </w:tc>
        <w:tc>
          <w:tcPr>
            <w:tcW w:w="30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765,533</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James F. Haran (2)</w:t>
            </w:r>
          </w:p>
        </w:tc>
        <w:tc>
          <w:tcPr>
            <w:tcW w:w="4840" w:type="dxa"/>
            <w:vAlign w:val="bottom"/>
            <w:gridSpan w:val="4"/>
          </w:tcPr>
          <w:p>
            <w:pPr>
              <w:jc w:val="right"/>
              <w:ind w:right="220"/>
              <w:spacing w:after="0"/>
              <w:rPr>
                <w:sz w:val="20"/>
                <w:szCs w:val="20"/>
                <w:color w:val="auto"/>
              </w:rPr>
            </w:pPr>
            <w:r>
              <w:rPr>
                <w:rFonts w:ascii="Arial" w:cs="Arial" w:eastAsia="Arial" w:hAnsi="Arial"/>
                <w:sz w:val="18"/>
                <w:szCs w:val="18"/>
                <w:color w:val="auto"/>
              </w:rPr>
              <w:t>213,703</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Marisa Gardini (3) (4)</w:t>
            </w:r>
          </w:p>
        </w:tc>
        <w:tc>
          <w:tcPr>
            <w:tcW w:w="484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300,000</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Seth Burroughs (5)</w:t>
            </w:r>
          </w:p>
        </w:tc>
        <w:tc>
          <w:tcPr>
            <w:tcW w:w="4840" w:type="dxa"/>
            <w:vAlign w:val="bottom"/>
            <w:gridSpan w:val="4"/>
          </w:tcPr>
          <w:p>
            <w:pPr>
              <w:jc w:val="right"/>
              <w:ind w:right="220"/>
              <w:spacing w:after="0"/>
              <w:rPr>
                <w:sz w:val="20"/>
                <w:szCs w:val="20"/>
                <w:color w:val="auto"/>
              </w:rPr>
            </w:pPr>
            <w:r>
              <w:rPr>
                <w:rFonts w:ascii="Arial" w:cs="Arial" w:eastAsia="Arial" w:hAnsi="Arial"/>
                <w:sz w:val="18"/>
                <w:szCs w:val="18"/>
                <w:color w:val="auto"/>
              </w:rPr>
              <w:t>159,469</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Todd Slater (6)</w:t>
            </w:r>
          </w:p>
        </w:tc>
        <w:tc>
          <w:tcPr>
            <w:tcW w:w="484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Howard Liebman (6)</w:t>
            </w:r>
          </w:p>
        </w:tc>
        <w:tc>
          <w:tcPr>
            <w:tcW w:w="4840" w:type="dxa"/>
            <w:vAlign w:val="bottom"/>
            <w:gridSpan w:val="4"/>
          </w:tcPr>
          <w:p>
            <w:pPr>
              <w:jc w:val="right"/>
              <w:ind w:right="200"/>
              <w:spacing w:after="0"/>
              <w:rPr>
                <w:sz w:val="20"/>
                <w:szCs w:val="20"/>
                <w:color w:val="auto"/>
              </w:rPr>
            </w:pPr>
            <w:r>
              <w:rPr>
                <w:rFonts w:ascii="Arial" w:cs="Arial" w:eastAsia="Arial" w:hAnsi="Arial"/>
                <w:sz w:val="18"/>
                <w:szCs w:val="18"/>
                <w:color w:val="auto"/>
              </w:rPr>
              <w:t>16,667</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Edward Jones, III (6)</w:t>
            </w:r>
          </w:p>
        </w:tc>
        <w:tc>
          <w:tcPr>
            <w:tcW w:w="4840" w:type="dxa"/>
            <w:vAlign w:val="bottom"/>
            <w:gridSpan w:val="4"/>
            <w:shd w:val="clear" w:color="auto" w:fill="CCFFCC"/>
          </w:tcPr>
          <w:p>
            <w:pPr>
              <w:jc w:val="right"/>
              <w:ind w:right="200"/>
              <w:spacing w:after="0"/>
              <w:rPr>
                <w:sz w:val="20"/>
                <w:szCs w:val="20"/>
                <w:color w:val="auto"/>
              </w:rPr>
            </w:pPr>
            <w:r>
              <w:rPr>
                <w:rFonts w:ascii="Arial" w:cs="Arial" w:eastAsia="Arial" w:hAnsi="Arial"/>
                <w:sz w:val="18"/>
                <w:szCs w:val="18"/>
                <w:color w:val="auto"/>
              </w:rPr>
              <w:t>16,667</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Jeffrey Cohen (7)</w:t>
            </w:r>
          </w:p>
        </w:tc>
        <w:tc>
          <w:tcPr>
            <w:tcW w:w="4840" w:type="dxa"/>
            <w:vAlign w:val="bottom"/>
            <w:gridSpan w:val="4"/>
          </w:tcPr>
          <w:p>
            <w:pPr>
              <w:jc w:val="right"/>
              <w:ind w:right="220"/>
              <w:spacing w:after="0"/>
              <w:rPr>
                <w:sz w:val="20"/>
                <w:szCs w:val="20"/>
                <w:color w:val="auto"/>
              </w:rPr>
            </w:pPr>
            <w:r>
              <w:rPr>
                <w:rFonts w:ascii="Arial" w:cs="Arial" w:eastAsia="Arial" w:hAnsi="Arial"/>
                <w:sz w:val="18"/>
                <w:szCs w:val="18"/>
                <w:color w:val="auto"/>
              </w:rPr>
              <w:t>616,777</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Mark DiSanto (8)</w:t>
            </w:r>
          </w:p>
        </w:tc>
        <w:tc>
          <w:tcPr>
            <w:tcW w:w="484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325,283</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Giuseppe Falco (9)</w:t>
            </w:r>
          </w:p>
        </w:tc>
        <w:tc>
          <w:tcPr>
            <w:tcW w:w="4840" w:type="dxa"/>
            <w:vAlign w:val="bottom"/>
            <w:gridSpan w:val="4"/>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All directors and executive officers as a group (10 persons)</w:t>
            </w:r>
          </w:p>
        </w:tc>
        <w:tc>
          <w:tcPr>
            <w:tcW w:w="484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2,430,766</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5% Shareholders: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Isaac Mizrahi (4)</w:t>
            </w:r>
          </w:p>
        </w:tc>
        <w:tc>
          <w:tcPr>
            <w:tcW w:w="484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2,759,000</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Jack Dweck (10)</w:t>
            </w:r>
          </w:p>
        </w:tc>
        <w:tc>
          <w:tcPr>
            <w:tcW w:w="4840" w:type="dxa"/>
            <w:vAlign w:val="bottom"/>
            <w:gridSpan w:val="4"/>
          </w:tcPr>
          <w:p>
            <w:pPr>
              <w:jc w:val="right"/>
              <w:ind w:right="220"/>
              <w:spacing w:after="0"/>
              <w:rPr>
                <w:sz w:val="20"/>
                <w:szCs w:val="20"/>
                <w:color w:val="auto"/>
              </w:rPr>
            </w:pPr>
            <w:r>
              <w:rPr>
                <w:rFonts w:ascii="Arial" w:cs="Arial" w:eastAsia="Arial" w:hAnsi="Arial"/>
                <w:sz w:val="18"/>
                <w:szCs w:val="18"/>
                <w:color w:val="auto"/>
              </w:rPr>
              <w:t>694,578</w:t>
            </w:r>
          </w:p>
        </w:tc>
        <w:tc>
          <w:tcPr>
            <w:tcW w:w="1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American Financial Group, Inc. (11)</w:t>
            </w:r>
          </w:p>
        </w:tc>
        <w:tc>
          <w:tcPr>
            <w:tcW w:w="484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364,428</w:t>
            </w:r>
          </w:p>
        </w:tc>
        <w:tc>
          <w:tcPr>
            <w:tcW w:w="1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 Less than 1%.</w:t>
            </w:r>
          </w:p>
        </w:tc>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209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76" w:gutter="0" w:footer="0" w:header="0"/>
        </w:sectPr>
      </w:pPr>
    </w:p>
    <w:bookmarkStart w:id="66" w:name="page67"/>
    <w:bookmarkEnd w:id="66"/>
    <w:p>
      <w:pPr>
        <w:ind w:left="652" w:right="40" w:hanging="652"/>
        <w:spacing w:after="0" w:line="25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Represents (i) 501,533 shares owned by Irrevocable Trust of Rose Dempsey (the “ </w:t>
      </w:r>
      <w:r>
        <w:rPr>
          <w:rFonts w:ascii="Arial" w:cs="Arial" w:eastAsia="Arial" w:hAnsi="Arial"/>
          <w:sz w:val="18"/>
          <w:szCs w:val="18"/>
          <w:u w:val="single" w:color="auto"/>
          <w:color w:val="auto"/>
        </w:rPr>
        <w:t>Irrevocable Trust</w:t>
      </w:r>
      <w:r>
        <w:rPr>
          <w:rFonts w:ascii="Arial" w:cs="Arial" w:eastAsia="Arial" w:hAnsi="Arial"/>
          <w:sz w:val="18"/>
          <w:szCs w:val="18"/>
          <w:color w:val="auto"/>
        </w:rPr>
        <w:t xml:space="preserve"> ”) of which Mr. D’Loren and Mr. DiSanto are the trustees and as to which Mr. D’Loren has sole voting and dispositive power, (ii) 239,250 shares issuable upon exercise of immediately exercisable warrants, and (iii) 24,750 shares issuable upon exercise of Warrants held by the Irrevocable Trust. Does not include (i) 258,366 shares held by the D’Loren Family Trust (the “Family Trust”) of which Mark DiSanto is a trustee and has sole voting and dispositive power and (ii) 12,750 shares issuable upon exercise of Warrants held by the Family Trust.</w:t>
      </w:r>
    </w:p>
    <w:p>
      <w:pPr>
        <w:spacing w:after="0" w:line="188" w:lineRule="exact"/>
        <w:rPr>
          <w:rFonts w:ascii="Arial" w:cs="Arial" w:eastAsia="Arial" w:hAnsi="Arial"/>
          <w:sz w:val="18"/>
          <w:szCs w:val="18"/>
          <w:color w:val="auto"/>
        </w:rPr>
      </w:pPr>
    </w:p>
    <w:p>
      <w:pPr>
        <w:ind w:left="652" w:right="20" w:hanging="65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 156,703 shares, (ii) 7,500 shares issuable upon exercise of initial Warrants and (iii) immediately exercisable warrants to purchase 49,500 shares.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200,000 shares and an additional 100,000 shares available upon exercise of Warrants.</w:t>
      </w:r>
    </w:p>
    <w:p>
      <w:pPr>
        <w:spacing w:after="0" w:line="225" w:lineRule="exact"/>
        <w:rPr>
          <w:rFonts w:ascii="Arial" w:cs="Arial" w:eastAsia="Arial" w:hAnsi="Arial"/>
          <w:sz w:val="18"/>
          <w:szCs w:val="18"/>
          <w:color w:val="auto"/>
        </w:rPr>
      </w:pPr>
    </w:p>
    <w:p>
      <w:pPr>
        <w:ind w:left="652" w:hanging="652"/>
        <w:spacing w:after="0" w:line="25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2,759,000 shares held by IM Ready. Isaac Mizrahi and Marisa Gardini own 95% and 5% of the outstanding membership interests in IM Ready, respectively. Mr. Mizrahi has dispositive power over the shares held by IM Ready, but disclaims the shares attributable to the other party’s percentage of ownership. Pursuant to the Voting Agreement, IM Ready and its principals agreed to appoint Robert D’Loren, our Chairman and Chief Executive Officer as IM Ready’s irrevocable proxy and attorney-in-fact with respect to the shares of the Company’s common stock to be received by IM Ready in connection with the Merger.</w:t>
      </w:r>
    </w:p>
    <w:p>
      <w:pPr>
        <w:spacing w:after="0" w:line="188" w:lineRule="exact"/>
        <w:rPr>
          <w:rFonts w:ascii="Arial" w:cs="Arial" w:eastAsia="Arial" w:hAnsi="Arial"/>
          <w:sz w:val="18"/>
          <w:szCs w:val="18"/>
          <w:color w:val="auto"/>
        </w:rPr>
      </w:pPr>
    </w:p>
    <w:p>
      <w:pPr>
        <w:ind w:left="652" w:right="480" w:hanging="65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(i) 104,469 shares, (ii) 5,000 shares issuable upon exercise of Warrants and (iii) immediately exercisable warrants to purchase 50,000 shares.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Represents shares issuable upon exercise of options that the Company agreed to grant and that will become exercisable on the Appointment</w:t>
      </w:r>
    </w:p>
    <w:p>
      <w:pPr>
        <w:spacing w:after="0" w:line="34" w:lineRule="exact"/>
        <w:rPr>
          <w:rFonts w:ascii="Arial" w:cs="Arial" w:eastAsia="Arial" w:hAnsi="Arial"/>
          <w:sz w:val="17"/>
          <w:szCs w:val="17"/>
          <w:color w:val="auto"/>
        </w:rPr>
      </w:pPr>
    </w:p>
    <w:p>
      <w:pPr>
        <w:ind w:left="652" w:right="80"/>
        <w:spacing w:after="0" w:line="261" w:lineRule="auto"/>
        <w:rPr>
          <w:rFonts w:ascii="Arial" w:cs="Arial" w:eastAsia="Arial" w:hAnsi="Arial"/>
          <w:sz w:val="17"/>
          <w:szCs w:val="17"/>
          <w:color w:val="auto"/>
        </w:rPr>
      </w:pPr>
      <w:r>
        <w:rPr>
          <w:rFonts w:ascii="Arial" w:cs="Arial" w:eastAsia="Arial" w:hAnsi="Arial"/>
          <w:sz w:val="18"/>
          <w:szCs w:val="18"/>
          <w:color w:val="auto"/>
        </w:rPr>
        <w:t>Date. Does not include 33,333 shares issuable upon exercise of options the Company agreed to grant on the Appointment Date but will not become exercisable within 60 days of the Appointment Date.</w:t>
      </w:r>
    </w:p>
    <w:p>
      <w:pPr>
        <w:spacing w:after="0" w:line="183" w:lineRule="exact"/>
        <w:rPr>
          <w:rFonts w:ascii="Arial" w:cs="Arial" w:eastAsia="Arial" w:hAnsi="Arial"/>
          <w:sz w:val="17"/>
          <w:szCs w:val="17"/>
          <w:color w:val="auto"/>
        </w:rPr>
      </w:pPr>
    </w:p>
    <w:p>
      <w:pPr>
        <w:ind w:left="652" w:right="100" w:hanging="652"/>
        <w:spacing w:after="0" w:line="259"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(i) 16,667 shares issuable upon exercise of options that the Company agreed to grant and that will become exercisable on the Appointment Date, (ii) 400,110 shares held by 3 Sixty, Inc. and (iii) 200,000 shares held by Earthbound LLC. Jeffrey Cohen and Jack Dweck have shared voting and dispositive power over the shares held by Earthbound LLC. Jeffrey Cohen has voting and dispositive power over the shares held by 3 Sixty, Inc.</w:t>
      </w:r>
    </w:p>
    <w:p>
      <w:pPr>
        <w:spacing w:after="0" w:line="186" w:lineRule="exact"/>
        <w:rPr>
          <w:rFonts w:ascii="Arial" w:cs="Arial" w:eastAsia="Arial" w:hAnsi="Arial"/>
          <w:sz w:val="18"/>
          <w:szCs w:val="18"/>
          <w:color w:val="auto"/>
        </w:rPr>
      </w:pPr>
    </w:p>
    <w:p>
      <w:pPr>
        <w:ind w:left="652" w:hanging="652"/>
        <w:spacing w:after="0" w:line="297" w:lineRule="auto"/>
        <w:tabs>
          <w:tab w:leader="none" w:pos="6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(i) 232,866 shares held by the Family Trust, of which Mark DiSanto is trustee of, and has sole voting and dispositive power over the Shares held by, the Family Trust, (ii) 25,500 shares and 12,750 shares issuable upon exercise of Warrants, (iii) 25,000 shares and 12,500 shares issuable upon exercise of Warrants held by Mark X. DiSanto Investment Trust, and (iv) 16,666 shares issuable upon exercise of options that the Company agreed to grant to Mr. DiSanto and that will become exercisable on the Appointment Date. Does not include 33,333 shares issuable upon exercise of options the Company agreed to grant to Mr. DiSanto on the Appointment Date but will not become exercisable within 60 days of the Closing Date.</w:t>
      </w:r>
    </w:p>
    <w:p>
      <w:pPr>
        <w:spacing w:after="0" w:line="158" w:lineRule="exact"/>
        <w:rPr>
          <w:rFonts w:ascii="Arial" w:cs="Arial" w:eastAsia="Arial" w:hAnsi="Arial"/>
          <w:sz w:val="16"/>
          <w:szCs w:val="16"/>
          <w:color w:val="auto"/>
        </w:rPr>
      </w:pPr>
    </w:p>
    <w:p>
      <w:pPr>
        <w:ind w:left="652" w:hanging="652"/>
        <w:spacing w:after="0"/>
        <w:tabs>
          <w:tab w:leader="none" w:pos="652" w:val="left"/>
        </w:tabs>
        <w:numPr>
          <w:ilvl w:val="0"/>
          <w:numId w:val="43"/>
        </w:numPr>
        <w:rPr>
          <w:rFonts w:ascii="Arial" w:cs="Arial" w:eastAsia="Arial" w:hAnsi="Arial"/>
          <w:sz w:val="17"/>
          <w:szCs w:val="17"/>
          <w:color w:val="auto"/>
        </w:rPr>
      </w:pPr>
      <w:r>
        <w:rPr>
          <w:rFonts w:ascii="Arial" w:cs="Arial" w:eastAsia="Arial" w:hAnsi="Arial"/>
          <w:sz w:val="17"/>
          <w:szCs w:val="17"/>
          <w:color w:val="auto"/>
        </w:rPr>
        <w:t>Does not include 100,000 shares issuable upon exercise of warrants which will not become excercisable within 60 days of the Closing Date.</w:t>
      </w:r>
    </w:p>
    <w:p>
      <w:pPr>
        <w:spacing w:after="0" w:line="236" w:lineRule="exact"/>
        <w:rPr>
          <w:rFonts w:ascii="Arial" w:cs="Arial" w:eastAsia="Arial" w:hAnsi="Arial"/>
          <w:sz w:val="17"/>
          <w:szCs w:val="17"/>
          <w:color w:val="auto"/>
        </w:rPr>
      </w:pPr>
    </w:p>
    <w:p>
      <w:pPr>
        <w:ind w:left="652" w:right="520" w:hanging="652"/>
        <w:spacing w:after="0" w:line="342" w:lineRule="auto"/>
        <w:tabs>
          <w:tab w:leader="none" w:pos="6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Represents (i) 300,089 shares held by Mr. Dweck, (ii) 200,000 shares held by Earthbound on the Closing Date and (iii) 194,489 shares by Mr. Dweck’s children. Jeffrey Cohen and Jack Dweck have shared voting and dispositive power over the shares held by Earthbound LLC.</w:t>
      </w:r>
    </w:p>
    <w:p>
      <w:pPr>
        <w:spacing w:after="0" w:line="123" w:lineRule="exact"/>
        <w:rPr>
          <w:rFonts w:ascii="Arial" w:cs="Arial" w:eastAsia="Arial" w:hAnsi="Arial"/>
          <w:sz w:val="16"/>
          <w:szCs w:val="16"/>
          <w:color w:val="auto"/>
        </w:rPr>
      </w:pPr>
    </w:p>
    <w:p>
      <w:pPr>
        <w:ind w:left="652" w:right="440" w:hanging="652"/>
        <w:spacing w:after="0" w:line="277" w:lineRule="auto"/>
        <w:tabs>
          <w:tab w:leader="none" w:pos="6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Lender Warrants to purchase 364,428 common shares at $0.01 per share. The holders of the Lender Warrants are wholly-owned subsidiaries of American Financial Group, Inc.</w:t>
      </w:r>
    </w:p>
    <w:p>
      <w:pPr>
        <w:spacing w:after="0" w:line="3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8" w:right="2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IPX Capital, LLC</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Old XCel and its wholly owned subsidiary IM Brands, collectively the “Buyers,” entered into the Purchase Agreement with IM Ready, whereby the Buyers acquired certain assets and assumed certain obligations of IM Ready. IPX Capital, LLC (“IPX”) entered into certain agreements with Old XCel and IM Ready whereby IPX provided services to both Old XCel and IM-Ready. IPX and Old XCel have common ownership and common management.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IPX Capital, LLC – IM Ready-Made, LLC Advisory Service Agreement</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IPX and IM Ready entered into an Advisory Service Agreement dated November 16, 2010 whereby IPX provided various advisory and consulting services to IM Ready including conducting an operational review of IM Ready, reviewing strategic alternatives for IM Ready’s business including the potential to complete a transaction with Old XCel, developing and preparing a brand positioning presentation including brand architecture strategy, conducting a review of the “IsaacMizrahiLIVE” and Liz Claiborne New York businesses on QVC and the related agreements, and conducting a due diligence review of IM Ready’s retail and couture operations and making restructuring recommendations on such retail and couture operations. IPX’s service fees under the Advisory Service Agreement were based on its actual hourly billing rates, with a cap of $500,000. IPX’s aggregate hourly billing exceeded $500,000, resulting in a payment to IPX from IM Ready of $500,000 on the Closing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IPX Capital, LLC – Xcel Brands, Inc., Due Diligence Service Agreement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IPX and Old XCel entered into a Due Diligence Service Agreement dated December 3, 2010 whereby IPX provided various due diligence tasks relating to the Purchase Agreement including financial review of IM Ready, preparing business plans, financial projections and other documents required in connection with the transaction, advise the Buyers regarding the corporate, legal and financial structure of the transaction and assist the Buyers with the negotiation of documentation relating to the transaction. Market service fees for this type of engagement are typically either a fixed dollar amount or based upon hourly billing rates, plus reimbursement of direct expenses. IPX waived all of its fees it would have otherwise been entitled to, but not reimbursement of its direct expenses. Direct expenses incurred by, and reimbursable to, IPX by Old XCel of approximately $240,000 were paid following the Closing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due to Stockholder</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Robert D’Loren, Chairman and Chief Executive Officer and a principal stockholder of the Company, has advanced certain expenses including but not limited to legal fees, banking fees, lender fees and appraisals on behalf of Old XCel. Following the Closing Date, Mr. D’Loren was reimbursed approximately $162,000 for these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Slater</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August 12, 2011, Old XCel entered into a one year agreement which was amended on October 4, 2011, with Todd Slater, who has agreed to serve as a director of the Company commencing on the Appointment Date, for services related to the Company’s licensing strategy and introduction of potential licensees. If during the term of the agreement or during the year following the expiration of the term of the agreement, the Company enters into a license or distribution agreement with a licensee introduced by Mr. Slater, Mr. Slater will receive a commission equal to fifteen percent (15%) of all net royalties received by the Company during the first term of such agreement, payable within thirty days of receipt of the net royalties. The Company has paid Mr. Slater an advisory fee of $52,500 as compensation for strategic advisory services performed by Mr. Slater related to the licensing program of the Isaac Mizrahi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Earthbound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Earthbound entered into a service agreement with Laugh Club on November 6, 2001 whereby Laugh Club engaged Earthbound to provide brand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management and design services for mass-merchandised retail products for the Isaac Mizrahi Business (the “Earthbound Agreement”). Isaac Mizrahi,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individually, is the controlling member and manager of Laugh Club and IM Ready-Made, LLC. On September 3, 2002, Laugh Club assigned all of the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obligations in the Earthbound Agreement to IM Ready. Earthbound has no common ownership, direct or indirect, with either IM Ready or Laugh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Club. The Earthbound Agreement expires December 31, 2014; however certain beneficial rights extend beyond the expiration date to Earthbound for as long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IM Ready receives revenues procured by Earthbound.</w:t>
      </w:r>
    </w:p>
    <w:p>
      <w:pPr>
        <w:spacing w:after="0" w:line="21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connection with the consummation of the Isaac Mizrahi Business, Old XCel and Earthbound entered into the Contribution Agreement pursuant to which Earthbound contributed to Old XCel the Earthbound Agreement and the Earthbound Assets in exchange for 944,688 shares of the Company’s Common Stock, and Earthbound agreed to purchase one Unit in the Offering. Old XCel terminated the Earthbound Agreement effective as of the Closing Date.</w:t>
      </w:r>
    </w:p>
    <w:p>
      <w:pPr>
        <w:jc w:val="both"/>
        <w:ind w:right="180" w:firstLine="35"/>
        <w:spacing w:after="0" w:line="255" w:lineRule="auto"/>
        <w:rPr>
          <w:sz w:val="20"/>
          <w:szCs w:val="20"/>
          <w:color w:val="auto"/>
        </w:rPr>
      </w:pPr>
      <w:r>
        <w:rPr>
          <w:rFonts w:ascii="Arial" w:cs="Arial" w:eastAsia="Arial" w:hAnsi="Arial"/>
          <w:sz w:val="18"/>
          <w:szCs w:val="18"/>
          <w:color w:val="auto"/>
        </w:rPr>
        <w:t>Additionally, so long as a principal of Earthbound serves as a member on the board of directors of the Company (Jeffrey Cohen, a principal of Earthbound, agreed to serve as a director commencing on the Appointment Date), Earthbound will have the right to appoint a board observer. Earthbound has appointed Jack Dweck, a principal of Earthbound and a principal stockholder of the Company, as its observer.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ind w:right="140" w:firstLine="648"/>
        <w:spacing w:after="0" w:line="259" w:lineRule="auto"/>
        <w:rPr>
          <w:sz w:val="20"/>
          <w:szCs w:val="20"/>
          <w:color w:val="auto"/>
        </w:rPr>
      </w:pPr>
      <w:r>
        <w:rPr>
          <w:rFonts w:ascii="Arial" w:cs="Arial" w:eastAsia="Arial" w:hAnsi="Arial"/>
          <w:sz w:val="18"/>
          <w:szCs w:val="18"/>
          <w:color w:val="auto"/>
        </w:rPr>
        <w:t>Effective as of the Closing Date, IM Ready and Earthbound entered into the Services Agreement pursuant to which Earthbound will provide transitional services, for which Earthbound received from IM Ready $600,000 in cash on the Closing Date and for which Earthbound will receive the Future Payment of $1,500,000 payable over the next five years. The Company assumed the obligations related to the Future Payment from IM Ready upon its acquisition of the Isaac Mizrahi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On August 2, 2011, Old XCel entered into a licensing agent agreement with Adam Dweck, an Executive Vice President of Earthbound pursuant to which Mr. Dweck is entitled to a five percent (5%) commission on any royalties we receive under any new license agreements that he procures for us during the initial term of such license agreements. We also granted Mr. Dweck options to purchase 25,000 shares of common stock at an exercise price of $5.00 per share. One half of the options will vest on each of the first and second anniversary dates of the date of the award if Mr. Dweck procures licenses which generate $1 million or more of royalties for the Company during each such year. In addition, Mr. Dweck may earn the right to receive additional warrants upon the satisfaction of certain agreed upon target performance criteria. Adam Dweck is the son of Jack Dweck.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Marisa Gardini, our Executive Vice President of Strategic Planning and Marketing and, commencing on the Appointment Date, a director; the Irrevocable Trust of Rose Dempsey; the D’Loren Family Trust; James Haran, our Chief Financial Officer; Seth Burroughs, our Executive Vice President of Business Development and Treasury; and Mark DiSanto, who has agreed to serve as a member of our board of directors commencing on the Appointment Date, purchased 2; .495; .255; .15; .10 and .25 Units in the Offering, respectively, for purchase prices of $1,000,000; $247,500; $127,500; $75,000; $50,000; and $125,000, respectively, on the same terms and conditions as other investors in the Offering.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 Ready-Made, LLC</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Company and IM Ready-Made, LLC had transaction, consisting of revenue payments and expenses occurring before and after the Closing date, which were allocated to IM Ready for transactions occurring prior to the Closing Date and allocated to the Company occurring on and after the Closing date. As of December 31, 2011 IM Ready owes the Company approximately $85,000.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Approval and Ratification of Related Party Transactions</w:t>
      </w:r>
    </w:p>
    <w:p>
      <w:pPr>
        <w:spacing w:after="0" w:line="229"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color w:val="auto"/>
        </w:rPr>
        <w:t>Prior to the Merger, the Company had not adopted formal policies and procedures for the review, approval or ratification of transactions, such as those described above. The Company intends that transactions with its executive officers, directors and significant shareholders will, on a going-forward basis, be subject to the review, approval or ratification of its board of directors, or an appropriate committee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337" w:lineRule="exact"/>
        <w:rPr>
          <w:sz w:val="20"/>
          <w:szCs w:val="20"/>
          <w:color w:val="auto"/>
        </w:rPr>
      </w:pPr>
    </w:p>
    <w:p>
      <w:pPr>
        <w:ind w:right="40" w:firstLine="693"/>
        <w:spacing w:after="0" w:line="277" w:lineRule="auto"/>
        <w:rPr>
          <w:sz w:val="20"/>
          <w:szCs w:val="20"/>
          <w:color w:val="auto"/>
        </w:rPr>
      </w:pPr>
      <w:r>
        <w:rPr>
          <w:rFonts w:ascii="Arial" w:cs="Arial" w:eastAsia="Arial" w:hAnsi="Arial"/>
          <w:sz w:val="18"/>
          <w:szCs w:val="18"/>
          <w:color w:val="auto"/>
        </w:rPr>
        <w:t>On September 29, 2011our board of directors recommended and approved the appointment of Rothstein Kass (“Rothstein Kass”) as the independent auditor for the Company for the year ending December 31, 2011</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Rothstein Kass audited IM Ready’s financial statements for the period January 1, 2011 through September 28, 2011 and fiscal years ended December 31,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aggregate fees billed or to be billed for professional services rendered by our independent registered public accounting firm for the audit of our annual financial statements, review of financial statements included in our quarterly reports and other fees that are normally provided by the accounting firm in connection with statutory and regulatory filings or engagements for the period from September 29, 2011 to ended December 31, 2011 were $68,000.</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for the audit of the Predecessor annual financial statements, review of financial statements included in our quarterly reports and other fees that are normally provided by the accounting firm in connection with statutory and regulatory filings or engagements for the period from January 1, 2011 to September 28, 2011 and the year ended December 31, 2010 were $95,500 and nil,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fees billed or to be billed for audit related services by our independent registered public accounting firm or prior independent registered public accounting firm that are reasonably related to the performance of the audit or review of our financial statements, other than those previously reported in this Item 14, for the fiscal years ended December 31, 2011 and 2010.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$8,750 fees billed for professional services rendered by our independent registered public accounting firm for tax compliance, tax advice and tax planning for the fiscal years ended December 31, 2011. There were no fees related to tax compliance, tax advice and tax planning for the Predecessor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other fees billed for services by our independent registered public accounting firm for either audit related or non-audit services for the period September 29, 2011 to December 31, 2011 and the Predecessor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 on Audit Committee Pre-Approval of Audit and Permissible Non-Audit Services of Independent Auditor</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 of our Independent Registered Public Accounting Firm, Rothstein Kass, was approved by the Company’ Audit Committee.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15.EXHIBITS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8"/>
                <w:szCs w:val="18"/>
                <w:color w:val="auto"/>
              </w:rPr>
            </w:pPr>
          </w:p>
        </w:tc>
      </w:tr>
      <w:tr>
        <w:trPr>
          <w:trHeight w:val="234"/>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3(i)</w:t>
            </w:r>
          </w:p>
        </w:tc>
        <w:tc>
          <w:tcPr>
            <w:tcW w:w="120" w:type="dxa"/>
            <w:vAlign w:val="bottom"/>
          </w:tcPr>
          <w:p>
            <w:pPr>
              <w:spacing w:after="0"/>
              <w:rPr>
                <w:sz w:val="16"/>
                <w:szCs w:val="16"/>
                <w:color w:val="auto"/>
              </w:rPr>
            </w:pPr>
          </w:p>
        </w:tc>
        <w:tc>
          <w:tcPr>
            <w:tcW w:w="10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Amended and Restated Certificate of Incorporation of Xcel Brands, Inc. **</w:t>
            </w: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3(ii)</w:t>
            </w:r>
          </w:p>
        </w:tc>
        <w:tc>
          <w:tcPr>
            <w:tcW w:w="10380" w:type="dxa"/>
            <w:vAlign w:val="bottom"/>
          </w:tcPr>
          <w:p>
            <w:pPr>
              <w:spacing w:after="0"/>
              <w:rPr>
                <w:sz w:val="20"/>
                <w:szCs w:val="20"/>
                <w:color w:val="auto"/>
              </w:rPr>
            </w:pPr>
            <w:r>
              <w:rPr>
                <w:rFonts w:ascii="Arial" w:cs="Arial" w:eastAsia="Arial" w:hAnsi="Arial"/>
                <w:sz w:val="18"/>
                <w:szCs w:val="18"/>
                <w:color w:val="auto"/>
              </w:rPr>
              <w:t>Restated and Amended Bylaws **</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2011 Equity Incentive Plan and Forms of Award Agreements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Investor Warrant issued in connection with the private placement consummated on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Registration Rights Agreement between Xcel Brands, Inc. and the several purchasers, entered into as of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Executive Warrant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Director Option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Warrant issued to Giuseppe Falco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Warrant issued to Great American Life Insurance Company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Warrant issued to Great American Insurance Company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Rights Agreement by and among Xcel Brands, Inc., Great American Life Insurance Company and Great American Insurance Company, dated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Voting Agreement between Xcel Brands, Inc. and IM Ready-Made, LLC, dated as of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Asset Purchase Agreement by and among Xcel Brands, Inc., IM Brands, LLC, IM Ready-Made, LLC, Isaac Mizrahi and Marisa Gardini, dated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as of May 19, 2011, as amended on July 28, 2011, as amended on September 15, 2011, as amended on September 21, 2011, as amended on</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Promissory Note between Xcel Brands, Inc. and IM Ready-Made, LLC,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Management Lockup Agreement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Lockup Agreement between NetFabric Holdings, Inc. and IM Ready-Made, LLC,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Second Amended and Restated Agreement and Consent to Assignment by and among QVC, Inc., IM Brands, LLC, IM Ready Made, LLC,</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Xcel Brands, Inc. and Isaac Mizrahi, dated September 28, 2011 (ii)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Contribution Agreement by and among Earthbound, LLC, IM Ready-Made, LLC and Xcel Brands, Inc. dated August 16,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Amendment to Contribution Agreement by and among Earthbound, LLC, IM Ready-Made, LLC and Xcel Brands, Inc. dated September 20,</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Release and Transition Services Agreement by and among Earthbound, LLC, IM Ready-Made, LLC and Xcel Brands, Inc., dated August 16,</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5"/>
              </w:rPr>
              <w:t>Assignment and Assumption, New York Landlord Consent by and among Adler Holdings III, LLC, IM Ready-Made, LLC and Xcel Brands,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Inc., dated September 29, 2011, and Guaranty by IM Brands, Inc.,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2"/>
              </w:rPr>
              <w:t>Agreement of Merger and Plan of Reorganization by and among NetFabric Holdings, Inc., NetFabric Acquisition Corp., and Xcel Brands, Inc.,</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Credit Agreement by and among IM Brands, LLC, the several lenders, and MidMarket Capital Partners, LLC, as administrative agent, dated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Guarantee and Collateral Agreement by and among IM Brands, LLC, Xcel Brands, Inc., and MidMarket Capital Partners, LLC, as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administrative agent,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10.13</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4"/>
              </w:rPr>
              <w:t>Subordination Agreement, by and among IM Ready-Made, LLC, IM Brands, LLC, Xcel Brands, Inc., and MidMarket Capital Partners, LLC,</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as administrative agent, dated September 29,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Services Agreement between Xcel Brands, Inc. and Todd Slater, dated August 12,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Amendment to the Services Agreement between Xcel Brands, Inc. and Todd Slater, dated October 4,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Employment Agreement entered into with Robert D’Loren, dated February 21, 2012 **</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Employment Agreement entered into with Giuseppe Falco, dated February 21, 2012 **</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Employment Agreement entered into with James Haran, dated February 21, 2012 **</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Employment Agreement entered into with Seth Burroughs, dated February 21, 2012 **</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Amended and Restated Employment Agreement entered into with Marisa Gardini, dated February 21, 2012 **</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Employment Agreement entered into with Isaac Mizrahi, dated May 19, 2011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Form of Code of Business Conduct and Ethics for Xcel Brands, Inc.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Subsidiaries of the Registrant**</w:t>
            </w: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31(i).1</w:t>
            </w: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(CEO)**</w:t>
            </w: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31(i).2</w:t>
            </w:r>
          </w:p>
        </w:tc>
        <w:tc>
          <w:tcPr>
            <w:tcW w:w="10380" w:type="dxa"/>
            <w:vAlign w:val="bottom"/>
          </w:tcPr>
          <w:p>
            <w:pPr>
              <w:spacing w:after="0"/>
              <w:rPr>
                <w:sz w:val="20"/>
                <w:szCs w:val="20"/>
                <w:color w:val="auto"/>
              </w:rPr>
            </w:pPr>
            <w:r>
              <w:rPr>
                <w:rFonts w:ascii="Arial" w:cs="Arial" w:eastAsia="Arial" w:hAnsi="Arial"/>
                <w:sz w:val="18"/>
                <w:szCs w:val="18"/>
                <w:color w:val="auto"/>
              </w:rPr>
              <w:t>Rule 13a-14(a)/15d-14(a) Certification (CFO)**</w:t>
            </w: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32(i).1</w:t>
            </w: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(CEO)**</w:t>
            </w: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32(i).2</w:t>
            </w:r>
          </w:p>
        </w:tc>
        <w:tc>
          <w:tcPr>
            <w:tcW w:w="10380" w:type="dxa"/>
            <w:vAlign w:val="bottom"/>
          </w:tcPr>
          <w:p>
            <w:pPr>
              <w:spacing w:after="0"/>
              <w:rPr>
                <w:sz w:val="20"/>
                <w:szCs w:val="20"/>
                <w:color w:val="auto"/>
              </w:rPr>
            </w:pPr>
            <w:r>
              <w:rPr>
                <w:rFonts w:ascii="Arial" w:cs="Arial" w:eastAsia="Arial" w:hAnsi="Arial"/>
                <w:sz w:val="18"/>
                <w:szCs w:val="18"/>
                <w:color w:val="auto"/>
              </w:rPr>
              <w:t>Section 1350 Certification (CEO)**</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1"/>
              </w:rPr>
              <w:t>Audited Consolidated Financial Statements for the period September 29, 2011 to December 31, 2011 of the Company, (the Successor period)</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3"/>
              </w:rPr>
              <w:t>the period January 1, 2011 to September 28, 2011 and the year ended December 31, 2010 of the Isaac Mizrahi Business (the Predecessor</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periods). ++</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Audit Committee Charter (i)</w:t>
            </w:r>
          </w:p>
        </w:tc>
      </w:tr>
      <w:tr>
        <w:trPr>
          <w:trHeight w:val="216"/>
        </w:trPr>
        <w:tc>
          <w:tcPr>
            <w:tcW w:w="920" w:type="dxa"/>
            <w:vAlign w:val="bottom"/>
            <w:gridSpan w:val="2"/>
          </w:tcPr>
          <w:p>
            <w:pPr>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Compensation Committee Charter (i)</w:t>
            </w:r>
          </w:p>
        </w:tc>
      </w:tr>
      <w:tr>
        <w:trPr>
          <w:trHeight w:val="230"/>
        </w:trPr>
        <w:tc>
          <w:tcPr>
            <w:tcW w:w="920" w:type="dxa"/>
            <w:vAlign w:val="bottom"/>
            <w:gridSpan w:val="2"/>
          </w:tcPr>
          <w:p>
            <w:pPr>
              <w:spacing w:after="0"/>
              <w:rPr>
                <w:sz w:val="20"/>
                <w:szCs w:val="20"/>
                <w:color w:val="auto"/>
              </w:rPr>
            </w:pPr>
            <w:r>
              <w:rPr>
                <w:rFonts w:ascii="Arial" w:cs="Arial" w:eastAsia="Arial" w:hAnsi="Arial"/>
                <w:sz w:val="18"/>
                <w:szCs w:val="18"/>
                <w:color w:val="auto"/>
              </w:rPr>
              <w:t>99.4</w:t>
            </w:r>
          </w:p>
        </w:tc>
        <w:tc>
          <w:tcPr>
            <w:tcW w:w="120" w:type="dxa"/>
            <w:vAlign w:val="bottom"/>
          </w:tcPr>
          <w:p>
            <w:pPr>
              <w:spacing w:after="0"/>
              <w:rPr>
                <w:sz w:val="20"/>
                <w:szCs w:val="20"/>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Nominating and Corporate Governance Committee Charter (i)</w:t>
            </w:r>
          </w:p>
        </w:tc>
      </w:tr>
      <w:tr>
        <w:trPr>
          <w:trHeight w:val="648"/>
        </w:trPr>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ind w:left="4580"/>
              <w:spacing w:after="0"/>
              <w:rPr>
                <w:sz w:val="20"/>
                <w:szCs w:val="20"/>
                <w:color w:val="auto"/>
              </w:rPr>
            </w:pPr>
            <w:r>
              <w:rPr>
                <w:rFonts w:ascii="Arial" w:cs="Arial" w:eastAsia="Arial" w:hAnsi="Arial"/>
                <w:sz w:val="18"/>
                <w:szCs w:val="18"/>
                <w:color w:val="auto"/>
              </w:rPr>
              <w:t>68</w:t>
            </w:r>
          </w:p>
        </w:tc>
      </w:tr>
    </w:tbl>
    <w:p>
      <w:pPr>
        <w:sectPr>
          <w:pgSz w:w="11900" w:h="16838" w:orient="portrait"/>
          <w:cols w:equalWidth="0" w:num="1">
            <w:col w:w="11420"/>
          </w:cols>
          <w:pgMar w:left="240" w:top="905" w:right="239" w:bottom="1440" w:gutter="0" w:footer="0" w:header="0"/>
        </w:sectPr>
      </w:pPr>
    </w:p>
    <w:bookmarkStart w:id="71" w:name="page72"/>
    <w:bookmarkEnd w:id="71"/>
    <w:p>
      <w:pPr>
        <w:ind w:left="648" w:right="180" w:hanging="648"/>
        <w:spacing w:after="0" w:line="258"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herein by reference to the information filed on Form 10-K, which was filed with the Securities and Exchange Commission on October 5, 2011.</w:t>
      </w:r>
    </w:p>
    <w:p>
      <w:pPr>
        <w:spacing w:after="0" w:line="1" w:lineRule="exact"/>
        <w:rPr>
          <w:rFonts w:ascii="Arial" w:cs="Arial" w:eastAsia="Arial" w:hAnsi="Arial"/>
          <w:sz w:val="18"/>
          <w:szCs w:val="18"/>
          <w:color w:val="auto"/>
        </w:rPr>
      </w:pPr>
    </w:p>
    <w:p>
      <w:pPr>
        <w:ind w:left="648" w:hanging="648"/>
        <w:spacing w:after="0" w:line="261"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Exhibit is incorporated herein by reference to the information filed on Form 10-K/A, which was filed with the Securities and Exchange Commission on February, 7, 2012.</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Filed as Item 8 of Part II of this Form 10-K</w:t>
      </w:r>
    </w:p>
    <w:p>
      <w:pPr>
        <w:spacing w:after="0" w:line="200" w:lineRule="exact"/>
        <w:rPr>
          <w:sz w:val="20"/>
          <w:szCs w:val="20"/>
          <w:color w:val="auto"/>
        </w:rPr>
      </w:pPr>
    </w:p>
    <w:p>
      <w:pPr>
        <w:spacing w:after="0" w:line="241"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8"/>
          </w:cols>
          <w:pgMar w:left="572" w:top="909" w:right="57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23, 2012</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Robert W. D’Loren, Chairman, President,</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Date: March 23, 2012</w:t>
            </w:r>
          </w:p>
        </w:tc>
        <w:tc>
          <w:tcPr>
            <w:tcW w:w="3260" w:type="dxa"/>
            <w:vAlign w:val="bottom"/>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202"/>
        </w:trPr>
        <w:tc>
          <w:tcPr>
            <w:tcW w:w="36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Robert W. D’Loren , Chairman,</w:t>
            </w:r>
          </w:p>
        </w:tc>
      </w:tr>
      <w:tr>
        <w:trPr>
          <w:trHeight w:val="216"/>
        </w:trPr>
        <w:tc>
          <w:tcPr>
            <w:tcW w:w="3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Director</w:t>
            </w:r>
          </w:p>
        </w:tc>
      </w:tr>
      <w:tr>
        <w:trPr>
          <w:trHeight w:val="230"/>
        </w:trPr>
        <w:tc>
          <w:tcPr>
            <w:tcW w:w="3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March 23, 2012</w:t>
            </w:r>
          </w:p>
        </w:tc>
        <w:tc>
          <w:tcPr>
            <w:tcW w:w="326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F. Haran</w:t>
            </w:r>
          </w:p>
        </w:tc>
      </w:tr>
      <w:tr>
        <w:trPr>
          <w:trHeight w:val="195"/>
        </w:trPr>
        <w:tc>
          <w:tcPr>
            <w:tcW w:w="36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James F. Haran, Chief Financial</w:t>
            </w:r>
          </w:p>
        </w:tc>
      </w:tr>
      <w:tr>
        <w:trPr>
          <w:trHeight w:val="230"/>
        </w:trPr>
        <w:tc>
          <w:tcPr>
            <w:tcW w:w="3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Officer (principal accounting officer)</w:t>
            </w:r>
          </w:p>
        </w:tc>
      </w:tr>
      <w:tr>
        <w:trPr>
          <w:trHeight w:val="648"/>
        </w:trPr>
        <w:tc>
          <w:tcPr>
            <w:tcW w:w="36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70</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3" w:name="page74"/>
    <w:bookmarkEnd w:id="7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XCEL BRANDS, INC.</w:t>
      </w:r>
    </w:p>
    <w:p>
      <w:pPr>
        <w:spacing w:after="0" w:line="225"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The original Certificate of Incorporation of Xcel Brands, Inc. (the "Corporation") was filed by the Secretary of State on August 31, 1989 and the name under which the Corporation was originally incorporated is Houston Operating Company. This Restated Certificate of Incorporation, which further amends the Certificate of Incorporation of the Corporation, was duly adopted by the written consent of the holder of a majority of the outstanding stock entitled to vote thereon in accordance with the provisions of Sections 141, 228, 242 and 245 of the General Corporation Law of the State of Delaware.</w:t>
      </w:r>
    </w:p>
    <w:p>
      <w:pPr>
        <w:sectPr>
          <w:pgSz w:w="11900" w:h="16838" w:orient="portrait"/>
          <w:cols w:equalWidth="0" w:num="1">
            <w:col w:w="11420"/>
          </w:cols>
          <w:pgMar w:left="240" w:top="368" w:right="239" w:bottom="1440" w:gutter="0" w:footer="0" w:header="0"/>
        </w:sectPr>
      </w:pPr>
    </w:p>
    <w:p>
      <w:pPr>
        <w:spacing w:after="0" w:line="15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FIRST: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name of the Corporation is:</w:t>
      </w:r>
    </w:p>
    <w:p>
      <w:pPr>
        <w:spacing w:after="0" w:line="211" w:lineRule="exact"/>
        <w:rPr>
          <w:sz w:val="20"/>
          <w:szCs w:val="20"/>
          <w:color w:val="auto"/>
        </w:rPr>
      </w:pPr>
    </w:p>
    <w:p>
      <w:pPr>
        <w:sectPr>
          <w:pgSz w:w="11900" w:h="16838" w:orient="portrait"/>
          <w:cols w:equalWidth="0" w:num="2">
            <w:col w:w="1520" w:space="480"/>
            <w:col w:w="9420"/>
          </w:cols>
          <w:pgMar w:left="240" w:top="368" w:right="239" w:bottom="1440" w:gutter="0" w:footer="0" w:header="0"/>
          <w:type w:val="continuous"/>
        </w:sectPr>
      </w:pPr>
    </w:p>
    <w:p>
      <w:pPr>
        <w:spacing w:after="0" w:line="3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XCEL BRANDS, INC.</w:t>
      </w:r>
    </w:p>
    <w:p>
      <w:pPr>
        <w:spacing w:after="0" w:line="225"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SECOND: The address of the Corporation's registered office in the State of Delaware is 2711 Centerville Road, Suite 400, in the City of Wilmington, County of New Castle, 19808. The name of its registered agent at such address is Corporation Service Company.</w:t>
      </w:r>
    </w:p>
    <w:p>
      <w:pPr>
        <w:spacing w:after="0" w:line="170" w:lineRule="exact"/>
        <w:rPr>
          <w:sz w:val="20"/>
          <w:szCs w:val="20"/>
          <w:color w:val="auto"/>
        </w:rPr>
      </w:pPr>
    </w:p>
    <w:p>
      <w:pPr>
        <w:ind w:firstLine="972"/>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a corporation may be organized under the laws of the General Corporation Law of the State of Delaware.</w:t>
      </w:r>
    </w:p>
    <w:p>
      <w:pPr>
        <w:spacing w:after="0" w:line="170" w:lineRule="exact"/>
        <w:rPr>
          <w:sz w:val="20"/>
          <w:szCs w:val="20"/>
          <w:color w:val="auto"/>
        </w:rPr>
      </w:pPr>
    </w:p>
    <w:p>
      <w:pPr>
        <w:ind w:left="980"/>
        <w:spacing w:after="0"/>
        <w:tabs>
          <w:tab w:leader="none" w:pos="2000" w:val="left"/>
        </w:tabs>
        <w:rPr>
          <w:sz w:val="20"/>
          <w:szCs w:val="20"/>
          <w:color w:val="auto"/>
        </w:rPr>
      </w:pPr>
      <w:r>
        <w:rPr>
          <w:rFonts w:ascii="Arial" w:cs="Arial" w:eastAsia="Arial" w:hAnsi="Arial"/>
          <w:sz w:val="16"/>
          <w:szCs w:val="16"/>
          <w:color w:val="auto"/>
        </w:rPr>
        <w:t>FOURTH:</w:t>
      </w:r>
      <w:r>
        <w:rPr>
          <w:sz w:val="20"/>
          <w:szCs w:val="20"/>
          <w:color w:val="auto"/>
        </w:rPr>
        <w:tab/>
      </w:r>
      <w:r>
        <w:rPr>
          <w:rFonts w:ascii="Arial" w:cs="Arial" w:eastAsia="Arial" w:hAnsi="Arial"/>
          <w:sz w:val="16"/>
          <w:szCs w:val="16"/>
          <w:color w:val="auto"/>
        </w:rPr>
        <w:t>The total number of shares of capital stock which the Corporation shall have authority to issue is Twenty Six Million (26,000,000)</w:t>
      </w:r>
    </w:p>
    <w:p>
      <w:pPr>
        <w:sectPr>
          <w:pgSz w:w="11900" w:h="16838" w:orient="portrait"/>
          <w:cols w:equalWidth="0" w:num="1">
            <w:col w:w="11420"/>
          </w:cols>
          <w:pgMar w:left="240" w:top="368" w:right="239" w:bottom="1440" w:gutter="0" w:footer="0" w:header="0"/>
          <w:type w:val="continuous"/>
        </w:sectPr>
      </w:pP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shares, of which Twenty Five Million (25,000,000) shares shall be Common Stock, par value $.001 per share, and One Million (1,000,000) shares shall be Preferred Stock, par value $.001 per share.</w:t>
      </w:r>
    </w:p>
    <w:p>
      <w:pPr>
        <w:spacing w:after="0" w:line="18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The Preferred Stock may be issued from time to time in one or more series. The Board of Directors of the Corporation is hereby expressly authorized to provide, by resolution or resolutions duly adopted by it prior to issuance, for the creation of each such series and to fix the designation and the powers, preferences, rights, qualifications, limitations and restrictions relating to the shares of each such series. The authority of the Board of Directors with respect to each series of Preferred Stock shall include, but not be limited to, determining the following:</w:t>
      </w:r>
    </w:p>
    <w:p>
      <w:pPr>
        <w:spacing w:after="0" w:line="187" w:lineRule="exact"/>
        <w:rPr>
          <w:sz w:val="20"/>
          <w:szCs w:val="20"/>
          <w:color w:val="auto"/>
        </w:rPr>
      </w:pPr>
    </w:p>
    <w:p>
      <w:pPr>
        <w:ind w:left="1020" w:hanging="364"/>
        <w:spacing w:after="0"/>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designation of such series, the number of shares to constitute such series and the stated value if different from the par value thereof;</w:t>
      </w:r>
    </w:p>
    <w:p>
      <w:pPr>
        <w:spacing w:after="0" w:line="236" w:lineRule="exact"/>
        <w:rPr>
          <w:rFonts w:ascii="Arial" w:cs="Arial" w:eastAsia="Arial" w:hAnsi="Arial"/>
          <w:sz w:val="17"/>
          <w:szCs w:val="17"/>
          <w:color w:val="auto"/>
        </w:rPr>
      </w:pPr>
    </w:p>
    <w:p>
      <w:pPr>
        <w:ind w:firstLine="656"/>
        <w:spacing w:after="0" w:line="277" w:lineRule="auto"/>
        <w:tabs>
          <w:tab w:leader="none" w:pos="10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the shares of such series shall have voting rights, in addition to any voting rights provided by law, and, if so, the terms of such voting rights, which may be general or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75" w:name="page76"/>
    <w:bookmarkEnd w:id="75"/>
    <w:p>
      <w:pPr>
        <w:jc w:val="both"/>
        <w:ind w:firstLine="656"/>
        <w:spacing w:after="0" w:line="264" w:lineRule="auto"/>
        <w:tabs>
          <w:tab w:leader="none" w:pos="105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stock of any other class or any other series of Preferred Stock;</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whether the shares of such series shall be subject to redemption by the Corporation, and, if so, the times, prices and other conditions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redemption;</w:t>
      </w:r>
    </w:p>
    <w:p>
      <w:pPr>
        <w:spacing w:after="0" w:line="210" w:lineRule="exact"/>
        <w:rPr>
          <w:rFonts w:ascii="Arial" w:cs="Arial" w:eastAsia="Arial" w:hAnsi="Arial"/>
          <w:sz w:val="16"/>
          <w:szCs w:val="16"/>
          <w:color w:val="auto"/>
        </w:rPr>
      </w:pPr>
    </w:p>
    <w:p>
      <w:pPr>
        <w:ind w:firstLine="656"/>
        <w:spacing w:after="0" w:line="277" w:lineRule="auto"/>
        <w:tabs>
          <w:tab w:leader="none" w:pos="10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amount or amounts payable upon shares of such series upon, and the rights of the holders of such series in, the voluntary or involuntary liquidation, dissolution or winding up, or upon any distribution of the assets, of the Corporation;</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the operation of a retirement or sinking fund and, if so, the extent to and manner in which any such retirement or sinking fund shall be applied to the purchase or redemption of the shares of such series for retirement or other corporate purposes and the terms and provisions relating to the operation thereof;</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shares of such series shall be convertible into, or exchangeable for, shares of stock of any other class or any other series of Preferred Stock or any other securities and, if so, the price or prices or the rate or rates of conversion or exchange and the method, if any, of adjusting the same, and any other terms and conditions of conversion or exchange;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limitations and restrictions, if any, to be effective while any shares of such series are outstanding upon the payment of dividends or the making of other distributions on, and upon the purchase, redemption or other acquisition by the Corporation of, the Common Stock or shares of stock of any other class or any other series of Preferred Stock;</w:t>
      </w:r>
    </w:p>
    <w:p>
      <w:pPr>
        <w:spacing w:after="0" w:line="181" w:lineRule="exact"/>
        <w:rPr>
          <w:rFonts w:ascii="Arial" w:cs="Arial" w:eastAsia="Arial" w:hAnsi="Arial"/>
          <w:sz w:val="18"/>
          <w:szCs w:val="18"/>
          <w:color w:val="auto"/>
        </w:rPr>
      </w:pPr>
    </w:p>
    <w:p>
      <w:pPr>
        <w:ind w:right="20" w:firstLine="656"/>
        <w:spacing w:after="0" w:line="277" w:lineRule="auto"/>
        <w:tabs>
          <w:tab w:leader="none" w:pos="10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conditions or restrictions, if any, upon the creation of indebtedness of the Corporation or upon the issue of any additional stock, including additional shares of such series or of any other series of Preferred Stock or of any other class; and</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other powers, preferences and relative, participating, optional and other special rights, and any qualifications, limitations and restrictions,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powers, preferences and relative, participating, optional and other special rights of each series of Preferred Stock, and the qualifications, limitations or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dates from which dividends thereof shall be cumulative.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FIFTH: Unless required by law or determined by the chairman of the meeting to be advisable, the vote by stockholders on any matter, including the election of directors, need not be by written ballot.</w:t>
      </w:r>
    </w:p>
    <w:p>
      <w:pPr>
        <w:spacing w:after="0" w:line="170" w:lineRule="exact"/>
        <w:rPr>
          <w:sz w:val="20"/>
          <w:szCs w:val="20"/>
          <w:color w:val="auto"/>
        </w:rPr>
      </w:pPr>
    </w:p>
    <w:p>
      <w:pPr>
        <w:ind w:left="660"/>
        <w:spacing w:after="0"/>
        <w:tabs>
          <w:tab w:leader="none" w:pos="2480" w:val="left"/>
        </w:tabs>
        <w:rPr>
          <w:sz w:val="20"/>
          <w:szCs w:val="20"/>
          <w:color w:val="auto"/>
        </w:rPr>
      </w:pPr>
      <w:r>
        <w:rPr>
          <w:rFonts w:ascii="Arial" w:cs="Arial" w:eastAsia="Arial" w:hAnsi="Arial"/>
          <w:sz w:val="16"/>
          <w:szCs w:val="16"/>
          <w:color w:val="auto"/>
        </w:rPr>
        <w:t>SIXTH:</w:t>
      </w:r>
      <w:r>
        <w:rPr>
          <w:sz w:val="20"/>
          <w:szCs w:val="20"/>
          <w:color w:val="auto"/>
        </w:rPr>
        <w:tab/>
      </w:r>
      <w:r>
        <w:rPr>
          <w:rFonts w:ascii="Arial" w:cs="Arial" w:eastAsia="Arial" w:hAnsi="Arial"/>
          <w:sz w:val="16"/>
          <w:szCs w:val="16"/>
          <w:color w:val="auto"/>
        </w:rPr>
        <w:t>The Corporation reserves the right to increase or decrease its authorized capital stock, or any class or series thereof, and to</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reclassify the same, and to amend, alter, change or repeal any provision contained in the Certificate of Incorporation under which the Corporation is organized or in any amendment thereto, in the manner now or hereafter prescribed by law, and all rights conferred upon stockholders in said Certificate of Incorporation or any amendment thereto are granted subject to the aforementioned reservation.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620" w:type="dxa"/>
            <w:vAlign w:val="bottom"/>
          </w:tcPr>
          <w:p>
            <w:pPr>
              <w:ind w:left="660"/>
              <w:spacing w:after="0"/>
              <w:rPr>
                <w:sz w:val="20"/>
                <w:szCs w:val="20"/>
                <w:color w:val="auto"/>
              </w:rPr>
            </w:pPr>
            <w:r>
              <w:rPr>
                <w:rFonts w:ascii="Arial" w:cs="Arial" w:eastAsia="Arial" w:hAnsi="Arial"/>
                <w:sz w:val="18"/>
                <w:szCs w:val="18"/>
                <w:color w:val="auto"/>
              </w:rPr>
              <w:t>SEVENH:</w:t>
            </w:r>
          </w:p>
        </w:tc>
        <w:tc>
          <w:tcPr>
            <w:tcW w:w="9800" w:type="dxa"/>
            <w:vAlign w:val="bottom"/>
            <w:gridSpan w:val="3"/>
          </w:tcPr>
          <w:p>
            <w:pPr>
              <w:ind w:left="280"/>
              <w:spacing w:after="0"/>
              <w:rPr>
                <w:sz w:val="20"/>
                <w:szCs w:val="20"/>
                <w:color w:val="auto"/>
              </w:rPr>
            </w:pPr>
            <w:r>
              <w:rPr>
                <w:rFonts w:ascii="Arial" w:cs="Arial" w:eastAsia="Arial" w:hAnsi="Arial"/>
                <w:sz w:val="18"/>
                <w:szCs w:val="18"/>
                <w:color w:val="auto"/>
                <w:w w:val="91"/>
              </w:rPr>
              <w:t>The Board of Directors shall have the power at any time, and from time to time, to adopt, amend and repeal any and all By-laws of</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the Corporation.</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60" w:type="dxa"/>
            <w:vAlign w:val="bottom"/>
          </w:tcPr>
          <w:p>
            <w:pPr>
              <w:spacing w:after="0"/>
              <w:rPr>
                <w:sz w:val="20"/>
                <w:szCs w:val="20"/>
                <w:color w:val="auto"/>
              </w:rPr>
            </w:pPr>
          </w:p>
        </w:tc>
      </w:tr>
      <w:tr>
        <w:trPr>
          <w:trHeight w:val="392"/>
        </w:trPr>
        <w:tc>
          <w:tcPr>
            <w:tcW w:w="1620" w:type="dxa"/>
            <w:vAlign w:val="bottom"/>
          </w:tcPr>
          <w:p>
            <w:pPr>
              <w:ind w:left="660"/>
              <w:spacing w:after="0"/>
              <w:rPr>
                <w:sz w:val="20"/>
                <w:szCs w:val="20"/>
                <w:color w:val="auto"/>
              </w:rPr>
            </w:pPr>
            <w:r>
              <w:rPr>
                <w:rFonts w:ascii="Arial" w:cs="Arial" w:eastAsia="Arial" w:hAnsi="Arial"/>
                <w:sz w:val="18"/>
                <w:szCs w:val="18"/>
                <w:color w:val="auto"/>
              </w:rPr>
              <w:t>EIGHTH:</w:t>
            </w: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9000" w:type="dxa"/>
            <w:vAlign w:val="bottom"/>
            <w:gridSpan w:val="2"/>
          </w:tcPr>
          <w:p>
            <w:pPr>
              <w:spacing w:after="0"/>
              <w:rPr>
                <w:sz w:val="20"/>
                <w:szCs w:val="20"/>
                <w:color w:val="auto"/>
              </w:rPr>
            </w:pPr>
            <w:r>
              <w:rPr>
                <w:rFonts w:ascii="Arial" w:cs="Arial" w:eastAsia="Arial" w:hAnsi="Arial"/>
                <w:sz w:val="18"/>
                <w:szCs w:val="18"/>
                <w:color w:val="auto"/>
              </w:rPr>
              <w:t>Indemnification</w:t>
            </w:r>
          </w:p>
        </w:tc>
      </w:tr>
      <w:tr>
        <w:trPr>
          <w:trHeight w:val="20"/>
        </w:trPr>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Corporation shall, and does hereby, indemnify to the fullest extent permitted or authorized by the Delaware General Corporation Law or judicial or administrative decisions, as the same exists or may hereafter be amended or interpreted differently in the future (but, in the case of any such amendment or interpretation, only to the extent that such amendment or interpretation permits the Corporation to provide broader indemnification rights than permitted prior thereto), each person (including the current and future heirs, beneficiaries, personal representatives and estate of such person) who was or is a party, or is threatened to be made a party, or was or is a witness, to any threatened, pending or completed action, suit or proceeding, whether civil, criminal, administrative or investigative (a "Proceeding") and whether the basis of such Proceeding is an allegation of an action in an official capacity of such person related to the Corporation or any other capacity while such person is serving as an officer, director, employee or agent of the Corporation, against any liability (which for purposes of this Article shall include any judgment, settlement, penalty or fine) or cost, charge or expense (including attorneys' fees) asserted against him or incurred by him by reason of the fact that such indemnified person (1) is or was a director, officer or employee of the Corporation or (2) is or was an agent of the Corporation as to whom the Corporation, by action of its Board of Directors, has agreed to grant such indemnity or (3) is or was serving, at the request of the Corporation, as a director, officer or employee of another corporation, partnership, joint venture, trust or other enterprise (including serving as a fiduciary of any employee benefit plan) or (4) is or was serving as an agent of such other corporation, partnership, joint venture, trust or other enterprise described in clause (3) hereof as to whom the Corporation, by action of its Board of Directors, has agreed to grant such indemnity. Each director, officer, employee or agent of the Corporation to whom indemnification rights under this Section 1 of this Article have been granted shall be referred to as an "Indemnified Person."</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foregoing, except as specified in Section 3 of this Article, the Corporation shall not be required to indemnify an Indemnified Person in connection with a Proceeding (or any part thereof) initiated by such Indemnified Person unless such authorization for such Proceeding (or any part thereof) was not denied by the Board of Directors of the Corporation prior to sixty (60) days after receipt of notice thereof from such Indemnified Person stating his intent to initiate such Proceeding and only upon such terms and conditions as the Board of Directors may deem appropriate.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left="1240" w:hanging="584"/>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Advance of Costs, Charges and Expenses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Costs, charges and expenses (including attorneys' fees) incurred by an officer, director, employee or agent who is an Indemnified Person in defending a Proceeding shall be paid by the Corporation to the fullest extent permitted or authorized by the Delaware General Corporation Law or judicial or administrative decisions, as the same exists or may hereafter be amended or interpreted differently in the future (but, in the case of any such future amendment or interpretation, only to the extent that such amendment or interpretation permits the Corporation to provide broader rights to advance costs, charges and expenses than permitted prior thereto), in advance of the final disposition of such Proceeding, upon receipt of an undertaking by or on behalf of the Indemnified Person to repay all amounts so advanced in the event that it shall ultimately be determined by final judicial decision that such person is not entitled to be indemnified by the Corporation as authorized in this Article and upon such other terms and conditions, in the case of an agent as to whom the Corporation has agreed to grant such indemnity, as the Board of Directors may deem appropriate. The Corporation may, upon approval of the Indemnified Person, authorize the Corporation's counsel to represent such person in any Proceeding, whether or not the Corporation is a party to such Proceeding. Such authorization may be made by the Board of Directors by majority vote, including directors who are parties to such Proceeding.</w:t>
      </w:r>
    </w:p>
    <w:p>
      <w:pPr>
        <w:spacing w:after="0" w:line="169" w:lineRule="exact"/>
        <w:rPr>
          <w:sz w:val="20"/>
          <w:szCs w:val="20"/>
          <w:color w:val="auto"/>
        </w:rPr>
      </w:pPr>
    </w:p>
    <w:p>
      <w:pPr>
        <w:ind w:left="1240" w:hanging="584"/>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Procedure for Indemnification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Any indemnification or advance under this Article shall be made promptly and in any event within sixty (60) days upon the written request of the Indemnified Person (except in the case of a claim for an advancement of costs, charges or expenses, in which case the applicable period shall be twenty (20) days). The right to indemnification or advances as granted by this Article shall be enforceable by the Indemnified Person in any court of competent jurisdiction if the Corporation denies such request under this Article, in whole or in part, or if no disposition thereof is made within sixty (60) days or twenty</w:t>
      </w:r>
    </w:p>
    <w:p>
      <w:pPr>
        <w:spacing w:after="0" w:line="2" w:lineRule="exact"/>
        <w:rPr>
          <w:sz w:val="20"/>
          <w:szCs w:val="20"/>
          <w:color w:val="auto"/>
        </w:rPr>
      </w:pPr>
    </w:p>
    <w:p>
      <w:pPr>
        <w:jc w:val="both"/>
        <w:ind w:firstLine="8"/>
        <w:spacing w:after="0" w:line="267" w:lineRule="auto"/>
        <w:tabs>
          <w:tab w:leader="none" w:pos="3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days, as may be applicable. Such Indemnified Person's costs and expenses incurred in connection with successfully establishing his right to indemnification or advancement of costs, charges or expenses, in whole or in part, in any such action shall also be indemnified by the Corporation. It shall be a defense to any such action that the claimant has not met the standard of conduct, if any, required by the Delaware General Corporation Law or judicial or administrative decisions, as the same exists or may hereafter be amended or interpreted differently in the future (but, in the case of any such future amendment or interpretation, only to the extent that such amendment or interpretation does not impose a more stringent standard of conduct than permitted prior thereto), but the burden of proving such defense shall be on the Corporation. Neither the failure of the Corporation (including its Board of Directors or any committee thereof, its independent legal counsel, and its stockholders) to have made a determination prior to the commencement of such action that indemnification of the claimant or advancement for the claimant is proper in the circumstances because he has met the applicable standard of conduct, if any, nor the fact that there has been an actual determination by the Corporation (including its Board of Directors or any committee thereof, its independent legal counsel, or its stockholders) that the claimant has not met such applicable standard of conduct, shall be a defense to the action or create a presumption that the claimant has not met the applicable standard of conduct.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ind w:left="1240" w:hanging="584"/>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Non-Exclusivity; Survival of Indemnification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indemnification and advancement provided by this Article shall not be deemed exclusive of any other rights to which those Indemnified Persons may be entitled under any agreement, vote of stockholders or disinterested directors or recommendation of counsel or otherwise, both as to actions in such person's official capacity and as to actions in any other capacity while holding such office or position, and shall continue as to an Indemnified Person who has ceased to be a director, officer, employee or agent and shall inure to the benefit of the heirs, beneficiaries, personal representatives and the estate of such person. All rights to indemnification and advancement under this Article shall be deemed to be a contract between the Corporation and each Indemnified Person who serves or served in such capacity at any time while this Article is in effect. Any repeal or modification of this Article or any repeal or modification of relevant provisions of the Delaware General Corporation Law or any other applicable laws shall not in any way diminish any rights to indemnification of such Indemnified Person, or the obligations of the Corporation arising hereunder, for claims relating to matters occurring prior to such repeal or modification.</w:t>
      </w:r>
    </w:p>
    <w:p>
      <w:pPr>
        <w:spacing w:after="0" w:line="197" w:lineRule="exact"/>
        <w:rPr>
          <w:sz w:val="20"/>
          <w:szCs w:val="20"/>
          <w:color w:val="auto"/>
        </w:rPr>
      </w:pPr>
    </w:p>
    <w:p>
      <w:pPr>
        <w:ind w:left="1240" w:hanging="584"/>
        <w:spacing w:after="0"/>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Insurance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(including serving as a fiduciary of an employee benefit plan) against any liability asserted against him and incurred by him in any such capacity or arising out of his status as such, whether or not the Corporation would have the power to indemnify him against such liability under the provisions of this Article or the applicable provisions of the Delaware General Corporation Law.</w:t>
      </w:r>
    </w:p>
    <w:p>
      <w:pPr>
        <w:spacing w:after="0" w:line="188" w:lineRule="exact"/>
        <w:rPr>
          <w:sz w:val="20"/>
          <w:szCs w:val="20"/>
          <w:color w:val="auto"/>
        </w:rPr>
      </w:pPr>
    </w:p>
    <w:p>
      <w:pPr>
        <w:ind w:left="1240" w:hanging="584"/>
        <w:spacing w:after="0"/>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Savings Clause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this Article or any portion hereof shall be invalidated on any ground by any court of competent jurisdiction, then the Corporation shall nevertheless indemnify and advance costs to each Indemnified Person as to costs, charges and expenses (including attorneys' fees), judgments, fines and amounts paid in settlement with respect to any Proceeding, including an action by or in the right of the Corporation, to the full extent permitted by any applicable portion of this Article that shall not have been invalidated and as permitted by the Delaware General Corporation Law.</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NINTH: No director of the Corporation shall be personally liable to the Corporation or its stockholders for any monetary damages for breaches of fiduciary duty as a director, provided that this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repeal or amendment of this Article shall adversely affect any rights of any person pursuant to this Article Ninth which existed at the time of such repeal or amendment with respect to acts or omissions occurring prior to such repeal or amendment.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jc w:val="both"/>
        <w:ind w:firstLine="648"/>
        <w:spacing w:after="0" w:line="267" w:lineRule="auto"/>
        <w:rPr>
          <w:sz w:val="20"/>
          <w:szCs w:val="20"/>
          <w:color w:val="auto"/>
        </w:rPr>
      </w:pPr>
      <w:r>
        <w:rPr>
          <w:rFonts w:ascii="Arial" w:cs="Arial" w:eastAsia="Arial" w:hAnsi="Arial"/>
          <w:sz w:val="17"/>
          <w:szCs w:val="17"/>
          <w:color w:val="auto"/>
        </w:rPr>
        <w:t>TENTH: The number of directors comprising the Board of Directors shall be such number as may be from time to time fixed by resolution adopted by the Board of Directors. The directors shall be elected by the holders of shares of stock of the Corporation entitled to vote on the election of directors, and directors shall be elected by a plurality vote. The directors shall be divided into three classes, designated as Class I, Class II and Class III as set forth in Section 1 of this Article. Commencing with the first annual meeting of stockholders held after the adoption of this Article, the Class I directors shall serve until the following annual meeting of stockholders, the Class II directors until the next successive annual meeting of stockholders, and the Class III directors until the third annual meeting of stockholders, in each case, until their successor(s) are duly elected and qualified or until their earlier resignation or removal. At each annual meeting of stockholders commencing with the first annual meeting following the adoption of this Article each of the successors to the Directors of the Class whose term shall have expired that year shall be elected for a three-year term.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 A director shall hold office until the annual meeting for the year in which his or her term expires and until the successor shall be elected and shall qualify, or until his or her earlier resignation or removal from office. In the interim between annual meetings of stockholders or of special meetings of stockholders called for the election of directors and/or for the removal of one or more directors and for the filling of any vacancy in that connection, newly created directorships and any vacancies in the Board of Directors, including unfilled vacancies resulting from the removal of directors for cause or without cause, resignation, death, disqualification or other causes shall be filled for the remainder of the full term of the directors in which the new directorship is created or the vacancy occurred and until their successors are elected and qualified or until their earlier removal, only by the vote of a majority of the remaining directors then in office, although less than a quorum, or by the sole remaining director.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this Amended and Restated Certificate of Incorporation this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December, 2011.</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XCEL BRANDS,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James F. Haran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RESTATED AND AMENDED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25" w:lineRule="exact"/>
        <w:rPr>
          <w:sz w:val="20"/>
          <w:szCs w:val="20"/>
          <w:color w:val="auto"/>
        </w:rPr>
      </w:pPr>
    </w:p>
    <w:p>
      <w:pPr>
        <w:jc w:val="both"/>
        <w:ind w:firstLine="8"/>
        <w:spacing w:after="0" w:line="256" w:lineRule="auto"/>
        <w:tabs>
          <w:tab w:leader="none" w:pos="18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REPRESENTING STOCK</w:t>
      </w:r>
      <w:r>
        <w:rPr>
          <w:rFonts w:ascii="Arial" w:cs="Arial" w:eastAsia="Arial" w:hAnsi="Arial"/>
          <w:sz w:val="18"/>
          <w:szCs w:val="18"/>
          <w:color w:val="auto"/>
        </w:rPr>
        <w:t>. Certificates representing stock in the corporation shall be signed by, or in the name of, the corporation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Chairman or Vice-Chairman of the Board of Directors of the corporation (the “Board” or “Board of Directors”), if any, or by the President or a Vice-President and by the Treasurer or an Assistant Treasurer or the Secretary or an Assistant Secretary of the corporation. Any or all the signatures on any such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Whenever the corporation shall be authorized to issue more than one class of stock or more than one series of any class of stock, and whenever the corporation shall issue any shares of its stock as partly paid stock, the certificates representing shares of any such class or series or of any such partly paid stock shall set forth thereon the statements prescribed by the General Corporation Law of the State of Delaware, as amended from time to time (the “General Corporation Law”). Any restrictions on the transfer or registration of transfer of any shares of stock of any class or series shall be noted conspicuously on the certificate representing such shares.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 may issue a new certificate of stock or uncertificated shares in place of any certificate theretofore issued by it, alleged to have been lost, stolen, or destroyed, and the Board of Directors may require the owner of the lost, stolen, or destroyed certificate, or his legal representative, to give the corporation a bond sufficient to indemnify the corporation against any claim that may be made against it on account of the alleged loss, theft, or destruction of any such certificate or the issuance of any such new certificate or uncertificated shares.</w:t>
      </w:r>
    </w:p>
    <w:p>
      <w:pPr>
        <w:spacing w:after="0" w:line="183" w:lineRule="exact"/>
        <w:rPr>
          <w:sz w:val="20"/>
          <w:szCs w:val="20"/>
          <w:color w:val="auto"/>
        </w:rPr>
      </w:pPr>
    </w:p>
    <w:p>
      <w:pPr>
        <w:jc w:val="both"/>
        <w:ind w:firstLine="8"/>
        <w:spacing w:after="0" w:line="261" w:lineRule="auto"/>
        <w:tabs>
          <w:tab w:leader="none" w:pos="1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UNCERTIFICATED SHARES. </w:t>
      </w:r>
      <w:r>
        <w:rPr>
          <w:rFonts w:ascii="Arial" w:cs="Arial" w:eastAsia="Arial" w:hAnsi="Arial"/>
          <w:sz w:val="18"/>
          <w:szCs w:val="18"/>
          <w:color w:val="auto"/>
        </w:rPr>
        <w:t>Subject to any conditions imposed by the General Corporation Law, the Board of Directors may provide by resolution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that some or all of any or all classes or series of the stock of the corporation shall be uncertificated shares. Within a reasonable time after the issuance or transfer of any uncertificated shares, the corporation shall send to the registered owner thereof the written notice prescribed by the General Corporation Law.</w:t>
      </w:r>
    </w:p>
    <w:p>
      <w:pPr>
        <w:spacing w:after="0" w:line="180" w:lineRule="exact"/>
        <w:rPr>
          <w:rFonts w:ascii="Arial" w:cs="Arial" w:eastAsia="Arial" w:hAnsi="Arial"/>
          <w:sz w:val="18"/>
          <w:szCs w:val="18"/>
          <w:b w:val="1"/>
          <w:bCs w:val="1"/>
          <w:color w:val="auto"/>
        </w:rPr>
      </w:pPr>
    </w:p>
    <w:p>
      <w:pPr>
        <w:jc w:val="both"/>
        <w:ind w:firstLine="8"/>
        <w:spacing w:after="0" w:line="270" w:lineRule="auto"/>
        <w:tabs>
          <w:tab w:leader="none" w:pos="198"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FRACTIONAL SHARE INTERESTS</w:t>
      </w:r>
      <w:r>
        <w:rPr>
          <w:rFonts w:ascii="Arial" w:cs="Arial" w:eastAsia="Arial" w:hAnsi="Arial"/>
          <w:sz w:val="17"/>
          <w:szCs w:val="17"/>
          <w:color w:val="auto"/>
        </w:rPr>
        <w:t>. The corporation may, but shall not be required to, issue fractions of a share. If the corporation does not issue</w:t>
      </w:r>
      <w:r>
        <w:rPr>
          <w:rFonts w:ascii="Arial" w:cs="Arial" w:eastAsia="Arial" w:hAnsi="Arial"/>
          <w:sz w:val="17"/>
          <w:szCs w:val="17"/>
          <w:b w:val="1"/>
          <w:bCs w:val="1"/>
          <w:color w:val="auto"/>
        </w:rPr>
        <w:t xml:space="preserve"> </w:t>
      </w:r>
      <w:r>
        <w:rPr>
          <w:rFonts w:ascii="Arial" w:cs="Arial" w:eastAsia="Arial" w:hAnsi="Arial"/>
          <w:sz w:val="17"/>
          <w:szCs w:val="17"/>
          <w:color w:val="auto"/>
        </w:rPr>
        <w:t>fractions of a share, it shall (1) arrange for the disposition of fractional interests by those entitled thereto, (2) pay in cash the fair value of fractions of a share as of the time when those entitled to receive such fractions are determined, or (3) issue scrip or warrants in registered form (either represented by a certificate or uncertificated) or bearer form (represented by a certificate) which shall entitle the holder to receive a full share upon the surrender of such scrip or warrants aggregating a full share. A certificate for a fractional share or an uncertificated fractional share shall, but scrip or warrants shall not unless otherwise provided therein, entitle the holder to exercise voting rights, to receive dividends thereon, and to participate in any of the assets of the corporation in the event of liquidation. The Board of Directors may cause scrip or warrants to be issued subject to the conditions that they shall become void if not exchanged for certificates representing the full shares or uncertificated full shares before a specified date, or subject to the conditions that the shares for which scrip or warrants are exchangeable may be sold by the corporation and the proceeds thereof distributed to the holders of scrip or warrants, or subject to any other conditions which the Board of Directors may impose.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jc w:val="both"/>
        <w:ind w:firstLine="8"/>
        <w:spacing w:after="0" w:line="258" w:lineRule="auto"/>
        <w:tabs>
          <w:tab w:leader="none" w:pos="21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STOCK TRANSFERS</w:t>
      </w:r>
      <w:r>
        <w:rPr>
          <w:rFonts w:ascii="Arial" w:cs="Arial" w:eastAsia="Arial" w:hAnsi="Arial"/>
          <w:sz w:val="18"/>
          <w:szCs w:val="18"/>
          <w:color w:val="auto"/>
        </w:rPr>
        <w:t>. Upon compliance with provisions restricting the transfer or registration of transfer of shares of stock, if any, transfers or</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of transfers of shares of stock of the corporation shall be made only on the stock ledger of the corporation by the registered holder thereof, or by his attorney thereunto authorized by power of attorney duly executed and filed with the Secretary of the corporation or with a transfer agent or a registrar, if any, and, in the case of shares represented by certificates, on surrender of the certificate or certificates for such shares of stock properly endorsed and the payment of all taxes due thereon.</w:t>
      </w:r>
    </w:p>
    <w:p>
      <w:pPr>
        <w:spacing w:after="0" w:line="183" w:lineRule="exact"/>
        <w:rPr>
          <w:rFonts w:ascii="Arial" w:cs="Arial" w:eastAsia="Arial" w:hAnsi="Arial"/>
          <w:sz w:val="18"/>
          <w:szCs w:val="18"/>
          <w:b w:val="1"/>
          <w:bCs w:val="1"/>
          <w:color w:val="auto"/>
        </w:rPr>
      </w:pPr>
    </w:p>
    <w:p>
      <w:pPr>
        <w:jc w:val="both"/>
        <w:ind w:firstLine="8"/>
        <w:spacing w:after="0" w:line="254" w:lineRule="auto"/>
        <w:tabs>
          <w:tab w:leader="none" w:pos="207"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 FOR STOCKHOLDERS</w:t>
      </w:r>
      <w:r>
        <w:rPr>
          <w:rFonts w:ascii="Arial" w:cs="Arial" w:eastAsia="Arial" w:hAnsi="Arial"/>
          <w:sz w:val="18"/>
          <w:szCs w:val="18"/>
          <w:color w:val="auto"/>
        </w:rPr>
        <w:t>. (a) For the purpose of determining the stockholders entitled to notice of or to vote at any meeting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or any adjournment thereof or entitled to receive payment of any dividend or other distribution or the allotment of any rights, or entitled to exercise any rights in respect of any change, conversion, or exchange of stock or for the purpose of any other lawful action, the directors may fix, in advance, a record date, which shall not be more than sixty days nor less than ten days before the date of such meeting, nor more than sixty days prior to any other action. If no record date is fixed,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the record date for determining stockholders for any other purpose shall be at the close of business on the day on which the Board of Directors adopts the resolution relating thereto. A determination of stockholders of record entitled to notice of or to vote at any meeting of stockholders shall apply to any adjournment of the meeting; provided, however, that the Board of Directors may fix a new record date for the adjourned meeting.</w:t>
      </w:r>
    </w:p>
    <w:p>
      <w:pPr>
        <w:spacing w:after="0" w:line="190" w:lineRule="exact"/>
        <w:rPr>
          <w:rFonts w:ascii="Arial" w:cs="Arial" w:eastAsia="Arial" w:hAnsi="Arial"/>
          <w:sz w:val="18"/>
          <w:szCs w:val="18"/>
          <w:b w:val="1"/>
          <w:bCs w:val="1"/>
          <w:color w:val="auto"/>
        </w:rPr>
      </w:pPr>
    </w:p>
    <w:p>
      <w:pPr>
        <w:jc w:val="both"/>
        <w:ind w:firstLine="656"/>
        <w:spacing w:after="0" w:line="253" w:lineRule="auto"/>
        <w:tabs>
          <w:tab w:leader="none" w:pos="928" w:val="left"/>
        </w:tabs>
        <w:numPr>
          <w:ilvl w:val="1"/>
          <w:numId w:val="55"/>
        </w:numPr>
        <w:rPr>
          <w:rFonts w:ascii="Arial" w:cs="Arial" w:eastAsia="Arial" w:hAnsi="Arial"/>
          <w:sz w:val="18"/>
          <w:szCs w:val="18"/>
          <w:color w:val="auto"/>
        </w:rPr>
      </w:pPr>
      <w:r>
        <w:rPr>
          <w:rFonts w:ascii="Arial" w:cs="Arial" w:eastAsia="Arial" w:hAnsi="Arial"/>
          <w:sz w:val="18"/>
          <w:szCs w:val="18"/>
          <w:color w:val="auto"/>
        </w:rPr>
        <w:t>(i) Notwithstanding Section 5(a) of Article I, the record date for determining stockholders entitled to express consent to corporate action in writing without a meeting shall be as fixed by the Board or as otherwise established under this Section 5(b) of Article I. Any person seeking to have the stockholders authorize or take corporate action by written consent without a meeting shall, by written notice addressed to the Secretary and delivered to the corporation, request that a record date be fixed for such purpose. The Board may fix a record date for such purpose which shall be no more than 10 days after the date upon which the resolution fixing the record date is adopted by the Board and shall not precede the date on which such resolution is adopted. If the Board fails within 10 days after the corporation receives such notice to fix a record date for such purpose, the record date shall be the day on which the first written consent is delivered to the corporation in the manner described in this Section 5(b) of Article I of these Bylaws unless prior action by the Board is required under the General Corporation Law, in which event the record date shall be at the close of business on the day on which the Board adopts the resolution taking such prior action.</w:t>
      </w:r>
    </w:p>
    <w:p>
      <w:pPr>
        <w:spacing w:after="0" w:line="197" w:lineRule="exact"/>
        <w:rPr>
          <w:sz w:val="20"/>
          <w:szCs w:val="20"/>
          <w:color w:val="auto"/>
        </w:rPr>
      </w:pPr>
    </w:p>
    <w:p>
      <w:pPr>
        <w:jc w:val="both"/>
        <w:ind w:firstLine="656"/>
        <w:spacing w:after="0" w:line="302" w:lineRule="auto"/>
        <w:tabs>
          <w:tab w:leader="none" w:pos="92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Every written consent purporting to take or authorizing the taking of corporate action and/or related revocations (each such written consent and related revocation is referred to in Section 5(b) of Article I as a “Consent”) shall bear the date of signature of each stockholder who signs the Consent, and no Consent shall be effective to take the corporate action referred to therein unless, within 60 days of the earliest dated Consent delivered in the manner required by Section 5(b) of Article I, Consents signed by a sufficient number of stockholders to take such action are so delivered to the corporation.</w:t>
      </w:r>
    </w:p>
    <w:p>
      <w:pPr>
        <w:spacing w:after="0" w:line="154" w:lineRule="exact"/>
        <w:rPr>
          <w:rFonts w:ascii="Arial" w:cs="Arial" w:eastAsia="Arial" w:hAnsi="Arial"/>
          <w:sz w:val="16"/>
          <w:szCs w:val="16"/>
          <w:color w:val="auto"/>
        </w:rPr>
      </w:pPr>
    </w:p>
    <w:p>
      <w:pPr>
        <w:jc w:val="both"/>
        <w:ind w:firstLine="1305"/>
        <w:spacing w:after="0" w:line="286" w:lineRule="auto"/>
        <w:tabs>
          <w:tab w:leader="none" w:pos="2044" w:val="left"/>
        </w:tabs>
        <w:numPr>
          <w:ilvl w:val="1"/>
          <w:numId w:val="56"/>
        </w:numPr>
        <w:rPr>
          <w:rFonts w:ascii="Arial" w:cs="Arial" w:eastAsia="Arial" w:hAnsi="Arial"/>
          <w:sz w:val="17"/>
          <w:szCs w:val="17"/>
          <w:color w:val="auto"/>
        </w:rPr>
      </w:pPr>
      <w:r>
        <w:rPr>
          <w:rFonts w:ascii="Arial" w:cs="Arial" w:eastAsia="Arial" w:hAnsi="Arial"/>
          <w:sz w:val="17"/>
          <w:szCs w:val="17"/>
          <w:color w:val="auto"/>
        </w:rPr>
        <w:t>A Consent shall be delivered to the corporation by delivery to its registered office in the State of Delaware, its principal place of business, or an officer or agent of the corporation having custody of the book in which proceedings of meetings of stockholders are recorded. Delivery to the corporation’s registered office shall be made by hand or by certified or registered mail, return receipt requested.</w:t>
      </w:r>
    </w:p>
    <w:p>
      <w:pPr>
        <w:spacing w:after="0" w:line="165" w:lineRule="exact"/>
        <w:rPr>
          <w:rFonts w:ascii="Arial" w:cs="Arial" w:eastAsia="Arial" w:hAnsi="Arial"/>
          <w:sz w:val="17"/>
          <w:szCs w:val="17"/>
          <w:color w:val="auto"/>
        </w:rPr>
      </w:pPr>
    </w:p>
    <w:p>
      <w:pPr>
        <w:jc w:val="both"/>
        <w:ind w:firstLine="1305"/>
        <w:spacing w:after="0" w:line="269" w:lineRule="auto"/>
        <w:tabs>
          <w:tab w:leader="none" w:pos="2046" w:val="left"/>
        </w:tabs>
        <w:numPr>
          <w:ilvl w:val="1"/>
          <w:numId w:val="56"/>
        </w:numPr>
        <w:rPr>
          <w:rFonts w:ascii="Arial" w:cs="Arial" w:eastAsia="Arial" w:hAnsi="Arial"/>
          <w:sz w:val="17"/>
          <w:szCs w:val="17"/>
          <w:color w:val="auto"/>
        </w:rPr>
      </w:pPr>
      <w:r>
        <w:rPr>
          <w:rFonts w:ascii="Arial" w:cs="Arial" w:eastAsia="Arial" w:hAnsi="Arial"/>
          <w:sz w:val="17"/>
          <w:szCs w:val="17"/>
          <w:color w:val="auto"/>
        </w:rPr>
        <w:t>In the event of the delivery to the corporation of a Consent, the Secretary shall provide for the safe-keeping of such Consent and shall promptly conduct such ministerial review of the sufficiency of the Consents and of the validity of the action to be taken by stockholder consent as he deems necessary or appropriate, including, without limitation, whether the holders of a number of shares having the requisite voting power to authorize or take the action specified in the Consent have given consent; provided, however, that if the corporate action to which the Consent relates is the removal or replacement of one or more members of the Board, the Secretary shall promptly designate two persons, who shall not be members of the Board, to serve as inspectors with respect to such Consent and such inspectors shall discharge the functions of the Secretary under Section 5(b) of Article I. If after such investigation the Secretary or the inspectors (as the case may be) shall determine that the Consent is valid and that the action therein specified has been validly authorized, that fact shall forthwith be certified on the records of the corporation kept for the purpose of recording the proceedings of meetings of stockholders, and the Consent shall be filed in such records, at which time the Consent shall become effective as stockholder action. In conducting the investigation required by Section 8(b) of Article I, the Secretary or the inspectors (as the case may be) may, at the expense of the corporation, retain special legal counsel and any other necessary or appropriate professional advisors, and such other personnel as they may deem necessary or appropriate to assist them, and shall be fully protected in relying in good faith upon the opinion of such counsel or advisors.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jc w:val="both"/>
        <w:spacing w:after="0" w:line="254" w:lineRule="auto"/>
        <w:rPr>
          <w:sz w:val="20"/>
          <w:szCs w:val="20"/>
          <w:color w:val="auto"/>
        </w:rPr>
      </w:pPr>
      <w:r>
        <w:rPr>
          <w:rFonts w:ascii="Arial" w:cs="Arial" w:eastAsia="Arial" w:hAnsi="Arial"/>
          <w:sz w:val="18"/>
          <w:szCs w:val="18"/>
          <w:color w:val="auto"/>
        </w:rPr>
        <w:t>6</w:t>
      </w:r>
      <w:r>
        <w:rPr>
          <w:rFonts w:ascii="Arial" w:cs="Arial" w:eastAsia="Arial" w:hAnsi="Arial"/>
          <w:sz w:val="18"/>
          <w:szCs w:val="18"/>
          <w:b w:val="1"/>
          <w:bCs w:val="1"/>
          <w:color w:val="auto"/>
        </w:rPr>
        <w:t>. MEANING OF CERTAIN TERMS.</w:t>
      </w:r>
      <w:r>
        <w:rPr>
          <w:rFonts w:ascii="Arial" w:cs="Arial" w:eastAsia="Arial" w:hAnsi="Arial"/>
          <w:sz w:val="18"/>
          <w:szCs w:val="18"/>
          <w:color w:val="auto"/>
        </w:rPr>
        <w:t xml:space="preserve"> As used herein in respect of the right to notice of a meeting of stockholders or a waiver thereof or to participate or vote thereat or to consent or dissent in writing in lieu of a meeting, as the case may be, the term "share" or "shares" or "share of stock" or "shares of stock" or "stockholder" or "stockholders" refers to an outstanding share or shares of stock and to a holder or holders of record of outstanding shares of stock when the corporation is authorized to issue only one class of shares of stock, and said reference is also intended to include any outstanding share or shares of stock and any holder or holders of record of outstanding shares of stock of any class upon which or upon whom the certificate of incorporation confers such rights where there are two or more classes or series of shares of stock or upon which or upon whom the General Corporation Law confers such rights notwithstanding that the certificate of incorporation may provide for more than one class or series of shares of stock, one or more of which are limited or denied such rights thereunder; provided however, that no such right shall vest in the event of an increase or a decrease in the authorized number of shares of stock of any class or series which is otherwise denied voting rights under the provisions of the certificate of incorporation except as any provision of law may otherwise require.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corporation shall be entitled to treat the holder of record of any share of its capital stock as the holder, in fact, and shall not be bound to recognize any equitable or other claim to or interest in such shares on the part of any other person, whether or not it shall have express or other notice thereof, except as otherwise expressly provided by the General Corporation Law or other applicable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 MEETINGS.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TIME. The annual meeting shall be held on the date and at the time fixed, from time to time, by the Board of Directors. Special meetings shall be held on the date and at the time fixed by the Board of Directors. Any previously scheduled annual meeting or special meeting may be postponed by action of the Board taken prior to the time previously scheduled for such meeting.</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PLACE. Annual meetings and special meetings shall be held at such place, within or without the State of Delaware, as the Board of Directors may, from time to time, fix.</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CALL. Annual meetings and special meetings may be called by a majority of the whole board (as defined in Section 1 of Article II) or by any officer instructed by a majority of the whole board to call the meeting.</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NOTICE OF MEETING: WAIVER OF NOTICE. (a) Written notice of all meetings shall be given stating the place, date, and hour of the meeting and stating the place within the city or other municipality or community at which the list of stockholders of the corporation may be examined. The notice of an annual meeting shall state that the meeting is called for the election of directors and for the transaction of other business which may properly come before the meeting, and shall, (if any other action which could be taken at a special meeting is to be taken at such annual meeting) state the purpose or purposes. The notice of a special meeting shall in all instances state the purpose or purposes for which the meeting is called. The notice of any meeting shall also include, or be accompanied by, any additional statements, information, or documents prescribed by the General Corporation Law. Except as otherwise provided by the General Corporation Law, a copy of the notice of any meeting shall be given, personally or by mail, not less than ten days nor more than sixty days before the date of the meeting, unless the lapse of the prescribed period of time shall have been waived, and directed to each stockholder at his record address or at such other address which he may have furnished by request in writing to the Secretary of the corporation. Notice by mail shall be deemed to be given when deposited, with postage thereon prepaid, in the United States Mail. If a meeting is adjourned to another time, not more than thirty days hence, and/or to another place, and if an announcement of the adjourned time and/or place is made at the meeting, it shall not be necessary to give notice of the adjourned meeting unless the directors, after adjournment, fix a new record date for the adjourned meeting. Notice need not be given to any stockholder who submits a written waiver of notice signed by him before or after the time stated therein. Attendance of a stockholder at a meeting of stockholders shall constitute a waiver of notice of such meeting, except when the stockholder attends the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3" w:right="239" w:bottom="1440" w:gutter="0" w:footer="0" w:header="0"/>
        </w:sectPr>
      </w:pPr>
    </w:p>
    <w:bookmarkStart w:id="83" w:name="page84"/>
    <w:bookmarkEnd w:id="83"/>
    <w:p>
      <w:pPr>
        <w:jc w:val="both"/>
        <w:ind w:firstLine="656"/>
        <w:spacing w:after="0" w:line="272" w:lineRule="auto"/>
        <w:tabs>
          <w:tab w:leader="none" w:pos="14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only business which shall be conducted at any meeting of the stockholders shall (i) have been specified in the written notice of the meeting (or any supplement thereto) given as provided in the preceding Section, (ii) be brought before the meeting at the direction of the Board of Directors or the chairman of the meeting or (iii) in the case of an annual meeting, have specified in a written notice (a "Stockholder Meeting Notice") given to the corporation, in accordance with all of the following requirements, by or on behalf of any stockholder who shall have been a stockholder of record on the record date for such meeting and who shall continue to be entitled to vote there at. Each Stockholder Meeting Notice must be delivered personally to, or be mailed to and received by, the Secretary of the corporation, at the principal executive offices of the corporation, not earlier than the close of business on the 120th calendar day, and not later than the close of business on the 90th calendar day, prior to the first anniversary of the immediately preceding year's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no annual meeting was held in the previous year or the annual meeting is called for a date that is more than 30 calendar days earlier or more than 60 calendar days later than such anniversary date, notice by the stockholder in order to be timely must be so delivered or received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prior to the date of such annual meeting and not later than the close</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prior to the date of such annual meeting or, if the first public disclosure of the date of such annual meeting is made or given to stockholders less than 100 calendar days prior to the date of such annual meeting, the 10th calendar day following the earlier of (i) the day on which such notice of the date of the meeting was mailed to stockholders or (ii) the day on which public disclosure of the date of such annual meeting is first made by the corporation. In no event shall any adjournment or postponement of an annual meeting or the public disclosure thereof commence a new time period (or extend any time period) for the giving of a stockholder’s notice as described above. Each Stockholder Meeting Notice shall set forth as to each matter the stockholder proposes to bring before the meeting: (i) a description of each item of business proposed to be brought before the meeting (including the text of the proposal or business and the text of any resolutions proposed for consideration and the reasons for conducting such business at the meeting; (ii) the name and record address, as they appear on the corporation's books, of the stockholder proposing to bring such item of business before the meeting and the name and address of all Stockholder Associated Persons (defined below), (iii) (A) the class and series and number of shares of each class and series of capital stock of the corporation which are, directly or indirectly, owned beneficially and/or of record by such stockholder or any Stockholder Associated Person, documentary evidence of such record or beneficial ownership, and the date or dates such shares were acquired and the investment intent at the time such shares were acquired, (B) any Derivative Instrument(defined below) directly or indirectly owned beneficially by such stockholder or any Stockholder Associated Person and any other direct or indirect right held by such stockholder or any Stockholder Associated Person to profit from, or share in any profit derived from, any increase or decrease in the value of shares of the corporation, (C) any proxy, contract, arrangement, understanding, or relationship pursuant to which such stockholder or any Stockholder Associated Person has a right to vote any securities of the corporation, (D) any Short Interest (defined below) indirectly or directly held by such stockholder or any Stockholder Associated Person in any security issued by the corporation, (E) any rights to dividends on the shares of the corporation owned beneficially by such stockholder or any Stockholder Associated Person that are separated or separable from the underlying securities of the corporation, (F) any proportionate interest in securities of the corporation or Derivative Instruments held, directly or indirectly, by a general or limited partnership in which such stockholder or any Stockholder Associated Person is a general partner or, directly or indirectly, beneficially owns an interest in a general partner, and (G) any performance-related fees (other than an asset-based fee) that such stockholder or any Stockholder Associated Person is entitled to based on any increase or decrease in the value of securities of the corporation or Derivative Instruments, if any, as of the date of such notice, including without limitation any such interests held by members of such stockholder’s or any Stockholder Associated Person’s immediate family sharing the same household (which information, in each case, shall be supplemented by such stockholder and any Stockholder Associated Person not later than ten (10) calendar days after the record date for the meeting to disclose such ownership as of the record date); (iv) a description of all arrangements or understandings between such stockholder and/or any Stockholder Associated Person and any other person or persons (naming such person or persons) in connection with the proposal of such business by such stockholder; (v) any material interest of such stockholder or any Stockholder Associated Person in such business, individually or in the aggregate, including any anticipated benefit to such stockholder or any Stockholder Associated Person therefrom; (vi) a representation from such stockholder as to whether the stockholder or any Stockholder Associated Person intends or is part of a group which intends (1) to deliver a proxy statement and/or form of proxy to holders of at least the percentage of the corporation’s outstanding capital stock required to approve or adopt the proposal and/or (2) otherwise to solicit proxies from stockholders in support of such proposal; (vii) a representation that such stockholder is a holder of record of stock of the corporation entitled to vote at such meeting, that such stockholder intends to vote such stock at such meeting, and that such stockholder intends to appear at the meeting in person or by proxy to bring such business before such meeting; (viii) whether and the extent to which any agreement, arrangement or understanding has been made, the effect or intent of which is to increase or decrease the voting power of such stockholder or any Stockholder Associated Person with respect to any securities of the corporation, without regard to whether such transaction is required to be reported on a Schedule 13D or other form in accordance with Section 13(d) of the Securities Exchange Act of 1934, as amended (the “Exchange Act”), or any successor provisions thereto and the rules and regulations promulgated thereunder; (ix) in the event that such business includes a proposal to amend these Bylaws, the complete text of the proposed amendment; and (x) such other information regarding each matter of business to be proposed by such stockholder, regarding the stockholder in his or her capacity as a proponent of a stockholder proposal, or regarding any Stockholder Associated Person, that would be required to be disclosed in a proxy statement or other filings required to be made with the Securities Exchange Commission (the “SEC”) in connection with the solicitations of proxies for such business pursuant to Section 14 of the Exchange Act (or pursuant to any law or statute replacing such section)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jc w:val="both"/>
        <w:ind w:firstLine="656"/>
        <w:spacing w:after="0" w:line="255" w:lineRule="auto"/>
        <w:tabs>
          <w:tab w:leader="none" w:pos="1424"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addition, to be timely, a Stockholder Meeting Notice shall further be updated and supplemented, if necessary, so that the information provided or required to be provided in such notice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any adjournment or postponement thereof in the case of the update and supplement required to be made as often business days prior to the meeting or any adjournment or postponement thereof.</w:t>
      </w:r>
    </w:p>
    <w:p>
      <w:pPr>
        <w:spacing w:after="0" w:line="189" w:lineRule="exact"/>
        <w:rPr>
          <w:rFonts w:ascii="Arial" w:cs="Arial" w:eastAsia="Arial" w:hAnsi="Arial"/>
          <w:sz w:val="18"/>
          <w:szCs w:val="18"/>
          <w:color w:val="auto"/>
        </w:rPr>
      </w:pPr>
    </w:p>
    <w:p>
      <w:pPr>
        <w:jc w:val="both"/>
        <w:ind w:firstLine="656"/>
        <w:spacing w:after="0" w:line="272" w:lineRule="auto"/>
        <w:tabs>
          <w:tab w:leader="none" w:pos="1448"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information submitted pursuant to Section 7(b) of Article I by any stockholder proposing business for consideration at an annual meeting shall be inaccurate to any material extent, such information may be deemed not to have been provided in accordance with this section. Upon written request by the Secretary, the Board or any committee thereof, any stockholder proposing business for consideration at an annual meeting shall provide, within seven business days of delivery of such request (or such other period as may be specified in such request), written verification, satisfactory in the discretion of the Board, any committee thereof or any authorized officer of the corporation, to demonstrate the accuracy of any information submitted by the stockholder pursuant to Section 7(b) of Article I. If a stockholder fails to provide such written verification within such period, the information as to which written verification was requested may be deemed not to have been provided in accordance with Section 7(b) of Article I.</w:t>
      </w:r>
    </w:p>
    <w:p>
      <w:pPr>
        <w:spacing w:after="0" w:line="177" w:lineRule="exact"/>
        <w:rPr>
          <w:rFonts w:ascii="Arial" w:cs="Arial" w:eastAsia="Arial" w:hAnsi="Arial"/>
          <w:sz w:val="17"/>
          <w:szCs w:val="17"/>
          <w:color w:val="auto"/>
        </w:rPr>
      </w:pPr>
    </w:p>
    <w:p>
      <w:pPr>
        <w:jc w:val="both"/>
        <w:ind w:firstLine="656"/>
        <w:spacing w:after="0" w:line="286" w:lineRule="auto"/>
        <w:tabs>
          <w:tab w:leader="none" w:pos="1331"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purposes of these Bylaws, “public disclosure” shall be deemed to include a disclosure made in a (A) press release reported by the Dow Jones News Service, Reuters Information Service, Associated Press or any comparable or successor national news wire service, or (B) in a document filed by the corporation with the SEC pursuant to Section 13, 14 or 15(d) of the Exchange Act or any successor provisions thereto.</w:t>
      </w:r>
    </w:p>
    <w:p>
      <w:pPr>
        <w:spacing w:after="0" w:line="165" w:lineRule="exact"/>
        <w:rPr>
          <w:rFonts w:ascii="Arial" w:cs="Arial" w:eastAsia="Arial" w:hAnsi="Arial"/>
          <w:sz w:val="17"/>
          <w:szCs w:val="17"/>
          <w:color w:val="auto"/>
        </w:rPr>
      </w:pPr>
    </w:p>
    <w:p>
      <w:pPr>
        <w:jc w:val="both"/>
        <w:ind w:firstLine="656"/>
        <w:spacing w:after="0" w:line="259" w:lineRule="auto"/>
        <w:tabs>
          <w:tab w:leader="none" w:pos="13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purposes of these Bylaws, “Derivative Instrument” means any option, warrant, convertible security, stock appreciation right, or similar right with an exercise or conversion privilege or a settlement payment or mechanism at a price related to any class or series of securities of the corporation or with a value derived in whole or in part from the value of any class or series of shares of the corporation, whether or not such instrument or right shall be subject to settlement in the underlying class or series of capital stock of the corporation.</w:t>
      </w:r>
    </w:p>
    <w:p>
      <w:pPr>
        <w:spacing w:after="0" w:line="186" w:lineRule="exact"/>
        <w:rPr>
          <w:rFonts w:ascii="Arial" w:cs="Arial" w:eastAsia="Arial" w:hAnsi="Arial"/>
          <w:sz w:val="18"/>
          <w:szCs w:val="18"/>
          <w:color w:val="auto"/>
        </w:rPr>
      </w:pPr>
    </w:p>
    <w:p>
      <w:pPr>
        <w:jc w:val="both"/>
        <w:ind w:right="20" w:firstLine="656"/>
        <w:spacing w:after="0" w:line="286" w:lineRule="auto"/>
        <w:tabs>
          <w:tab w:leader="none" w:pos="1387"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purposes of these Bylaws, a “Stockholder Associated Person” shall mean with respect to any stockholder (A) any person controlling, directly or indirectly, or acting in concert with, such stockholder, (B) any beneficial owner of securities of the corporation owned of record or beneficially by such stockholder, and (C) any person controlling, controlled by or under common control with such Stockholder Associated Person.</w:t>
      </w:r>
    </w:p>
    <w:p>
      <w:pPr>
        <w:spacing w:after="0" w:line="165" w:lineRule="exact"/>
        <w:rPr>
          <w:rFonts w:ascii="Arial" w:cs="Arial" w:eastAsia="Arial" w:hAnsi="Arial"/>
          <w:sz w:val="17"/>
          <w:szCs w:val="17"/>
          <w:color w:val="auto"/>
        </w:rPr>
      </w:pPr>
    </w:p>
    <w:p>
      <w:pPr>
        <w:jc w:val="both"/>
        <w:ind w:firstLine="656"/>
        <w:spacing w:after="0" w:line="272" w:lineRule="auto"/>
        <w:tabs>
          <w:tab w:leader="none" w:pos="13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Except as otherwise required by the General Corporation Law and other applicable law, the certificate of incorporation or these Bylaws, the Chairman of the Board or other person presiding at an annual meeting or special meeting in accordance with Section 7 of Article I shall have the power and duty (i) to determine whether any business proposed to be brought before the annual meeting was properly brought before the meeting in accordance with the procedures set forth in Section 7 of Article I of these Bylaws, including whether the stockholder or any Stockholder Associated Person on whose behalf the proposal is made, solicited (or is part of a group which solicited) or did not so solicit, as the case may be, proxies in support of such stockholder’s proposal in compliance with such stockholder’s representation as required by Section 7 of Article I, and (ii) if any proposed business was not brought in compliance with Section 7 of Article I to declare that such proposal is defective and shall be disregarded.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jc w:val="both"/>
        <w:ind w:firstLine="656"/>
        <w:spacing w:after="0" w:line="259" w:lineRule="auto"/>
        <w:tabs>
          <w:tab w:leader="none" w:pos="14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In addition to the provisions of Section 7 of Article I, a stockholder shall also comply with all applicable requirements of the General Corporation Law, other applicable law and the Exchange Act, and the rules and regulations thereunder, with respect to the matters set forth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references in these Bylaws to the Exchange Act or the rules promulgated thereunder are not intended to and shall not limit the requirements applicable to stockholder proposals to be considered pursuant to Section 7 of Article I.</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42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Section 7 of Article I shall be the exclusive means for a stockholder to make nominations or other business proposals (other than matters properly brought under Rule 14a-8 under the Exchange Act and included in the Corporation’s notice of meeting) before an annual meeting of stockholders. Nothing in Section 7 of Article I shall be deemed to affect any rights (i) of stockholders to request the inclusion of proposals in the corporation’s proxy statement pursuant to Rule 14a-8 under the Exchange Act, or (ii) of the holders of any series of preferred stock to elect directors pursuant to any applicable provision of the certificate of incorporation.</w:t>
      </w:r>
    </w:p>
    <w:p>
      <w:pPr>
        <w:spacing w:after="0" w:line="188" w:lineRule="exact"/>
        <w:rPr>
          <w:rFonts w:ascii="Arial" w:cs="Arial" w:eastAsia="Arial" w:hAnsi="Arial"/>
          <w:sz w:val="18"/>
          <w:szCs w:val="18"/>
          <w:color w:val="auto"/>
        </w:rPr>
      </w:pPr>
    </w:p>
    <w:p>
      <w:pPr>
        <w:ind w:firstLine="656"/>
        <w:spacing w:after="0" w:line="342" w:lineRule="auto"/>
        <w:tabs>
          <w:tab w:leader="none" w:pos="1312"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Notwithstanding anything in Section 7 of Article I to the contrary, a stockholder intending to nominate one or more persons for election as a director at any meeting of stockholders must comply with Section 5 of Article II for any such nomination to be properly brought before such meeting.</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34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proposal by a stockholder which has not previously received the approval of the Board of Directors shall require for its adoption the affirmative vote of holders of more than fifty percent (50%) of the votes which all stockholders are entitled to cast thereon, in addition to any other approval which is required by law, the certificate of incorporation, these By-laws or otherwise.</w:t>
      </w:r>
    </w:p>
    <w:p>
      <w:pPr>
        <w:spacing w:after="0" w:line="181" w:lineRule="exact"/>
        <w:rPr>
          <w:rFonts w:ascii="Arial" w:cs="Arial" w:eastAsia="Arial" w:hAnsi="Arial"/>
          <w:sz w:val="18"/>
          <w:szCs w:val="18"/>
          <w:color w:val="auto"/>
        </w:rPr>
      </w:pPr>
    </w:p>
    <w:p>
      <w:pPr>
        <w:ind w:firstLine="656"/>
        <w:spacing w:after="0" w:line="277" w:lineRule="auto"/>
        <w:tabs>
          <w:tab w:leader="none" w:pos="13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business shall be conducted at any meeting of the stockholders except in accordance with the procedures set forth in these By-laws.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STOCKHOLDER LIST. The officer who has charge of the stock ledger of the corporation shall prepare and make, at least ten days before every meeting of stockholders, a complete list of the stockholders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or other municipality or community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at any meeting of stockholders.</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CONDUCT OF MEETING. Meetings of the stockholders shall be presided over by one of the following officers in the order of seniority and if present and acting, the Chairman of the Board, if any, the Vice Chairman of the Board, if any, the President, a Vice-President or, if none of the foregoing is in office and present and acting, by a chairman to be designated by the Board. The Secretary of the corporation, or in his absence, an Assistant Secretary, shall act as secretary of every meeting, but if neither the Secretary nor an Assistant Secretary is present the Chairman of the meeting shall appoint a secretary of the meeting. In the event that the Secretary presides at a meeting of the stockholders, an Assistant Secretary shall record the minutes of the meeting. To the maximum extent permitted by law, the Board shall be entitled to make such rules or regulations for the conduct of meetings of stockholders as it shall deem necessary, appropriate or convenient. Subject to such rules and regulations of the Board, if any, the chairman of the meeting shall have the right and authority to prescribe such rules, regulations and procedures and take such action as, in the discretion of such chairman, are deemed necessary, appropriate or convenient for the proper conduct of the meeting. Such rules, regulations and procedures, whether adopted by the Board or prescribed by the chairman of the meeting, may include, without limitation, the following: (i) establishing an agenda for the meeting and the order for the consideration of the items of business on such agenda; (ii) restricting admission to the time set for the commencement of the meeting; (iii) limiting attendance at the meeting to stockholders of record of the corporation entitled to vote at the meeting, their duly authorized proxies or other such persons as the chairman of the meeting may determine;</w:t>
      </w:r>
    </w:p>
    <w:p>
      <w:pPr>
        <w:spacing w:after="0" w:line="4" w:lineRule="exact"/>
        <w:rPr>
          <w:sz w:val="20"/>
          <w:szCs w:val="20"/>
          <w:color w:val="auto"/>
        </w:rPr>
      </w:pPr>
    </w:p>
    <w:p>
      <w:pPr>
        <w:jc w:val="both"/>
        <w:ind w:firstLine="8"/>
        <w:spacing w:after="0" w:line="251" w:lineRule="auto"/>
        <w:tabs>
          <w:tab w:leader="none" w:pos="3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limiting participation at the meeting on any matter to stockholders of record of the corporation entitled to vote on such matter, their duly authorized proxies or other such persons as the chairman of the meeting may determine to recognize and, as a condition to recognizing any such participant, requiring such participant to provide the chairman of the meeting with evidence of his or her name and affiliation, whether he or she is a stockholder or a proxy for a stockholder, and the class and series and number of shares of each class and series of capital stock of the corporation which are owned beneficially and/or of record by such stockholder; (v) limiting the time allotted to questions or comments by participants; (vi) determining when the polls should be opened and closed for voting; (vii) taking such actions as are necessary or appropriate to maintain order, decorum, safety and security at the meeting; (viii) removing any stockholder who refuses to comply with meeting procedures, rules or guidelines as established by the chairman of the meeting; (ix) adjourning the meeting to a later date, time and place announced at the meeting by the chairman; and (x) complying with any state and local laws and regulations concerning safety and security.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jc w:val="both"/>
        <w:spacing w:after="0" w:line="255" w:lineRule="auto"/>
        <w:rPr>
          <w:sz w:val="20"/>
          <w:szCs w:val="20"/>
          <w:color w:val="auto"/>
        </w:rPr>
      </w:pPr>
      <w:r>
        <w:rPr>
          <w:rFonts w:ascii="Arial" w:cs="Arial" w:eastAsia="Arial" w:hAnsi="Arial"/>
          <w:sz w:val="18"/>
          <w:szCs w:val="18"/>
          <w:color w:val="auto"/>
        </w:rPr>
        <w:t>PROXY REPRESENTATION. Every stockholder may authorize another person or persons to act for him by proxy in all matters in which a stockholder is entitled to participate whether by waiving notice of any meeting, voting or participating at a meeting, or expressing consent or dissent without a meeting. Every proxy must be signed by the stockholder or by his attorney-in-fact. No proxy shall be voted or acted upon after three years from its date unless such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93" w:lineRule="exact"/>
        <w:rPr>
          <w:sz w:val="20"/>
          <w:szCs w:val="20"/>
          <w:color w:val="auto"/>
        </w:rPr>
      </w:pPr>
    </w:p>
    <w:p>
      <w:pPr>
        <w:jc w:val="both"/>
        <w:ind w:firstLine="46"/>
        <w:spacing w:after="0" w:line="270" w:lineRule="auto"/>
        <w:rPr>
          <w:sz w:val="20"/>
          <w:szCs w:val="20"/>
          <w:color w:val="auto"/>
        </w:rPr>
      </w:pPr>
      <w:r>
        <w:rPr>
          <w:rFonts w:ascii="Arial" w:cs="Arial" w:eastAsia="Arial" w:hAnsi="Arial"/>
          <w:sz w:val="17"/>
          <w:szCs w:val="17"/>
          <w:color w:val="auto"/>
        </w:rPr>
        <w:t>INSPECTORS. The directors, in advance of any meeting, shall appoint one or more inspectors of election to act at the meeting or any adjournment thereof. If an inspector or inspectors are not appointed, the person presiding at the meeting shall appoint one or more inspectors. In case any person who may be appointed as an inspector fails to appear or act, the vacancy shall be filled by appointment made by the directors in advance of the meeting or at the meeting by the person presiding thereat. Each inspector, before entering upon the discharge of his duties, shall take and sign an oath faithfully to execute the duties of inspector at such meeting with strict impartiality and according to the best of his ability. The inspectors, shall determine the number of shares of stock outstanding and the voting power of each, the shares of stock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 and do such acts as are proper to conduct the election or vote with fairness to all stockholders. On request of the person presiding at the meeting, the inspector or inspectors, shall make a report in writing of any challenge, question or matter determined by him or them and execute a certificate of any fact found by him or them.</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QUORUM. The holders of a majority of the outstanding shares of stock present at a meeting of stockholders shall constitute a quorum at a meeting of stockholders for the transaction of any business. The stockholders present may adjourn the meeting despite the absence of a quorum.</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VOTING. Each share of stock shall entitle the holder thereof to one vote. The election of directors and any other action, shall be authorized by a majority of the votes cast except where the General Corporation Law prescribes a different percentage of votes and/or a different exercise of voting power, and except as may be otherwise prescribed by the provisions of the certificate of incorporation and these By-laws. In the election of directors, and for any other action, voting need not be by ballot.</w:t>
      </w:r>
    </w:p>
    <w:p>
      <w:pPr>
        <w:spacing w:after="0" w:line="183" w:lineRule="exact"/>
        <w:rPr>
          <w:sz w:val="20"/>
          <w:szCs w:val="20"/>
          <w:color w:val="auto"/>
        </w:rPr>
      </w:pPr>
    </w:p>
    <w:p>
      <w:pPr>
        <w:jc w:val="both"/>
        <w:ind w:firstLine="8"/>
        <w:spacing w:after="0" w:line="292" w:lineRule="auto"/>
        <w:tabs>
          <w:tab w:leader="none" w:pos="21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 ACTION WITHOUT MEETINGS</w:t>
      </w:r>
      <w:r>
        <w:rPr>
          <w:rFonts w:ascii="Arial" w:cs="Arial" w:eastAsia="Arial" w:hAnsi="Arial"/>
          <w:sz w:val="16"/>
          <w:szCs w:val="16"/>
          <w:color w:val="auto"/>
        </w:rPr>
        <w:t>. Any action required by the General Corporation Law to be taken at any annual or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of stockholders, or any action which may be taken at any annual or special meeting of stockholders, may be taken without a meeting, in accordance with Section 5 of Article I,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jc w:val="both"/>
        <w:ind w:firstLine="8"/>
        <w:spacing w:after="0" w:line="289" w:lineRule="auto"/>
        <w:tabs>
          <w:tab w:leader="none" w:pos="207"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ADJOURNMENT. </w:t>
      </w:r>
      <w:r>
        <w:rPr>
          <w:rFonts w:ascii="Arial" w:cs="Arial" w:eastAsia="Arial" w:hAnsi="Arial"/>
          <w:sz w:val="17"/>
          <w:szCs w:val="17"/>
          <w:color w:val="auto"/>
        </w:rPr>
        <w:t>At any meeting of the stockholders of the corporation, whether annual or special, the chairman of the meeting may adjourn the</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from time to time, without notice other than announcement at the meeting, whether or not a quorum is present. At any such adjourned meeting at which a quorum may be present, any business may be transacted which might have been transacted at the meeting as originally called.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5" w:lineRule="exact"/>
        <w:rPr>
          <w:sz w:val="20"/>
          <w:szCs w:val="20"/>
          <w:color w:val="auto"/>
        </w:rPr>
      </w:pPr>
    </w:p>
    <w:p>
      <w:pPr>
        <w:jc w:val="both"/>
        <w:ind w:firstLine="8"/>
        <w:spacing w:after="0" w:line="266" w:lineRule="auto"/>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FUNCTIONS AND DEFINITION</w:t>
      </w:r>
      <w:r>
        <w:rPr>
          <w:rFonts w:ascii="Arial" w:cs="Arial" w:eastAsia="Arial" w:hAnsi="Arial"/>
          <w:sz w:val="18"/>
          <w:szCs w:val="18"/>
          <w:color w:val="auto"/>
        </w:rPr>
        <w:t>. The business and affairs of the corporation shall be managed by or under the direction of the Board of Directors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The Board of Directors shall have the authority to fix the compensation of the members thereof. The use of the phrase "whole board" herein refers to the total number of directors which the corporation would have if there were no vacancies.</w:t>
      </w:r>
    </w:p>
    <w:p>
      <w:pPr>
        <w:spacing w:after="0" w:line="176" w:lineRule="exact"/>
        <w:rPr>
          <w:rFonts w:ascii="Arial" w:cs="Arial" w:eastAsia="Arial" w:hAnsi="Arial"/>
          <w:sz w:val="18"/>
          <w:szCs w:val="18"/>
          <w:b w:val="1"/>
          <w:bCs w:val="1"/>
          <w:color w:val="auto"/>
        </w:rPr>
      </w:pPr>
    </w:p>
    <w:p>
      <w:pPr>
        <w:ind w:right="20" w:firstLine="8"/>
        <w:spacing w:after="0" w:line="347" w:lineRule="auto"/>
        <w:tabs>
          <w:tab w:leader="none" w:pos="194"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QUALIFICATIONS AND NUMBER</w:t>
      </w:r>
      <w:r>
        <w:rPr>
          <w:rFonts w:ascii="Arial" w:cs="Arial" w:eastAsia="Arial" w:hAnsi="Arial"/>
          <w:sz w:val="16"/>
          <w:szCs w:val="16"/>
          <w:color w:val="auto"/>
        </w:rPr>
        <w:t>. A director need not be a stockholder, a citizen of the United States, or a resident of the State of Delaware.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directors comprising the Board of Directors shall be such number as may from time to time fixed by resolution adopted by the Board of Directors.</w:t>
      </w:r>
    </w:p>
    <w:p>
      <w:pPr>
        <w:spacing w:after="0" w:line="116" w:lineRule="exact"/>
        <w:rPr>
          <w:rFonts w:ascii="Arial" w:cs="Arial" w:eastAsia="Arial" w:hAnsi="Arial"/>
          <w:sz w:val="16"/>
          <w:szCs w:val="16"/>
          <w:b w:val="1"/>
          <w:bCs w:val="1"/>
          <w:color w:val="auto"/>
        </w:rPr>
      </w:pPr>
    </w:p>
    <w:p>
      <w:pPr>
        <w:jc w:val="both"/>
        <w:ind w:firstLine="8"/>
        <w:spacing w:after="0" w:line="272" w:lineRule="auto"/>
        <w:tabs>
          <w:tab w:leader="none" w:pos="194"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AND TERM. </w:t>
      </w:r>
      <w:r>
        <w:rPr>
          <w:rFonts w:ascii="Arial" w:cs="Arial" w:eastAsia="Arial" w:hAnsi="Arial"/>
          <w:sz w:val="17"/>
          <w:szCs w:val="17"/>
          <w:color w:val="auto"/>
        </w:rPr>
        <w:t>Each director who is elected at an annual meeting of stockholders, and each director who is elected in the interim to fill a</w:t>
      </w:r>
      <w:r>
        <w:rPr>
          <w:rFonts w:ascii="Arial" w:cs="Arial" w:eastAsia="Arial" w:hAnsi="Arial"/>
          <w:sz w:val="17"/>
          <w:szCs w:val="17"/>
          <w:b w:val="1"/>
          <w:bCs w:val="1"/>
          <w:color w:val="auto"/>
        </w:rPr>
        <w:t xml:space="preserve"> </w:t>
      </w:r>
      <w:r>
        <w:rPr>
          <w:rFonts w:ascii="Arial" w:cs="Arial" w:eastAsia="Arial" w:hAnsi="Arial"/>
          <w:sz w:val="17"/>
          <w:szCs w:val="17"/>
          <w:color w:val="auto"/>
        </w:rPr>
        <w:t>vacancy and newly created directorships, shall hold office until the next annual meeting of stockholders for the year in which such director’s term expires and until his or her successor is elected and qualified or until his or her earlier resignation or removal. In the interim between annual meetings of stockholders or of special meetings of stockholders called for the election of directors and/or for the removal of one or more directors and for the filling of any vacancy in that connection, newly created directorships and any vacancies in the Board of Directors, including unfilled vacancies resulting from the removal of directors for cause or without cause, resignation, death, disqualification or other causes shall be filled for the remainder of the full term of the directors in which the new directorship is created or the vacancy occurred and until their successors are elected and qualified or until their earlier removal, only by the vote of a majority of the remaining directors then in office, although less than a quorum, or by the sole remaining director.</w:t>
      </w:r>
    </w:p>
    <w:p>
      <w:pPr>
        <w:spacing w:after="0" w:line="172" w:lineRule="exact"/>
        <w:rPr>
          <w:rFonts w:ascii="Arial" w:cs="Arial" w:eastAsia="Arial" w:hAnsi="Arial"/>
          <w:sz w:val="17"/>
          <w:szCs w:val="17"/>
          <w:b w:val="1"/>
          <w:bCs w:val="1"/>
          <w:color w:val="auto"/>
        </w:rPr>
      </w:pPr>
    </w:p>
    <w:p>
      <w:pPr>
        <w:ind w:left="180" w:hanging="172"/>
        <w:spacing w:after="0"/>
        <w:tabs>
          <w:tab w:leader="none" w:pos="1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MEETINGS.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TIME. Meetings shall be held at such time as the Board shall fix, except that the first meeting of a newly elected Board shall be held as soon after its election as the directors may conveniently assemble.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PLACE. Meetings shall be held at such place within or without the State of Delaware as shall be fixed by the Board.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CALL. No call shall be required for regular meetings for which the time and place have been fixed. Special meetings may be called by or at the direction of the Chairman of the Board, if any, the Vice-Chairman of the Board, if any, or the Chief Executive Officer, if any, or of a majority of the directors in office.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NOTICE OR ACTUAL OR CONSTRUCTIVE WAIVER. No notice shall be required for regular meetings for which the time and place have been fixed. Written, oral, or any other mode of notice of the time and place shall be given for special meetings in sufficient time for the convenient assembly of the directors thereat. Notice need not be given to any director or to any member of a committee of directors who submits a written waiver of notice signed by him before or after the time stated therein. Attendance of any such person at a meeting shall constitute a waiver of notice of such meeting, except when he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need be specified in any written waiver of notice.</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QUORUM AND ACTION. A majority of the whole board shall constitute a quorum except when a vacancy or vacancies prevents such majority, whereupon a majority of the directors in office shall constitute a quorum, provided, that such majority shall constitute at least one-third of the whole board. A majority of the directors present, whether or not a quorum is present, may adjourn a meeting to another time and place. Except as herein otherwise provided, and except as otherwise provided by the General Corporation Law, the vote of the majority of the directors present at a meeting at which a quorum is present shall be the act of the Board. The quorum and voting provisions herein stated shall not be construed as conflicting with any provisions of the General Corporation Law and these By-laws which govern a meeting of directors held to fill vacancies and newly created directorships in the Board or action of disinterested directors.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jc w:val="both"/>
        <w:spacing w:after="0" w:line="264" w:lineRule="auto"/>
        <w:rPr>
          <w:sz w:val="20"/>
          <w:szCs w:val="20"/>
          <w:color w:val="auto"/>
        </w:rPr>
      </w:pPr>
      <w:r>
        <w:rPr>
          <w:rFonts w:ascii="Arial" w:cs="Arial" w:eastAsia="Arial" w:hAnsi="Arial"/>
          <w:sz w:val="18"/>
          <w:szCs w:val="18"/>
          <w:color w:val="auto"/>
        </w:rPr>
        <w:t>Any member or members of the Board of Directors or of any committee designated by the Board, may participate in a meeting of the Board, or any such committee, as the case may be, by means of conference telephone or similar communications equipment by means of which all persons participating in the meeting can hear each other.</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CHAIRMAN OF THE MEETING. The Chairman of the Board, if any and if present and acting, shall preside at all meetings. Otherwise, the Vice-Chairman of the Board, if any and if present and acting, or the Chief Executive Officer, if any, if present and acting, or any other director chosen by the Board, shall preside.</w:t>
      </w:r>
    </w:p>
    <w:p>
      <w:pPr>
        <w:spacing w:after="0" w:line="177"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NOMINATIONS FOR DIRECTORS.</w:t>
      </w:r>
    </w:p>
    <w:p>
      <w:pPr>
        <w:spacing w:after="0" w:line="229" w:lineRule="exact"/>
        <w:rPr>
          <w:rFonts w:ascii="Arial" w:cs="Arial" w:eastAsia="Arial" w:hAnsi="Arial"/>
          <w:sz w:val="18"/>
          <w:szCs w:val="18"/>
          <w:b w:val="1"/>
          <w:bCs w:val="1"/>
          <w:color w:val="auto"/>
        </w:rPr>
      </w:pPr>
    </w:p>
    <w:p>
      <w:pPr>
        <w:ind w:left="1260" w:hanging="604"/>
        <w:spacing w:after="0"/>
        <w:tabs>
          <w:tab w:leader="none" w:pos="126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224"/>
        <w:spacing w:after="0" w:line="255" w:lineRule="auto"/>
        <w:tabs>
          <w:tab w:leader="none" w:pos="1596" w:val="left"/>
        </w:tabs>
        <w:numPr>
          <w:ilvl w:val="2"/>
          <w:numId w:val="64"/>
        </w:numPr>
        <w:rPr>
          <w:rFonts w:ascii="Arial" w:cs="Arial" w:eastAsia="Arial" w:hAnsi="Arial"/>
          <w:sz w:val="18"/>
          <w:szCs w:val="18"/>
          <w:color w:val="auto"/>
        </w:rPr>
      </w:pPr>
      <w:r>
        <w:rPr>
          <w:rFonts w:ascii="Arial" w:cs="Arial" w:eastAsia="Arial" w:hAnsi="Arial"/>
          <w:sz w:val="18"/>
          <w:szCs w:val="18"/>
          <w:color w:val="auto"/>
        </w:rPr>
        <w:t>Nominations of persons for election to the Board at an annual meeting of stockholders may be made (A) by or at the direction of the Board or a committee appointed by the Board, or (B) by any stockholder of the Corporation (i) who is a stockholder of record on the date of the giving of the notice provided for in this Section 5(a) of Article II, on the record date for the determination of the stockholders entitled to vote at such annual meeting of stockholders and at the time of such annual meeting of stockholders, (ii) who is entitled to vote at the annual meeting of stockholders, and (iii) who complies with the notice procedures set forth in Section 5(a) of Article II as to such nominations, including, but not limited to, the procedures regarding such notice’s timeliness and required form.</w:t>
      </w:r>
    </w:p>
    <w:p>
      <w:pPr>
        <w:spacing w:after="0" w:line="193" w:lineRule="exact"/>
        <w:rPr>
          <w:rFonts w:ascii="Arial" w:cs="Arial" w:eastAsia="Arial" w:hAnsi="Arial"/>
          <w:sz w:val="18"/>
          <w:szCs w:val="18"/>
          <w:color w:val="auto"/>
        </w:rPr>
      </w:pPr>
    </w:p>
    <w:p>
      <w:pPr>
        <w:jc w:val="both"/>
        <w:ind w:firstLine="1224"/>
        <w:spacing w:after="0" w:line="268" w:lineRule="auto"/>
        <w:tabs>
          <w:tab w:leader="none" w:pos="1470" w:val="left"/>
        </w:tabs>
        <w:numPr>
          <w:ilvl w:val="2"/>
          <w:numId w:val="64"/>
        </w:numPr>
        <w:rPr>
          <w:rFonts w:ascii="Arial" w:cs="Arial" w:eastAsia="Arial" w:hAnsi="Arial"/>
          <w:sz w:val="16"/>
          <w:szCs w:val="16"/>
          <w:color w:val="auto"/>
        </w:rPr>
      </w:pPr>
      <w:r>
        <w:rPr>
          <w:rFonts w:ascii="Arial" w:cs="Arial" w:eastAsia="Arial" w:hAnsi="Arial"/>
          <w:sz w:val="16"/>
          <w:szCs w:val="16"/>
          <w:color w:val="auto"/>
        </w:rPr>
        <w:t>For a stockholder’s notice of nomination of persons for election to the Board at an annual meeting of stockholders to be brought before an annual meeting by a stockholder pursuant to Section5(a)(1)(B) of Article II, the stockholder must have given timely notice thereof, in proper written form, to the Secretary. To be considered timely, a stockholder’s notice of nomination must be delivered to, or mailed and received by, the Secretary at the principal executive offices of the corporation not earlier than the close of business on the 120th calendar day, and not later than the close of business on the 90th calendar day, prior to the first anniversary of the immediately preceding year's annual meeting; provided, however, that in the event that no annual meeting was held in the previous year or the annual meeting is called for a date that is more than 30 calendar days earlier or more than 60 calendar days later than such anniversary date, notice by the stockholder in order to be timely must be so delivered or received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day prior to the date of such annual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prior to the date of such annual meeting or, if the first public disclosure of the date of such annual meeting is made or given to stockholders less than 100 calendar days prior to the date of such annual meeting, the 10th calendar day following the earlier of (i) the day on which such notice of the date of the meeting was mailed to stockholders or</w:t>
      </w:r>
    </w:p>
    <w:p>
      <w:pPr>
        <w:spacing w:after="0" w:line="1" w:lineRule="exact"/>
        <w:rPr>
          <w:sz w:val="20"/>
          <w:szCs w:val="20"/>
          <w:color w:val="auto"/>
        </w:rPr>
      </w:pPr>
    </w:p>
    <w:p>
      <w:pPr>
        <w:jc w:val="both"/>
        <w:ind w:right="20" w:firstLine="8"/>
        <w:spacing w:after="0" w:line="255" w:lineRule="auto"/>
        <w:tabs>
          <w:tab w:leader="none" w:pos="3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day on which public disclosure of the date of such annual meeting is first made by the Corporation. In no event shall any adjournment or postponement of an annual meeting or the public disclosure thereof commence a new time period (or extend any time period) for the giving of a stockholder’s notice as described above.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jc w:val="both"/>
        <w:spacing w:after="0" w:line="282" w:lineRule="auto"/>
        <w:rPr>
          <w:sz w:val="20"/>
          <w:szCs w:val="20"/>
          <w:color w:val="auto"/>
        </w:rPr>
      </w:pPr>
      <w:r>
        <w:rPr>
          <w:rFonts w:ascii="Arial" w:cs="Arial" w:eastAsia="Arial" w:hAnsi="Arial"/>
          <w:sz w:val="16"/>
          <w:szCs w:val="16"/>
          <w:color w:val="auto"/>
        </w:rPr>
        <w:t>To be in proper written form, a stockholder's notice of nomination to the Secretary (whether given pursuant to Section 5(a) of Article II or Section 5(b) of Article II) shall set forth in writing the following: (a) as to each person whom the stockholder proposes to nominate for election or reelection as a director (i) the name, age, business address and residence address of such person; (ii) the principal occupation and employment of such person; (iii) the class and series and number of shares of each class and series of capital stock of the corporation which are owned beneficially or of record by such person (which information shall be supplemented not later than ten calendar days after the record date for the meeting to disclose such ownership as of the record date); (iv) such person’s executed written consent to being named in the proxy statement as a nominee and to serving as a director if elected; (v) all information relating to such person that would be required to be disclosed in a proxy statement or other filings required to be made with the SEC in connection with the solicitation of proxies for the election of directors in a contested election pursuant to Section 14 of the Exchange Act (or pursuant to any law or statute replacing such section), and the rules and regulations promulgated thereunder; (vi) a description of all direct and indirect compensation and other material monetary agreements, arrangements and understandings during the past three years, and any other material relationships, between or among such person being nominated, on the one hand, and the stockholder and any Stockholder Associated Person, on the other hand, including, without limitation all information that would be required to be disclosed pursuant to Item 404 promulgated under Regulation S-K of the Exchange Act if the stockholder making the nomination and any Stockholder Associated Person were the “registrant” for purposes of such rule and the person being nominated were a director or executive officer of such registrant; and (vii) the information and agreement required under Section 16 of these Bylaws; and (b) as to the stockholder giving the notice (i) the name and record address of such stockholder, as they appear on the corporation's stock ledger, and the name and address of any Stockholder Associated Person; (ii) (A) the class and series and number of shares of each class and series of capital stock of the corporation which are, directly or indirectly, owned beneficially and/or of record by such stockholder or any Stockholder Associated Person, documentary evidence of such record or beneficial ownership, and the date or dates such shares were acquired and the investment intent at the time such shares were acquired, (B) any Derivative Instrument directly or indirectly owned beneficially by such stockholder or any Stockholder Associated Person and any other direct or indirect right held by such stockholder or any Stockholder Associated Person to profit from, or share in any profit derived from, any increase or decrease in the value of shares of the corporation, (C) any proxy, contract, arrangement, understanding, or relationship pursuant to which such stockholder or any Stockholder Associated Person has a right to vote any shares of any security of the corporation, (D) any Short Interest indirectly or directly held by such stockholder or any Stockholder Associated Person in any security issued by the corporation, (E) any rights to dividends on the shares of the Corporation owned beneficially by such stockholder or any Stockholder Associated Person that are separated or separable from the underlying shares of the corporation, (F)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and (G) any performance-related fees (other than an asset-based fee) that such stockholder or any Stockholder Associated Person is entitled to based on any increase or decrease in the value of shares of the corporation or Derivative Instruments, if any, as of the date of such notice, including without limitation any such interests held by members of such stockholder’s or any Stockholder Associated Person’s immediate family sharing the same household (which information shall, in each case, be supplemented by such stockholder and any Stockholder Associated Person not later than 10 calendar days after the record date for the meeting to disclose such ownership as of the record date);</w:t>
      </w:r>
    </w:p>
    <w:p>
      <w:pPr>
        <w:spacing w:after="0" w:line="11" w:lineRule="exact"/>
        <w:rPr>
          <w:sz w:val="20"/>
          <w:szCs w:val="20"/>
          <w:color w:val="auto"/>
        </w:rPr>
      </w:pPr>
    </w:p>
    <w:p>
      <w:pPr>
        <w:jc w:val="both"/>
        <w:ind w:firstLine="8"/>
        <w:spacing w:after="0" w:line="281" w:lineRule="auto"/>
        <w:tabs>
          <w:tab w:leader="none" w:pos="318" w:val="left"/>
        </w:tabs>
        <w:numPr>
          <w:ilvl w:val="0"/>
          <w:numId w:val="66"/>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such stockholder or any Stockholder Associated Person and each proposed nominee and any other person or persons (naming such person or persons) pursuant to which the nomination(s) are to be made by such stockholder; (iv) any material interest of such stockholder or any Stockholder Associated Person in the election of such proposed nominee, individually or in the aggregate, including any anticipated benefit to the stockholder or any Stockholder Associated Person therefrom; (v) a representation that such stockholder is a holder of record of stock of the corporation entitled to vote at such meeting and that such stockholder intends to appear in person or by proxy at the meeting to nominate the person or persons named in its notice; (vi) a representation from the stockholder as to whether the stockholder or any Stockholder Associated Person intends or is part of a group which intends (A) to deliver a proxy statement and/or form of proxy to holders of at least the percentage of the corporation’s outstanding capital stock required to elect the person proposed as a nominee and/or (B) otherwise to solicit proxies from stockholders in support of the election of such person;</w:t>
      </w:r>
    </w:p>
    <w:p>
      <w:pPr>
        <w:spacing w:after="0" w:line="5" w:lineRule="exact"/>
        <w:rPr>
          <w:rFonts w:ascii="Arial" w:cs="Arial" w:eastAsia="Arial" w:hAnsi="Arial"/>
          <w:sz w:val="16"/>
          <w:szCs w:val="16"/>
          <w:color w:val="auto"/>
        </w:rPr>
      </w:pPr>
    </w:p>
    <w:p>
      <w:pPr>
        <w:jc w:val="both"/>
        <w:ind w:firstLine="8"/>
        <w:spacing w:after="0" w:line="268" w:lineRule="auto"/>
        <w:tabs>
          <w:tab w:leader="none" w:pos="359" w:val="left"/>
        </w:tabs>
        <w:numPr>
          <w:ilvl w:val="0"/>
          <w:numId w:val="67"/>
        </w:numPr>
        <w:rPr>
          <w:rFonts w:ascii="Arial" w:cs="Arial" w:eastAsia="Arial" w:hAnsi="Arial"/>
          <w:sz w:val="17"/>
          <w:szCs w:val="17"/>
          <w:color w:val="auto"/>
        </w:rPr>
      </w:pPr>
      <w:r>
        <w:rPr>
          <w:rFonts w:ascii="Arial" w:cs="Arial" w:eastAsia="Arial" w:hAnsi="Arial"/>
          <w:sz w:val="17"/>
          <w:szCs w:val="17"/>
          <w:color w:val="auto"/>
        </w:rPr>
        <w:t>whether and the extent to which any agreement, arrangement or understanding has been made, the effect or intent of which is to increase or decrease the voting power of such stockholder or such Stockholder Associated Person with respect to any shares of the capital stock of the corporation, without regard to whether such transaction is required to be reported on a Schedule 13D or other form in accordance with Section 13(d) of the Exchange Act or any successor provisions thereto and the rules and regulations promulgated thereunder; and (viii) any other information relating to such stockholder and any Stockholder Associated Person that would be required to be disclosed in a proxy statement or other filings required to be made with the SEC in connection with solicitations of proxies for the election of directors in a contested election pursuant to Section 14 of the Exchange Act (or pursuant to any law or statute replacing such section) and the rules and regulations promulgated thereunder. In addition to the information required above,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w:t>
      </w:r>
    </w:p>
    <w:p>
      <w:pPr>
        <w:spacing w:after="0" w:line="179" w:lineRule="exact"/>
        <w:rPr>
          <w:rFonts w:ascii="Arial" w:cs="Arial" w:eastAsia="Arial" w:hAnsi="Arial"/>
          <w:sz w:val="17"/>
          <w:szCs w:val="17"/>
          <w:color w:val="auto"/>
        </w:rPr>
      </w:pPr>
    </w:p>
    <w:p>
      <w:pPr>
        <w:jc w:val="both"/>
        <w:ind w:firstLine="656"/>
        <w:spacing w:after="0" w:line="285" w:lineRule="auto"/>
        <w:tabs>
          <w:tab w:leader="none" w:pos="1331" w:val="left"/>
        </w:tabs>
        <w:numPr>
          <w:ilvl w:val="1"/>
          <w:numId w:val="67"/>
        </w:numPr>
        <w:rPr>
          <w:rFonts w:ascii="Arial" w:cs="Arial" w:eastAsia="Arial" w:hAnsi="Arial"/>
          <w:sz w:val="16"/>
          <w:szCs w:val="16"/>
          <w:color w:val="auto"/>
        </w:rPr>
      </w:pPr>
      <w:r>
        <w:rPr>
          <w:rFonts w:ascii="Arial" w:cs="Arial" w:eastAsia="Arial" w:hAnsi="Arial"/>
          <w:sz w:val="16"/>
          <w:szCs w:val="16"/>
          <w:color w:val="auto"/>
        </w:rPr>
        <w:t>Notwithstanding anything in Section 5 of Article II to the contrary, in the event that the number of directors to be elected to the Board at an annual meeting of the stockholders is increased and no public disclosure by the corporation is made or given to the stockholders naming all of the nominees for directors or specifying the size of the increased Board, at least 90 calendar days prior to the first anniversary of the date of the immediately preceding year’s annual meeting, a stockholder’s notice required by Section 5 of Article II shall also be considered timely, but only with respect to nominees for any new positions created by such increase, if it shall be delivered to, or mailed and received by, the Secretary at the principal executive offices of the corporation</w:t>
      </w:r>
    </w:p>
    <w:p>
      <w:pPr>
        <w:spacing w:after="0" w:line="2"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not later than the close of business on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calendar day following the earlier of (i) the day on which such notice was mailed to the stockholders or (ii) the day on which such public disclosure is first made by the corporation.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jc w:val="both"/>
        <w:ind w:firstLine="656"/>
        <w:spacing w:after="0" w:line="283" w:lineRule="auto"/>
        <w:tabs>
          <w:tab w:leader="none" w:pos="1389"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Nominations of persons for election to the Board may be made at a special meeting of stockholders at which directors are to be elected (i) pursuant to the corporation's notice of meeting, (ii) by or at the direction of the Board, or (iii) provided that the Board has determined that directors shall be elected at such meeting, by any stockholder of the corporation who (A) is a stockholder of record at the time of giving of notice provided for in Section 5(b) of Article II, (B) is a stockholder of record on the record date for the determination of the stockholders entitled to vote at such meeting, (C) is a stockholder of record at the time of such meeting, (D) is entitled to vote at such meeting, and (E) complies with the notice procedures set forth in Section 5(b) of Article II as to such nomination. In the event the corporation calls a special meeting of stockholders for the purpose of electing one or more directors to the Board, any such stockholder may nominate a person or persons (as the case may be) for election to such position(s) as specified in the corporation's notice of meeting, if the proper form of stockholder’s notice required by Section 5(a)(2) of Article II of these Bylaws with respect to any nomination shall be delivered to the Secretary at the principal executive offices of the Corporation not earlier than the close of business on the one hundred</w:t>
      </w:r>
    </w:p>
    <w:p>
      <w:pPr>
        <w:spacing w:after="0" w:line="7"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prior to the date of such special meeting and not later than the close of business on the later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prior to the date of such special meeting or, if the first public disclosure made by the corporation of the date of such special meeting is made or given to stockholders less than</w:t>
      </w:r>
    </w:p>
    <w:p>
      <w:pPr>
        <w:spacing w:after="0" w:line="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100 days prior to the date of such special meeting, not later than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calendar day following the earlier of (i) the day on which such notice was mailed to the stockholders or (ii) the day on which public disclosure is first made of the date of the special meeting and of the nominees proposed by the Board to be elected at such meeting. In no event shall any adjournment or postponement of a special meeting or the public disclosure thereof commence a new time period (or extend any time period) for the giving of a stockholder’s notice as described above.</w:t>
      </w:r>
    </w:p>
    <w:p>
      <w:pPr>
        <w:spacing w:after="0" w:line="205" w:lineRule="exact"/>
        <w:rPr>
          <w:sz w:val="20"/>
          <w:szCs w:val="20"/>
          <w:color w:val="auto"/>
        </w:rPr>
      </w:pPr>
    </w:p>
    <w:p>
      <w:pPr>
        <w:ind w:left="1260" w:hanging="604"/>
        <w:spacing w:after="0"/>
        <w:tabs>
          <w:tab w:leader="none" w:pos="12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2001"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addition, to be timely, a stockholder’s notice of nomination shall further be updated and supplemented, if necessary, so that the information provided or required to be provided in such notice shall be true and correct as of the record date for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any adjournment or postponement thereof in the case of the update and supplement required to be made as of ten business days prior to the meeting or any adjournment or postponement thereof.</w:t>
      </w:r>
    </w:p>
    <w:p>
      <w:pPr>
        <w:spacing w:after="0" w:line="189" w:lineRule="exact"/>
        <w:rPr>
          <w:rFonts w:ascii="Arial" w:cs="Arial" w:eastAsia="Arial" w:hAnsi="Arial"/>
          <w:sz w:val="18"/>
          <w:szCs w:val="18"/>
          <w:color w:val="auto"/>
        </w:rPr>
      </w:pPr>
    </w:p>
    <w:p>
      <w:pPr>
        <w:jc w:val="both"/>
        <w:ind w:firstLine="1305"/>
        <w:spacing w:after="0" w:line="291" w:lineRule="auto"/>
        <w:tabs>
          <w:tab w:leader="none" w:pos="1956" w:val="left"/>
        </w:tabs>
        <w:numPr>
          <w:ilvl w:val="1"/>
          <w:numId w:val="69"/>
        </w:numPr>
        <w:rPr>
          <w:rFonts w:ascii="Arial" w:cs="Arial" w:eastAsia="Arial" w:hAnsi="Arial"/>
          <w:sz w:val="16"/>
          <w:szCs w:val="16"/>
          <w:color w:val="auto"/>
        </w:rPr>
      </w:pPr>
      <w:r>
        <w:rPr>
          <w:rFonts w:ascii="Arial" w:cs="Arial" w:eastAsia="Arial" w:hAnsi="Arial"/>
          <w:sz w:val="16"/>
          <w:szCs w:val="16"/>
          <w:color w:val="auto"/>
        </w:rPr>
        <w:t>If the information submitted pursuant to Section 5 of Article II by any stockholder proposing a nominee for election as a director at a meeting of stockholders shall be inaccurate to any material extent, such information may be deemed not to have been provided in accordance with Section 5 of Article II. Upon written request by the Secretary, the Board or any committee thereof, any stockholder proposing a nominee for election as a director at a meeting shall provide, within seven business days of delivery of such request (or such other period as may be specified in such request), written verification, satisfactory in the discretion of the Board, any committee thereof or any authorized officer of the corporation, to demonstrate the accuracy of any information submitted by the stockholder pursuant to Section 5 of Article II. If a stockholder fails to provide such written verification within such period, the information as to which written verification was requested may be deemed not to have been provided in accordance with Section 5 of Article II .</w:t>
      </w:r>
    </w:p>
    <w:p>
      <w:pPr>
        <w:spacing w:after="0" w:line="167" w:lineRule="exact"/>
        <w:rPr>
          <w:rFonts w:ascii="Arial" w:cs="Arial" w:eastAsia="Arial" w:hAnsi="Arial"/>
          <w:sz w:val="16"/>
          <w:szCs w:val="16"/>
          <w:color w:val="auto"/>
        </w:rPr>
      </w:pPr>
    </w:p>
    <w:p>
      <w:pPr>
        <w:ind w:firstLine="1305"/>
        <w:spacing w:after="0" w:line="277" w:lineRule="auto"/>
        <w:tabs>
          <w:tab w:leader="none" w:pos="201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no person shall be eligible for election as a director of the Corporation at any meeting of stockholders unless nominated in accordance with the procedures set forth in this Article II Section 5.</w:t>
      </w:r>
    </w:p>
    <w:p>
      <w:pPr>
        <w:spacing w:after="0" w:line="170" w:lineRule="exact"/>
        <w:rPr>
          <w:rFonts w:ascii="Arial" w:cs="Arial" w:eastAsia="Arial" w:hAnsi="Arial"/>
          <w:sz w:val="18"/>
          <w:szCs w:val="18"/>
          <w:color w:val="auto"/>
        </w:rPr>
      </w:pPr>
    </w:p>
    <w:p>
      <w:pPr>
        <w:jc w:val="both"/>
        <w:ind w:firstLine="1305"/>
        <w:spacing w:after="0" w:line="259" w:lineRule="auto"/>
        <w:tabs>
          <w:tab w:leader="none" w:pos="2119"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 if a stockholder who has submitted a written notice of intention to propose a nominee for election as a director at a meeting of stockholders (or a designated representative of the stockholder) does not appear at the annual or special meeting of stockholders of the corporation to present the nomination, such nomination shall be disregarded notwithstanding that proxies in respect of such vote may have been received by the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jc w:val="both"/>
        <w:ind w:firstLine="1305"/>
        <w:spacing w:after="0" w:line="255" w:lineRule="auto"/>
        <w:tabs>
          <w:tab w:leader="none" w:pos="2058" w:val="left"/>
        </w:tabs>
        <w:numPr>
          <w:ilvl w:val="2"/>
          <w:numId w:val="70"/>
        </w:numPr>
        <w:rPr>
          <w:rFonts w:ascii="Arial" w:cs="Arial" w:eastAsia="Arial" w:hAnsi="Arial"/>
          <w:sz w:val="18"/>
          <w:szCs w:val="18"/>
          <w:color w:val="auto"/>
        </w:rPr>
      </w:pPr>
      <w:r>
        <w:rPr>
          <w:rFonts w:ascii="Arial" w:cs="Arial" w:eastAsia="Arial" w:hAnsi="Arial"/>
          <w:sz w:val="18"/>
          <w:szCs w:val="18"/>
          <w:color w:val="auto"/>
        </w:rPr>
        <w:t>Except as otherwise required by the General Corporation Law and other applicable law, the certificate of incorporation or these Bylaws, the Chairman of the Board or other person presiding at the meeting shall have the power and duty (a) to determine whether any nomination proposed to be brought before the meeting was properly made in accordance with the procedures set forth in Section 5 of Article II, including whether the stockholder or any Stockholder Associated Person on whose behalf the nomination is made, solicited (or is part of a group which solicited) or did not so solicit, as the case may be, proxies in support of the election of such stockholder’s nominee(s) in compliance with such stockholder’s representation as required by Section 5 of Article II, and (b) if any proposed nomination was not made in compliance with Section 5 of Article II to declare that such nomination is defective and shall be disregarded.</w:t>
      </w:r>
    </w:p>
    <w:p>
      <w:pPr>
        <w:spacing w:after="0" w:line="189" w:lineRule="exact"/>
        <w:rPr>
          <w:rFonts w:ascii="Arial" w:cs="Arial" w:eastAsia="Arial" w:hAnsi="Arial"/>
          <w:sz w:val="18"/>
          <w:szCs w:val="18"/>
          <w:color w:val="auto"/>
        </w:rPr>
      </w:pPr>
    </w:p>
    <w:p>
      <w:pPr>
        <w:jc w:val="both"/>
        <w:ind w:firstLine="1305"/>
        <w:spacing w:after="0" w:line="279" w:lineRule="auto"/>
        <w:tabs>
          <w:tab w:leader="none" w:pos="2091" w:val="left"/>
        </w:tabs>
        <w:numPr>
          <w:ilvl w:val="2"/>
          <w:numId w:val="70"/>
        </w:numPr>
        <w:rPr>
          <w:rFonts w:ascii="Arial" w:cs="Arial" w:eastAsia="Arial" w:hAnsi="Arial"/>
          <w:sz w:val="17"/>
          <w:szCs w:val="17"/>
          <w:color w:val="auto"/>
        </w:rPr>
      </w:pPr>
      <w:r>
        <w:rPr>
          <w:rFonts w:ascii="Arial" w:cs="Arial" w:eastAsia="Arial" w:hAnsi="Arial"/>
          <w:sz w:val="17"/>
          <w:szCs w:val="17"/>
          <w:color w:val="auto"/>
        </w:rPr>
        <w:t xml:space="preserve">In addition to the provisions of Section 5 of Article II, a stockholder shall also comply with all applicable requirements of the General Corporate Law, other applicable law and the Exchange Act, and the rules and regulations thereunder, with respect to the matters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references in these Bylaws to the Exchange Act or the rules promulgated thereunder are not intended to and shall not limit the applicable requirements for nominations by stockholders to be considered pursuant to Section 5(a) of Article II.</w:t>
      </w:r>
    </w:p>
    <w:p>
      <w:pPr>
        <w:spacing w:after="0" w:line="171" w:lineRule="exact"/>
        <w:rPr>
          <w:rFonts w:ascii="Arial" w:cs="Arial" w:eastAsia="Arial" w:hAnsi="Arial"/>
          <w:sz w:val="17"/>
          <w:szCs w:val="17"/>
          <w:color w:val="auto"/>
        </w:rPr>
      </w:pPr>
    </w:p>
    <w:p>
      <w:pPr>
        <w:ind w:right="20" w:firstLine="1305"/>
        <w:spacing w:after="0" w:line="277" w:lineRule="auto"/>
        <w:tabs>
          <w:tab w:leader="none" w:pos="2005" w:val="left"/>
        </w:tabs>
        <w:numPr>
          <w:ilvl w:val="2"/>
          <w:numId w:val="70"/>
        </w:numPr>
        <w:rPr>
          <w:rFonts w:ascii="Arial" w:cs="Arial" w:eastAsia="Arial" w:hAnsi="Arial"/>
          <w:sz w:val="18"/>
          <w:szCs w:val="18"/>
          <w:color w:val="auto"/>
        </w:rPr>
      </w:pPr>
      <w:r>
        <w:rPr>
          <w:rFonts w:ascii="Arial" w:cs="Arial" w:eastAsia="Arial" w:hAnsi="Arial"/>
          <w:sz w:val="18"/>
          <w:szCs w:val="18"/>
          <w:color w:val="auto"/>
        </w:rPr>
        <w:t>Nothing in Section 5 of Article II shall be deemed to affect any rights of the holders of any series of preferred stock, if and to the extent provided for, under applicable law, the certificate of incorporation or these Bylaws.</w:t>
      </w:r>
    </w:p>
    <w:p>
      <w:pPr>
        <w:spacing w:after="0" w:line="166" w:lineRule="exact"/>
        <w:rPr>
          <w:rFonts w:ascii="Arial" w:cs="Arial" w:eastAsia="Arial" w:hAnsi="Arial"/>
          <w:sz w:val="18"/>
          <w:szCs w:val="18"/>
          <w:color w:val="auto"/>
        </w:rPr>
      </w:pPr>
    </w:p>
    <w:p>
      <w:pPr>
        <w:ind w:right="20" w:firstLine="8"/>
        <w:spacing w:after="0" w:line="282" w:lineRule="auto"/>
        <w:tabs>
          <w:tab w:leader="none" w:pos="185"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r>
        <w:rPr>
          <w:rFonts w:ascii="Arial" w:cs="Arial" w:eastAsia="Arial" w:hAnsi="Arial"/>
          <w:sz w:val="18"/>
          <w:szCs w:val="18"/>
          <w:color w:val="auto"/>
        </w:rPr>
        <w:t>. Except as may otherwise be provided by the General Corporation Law, any director or the entire Board of Directors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removed, with or without cause, by the holders of two thirds of the shares then entitled to vote at an election of directors.</w:t>
      </w:r>
    </w:p>
    <w:p>
      <w:pPr>
        <w:spacing w:after="0" w:line="161" w:lineRule="exact"/>
        <w:rPr>
          <w:rFonts w:ascii="Arial" w:cs="Arial" w:eastAsia="Arial" w:hAnsi="Arial"/>
          <w:sz w:val="18"/>
          <w:szCs w:val="18"/>
          <w:b w:val="1"/>
          <w:bCs w:val="1"/>
          <w:color w:val="auto"/>
        </w:rPr>
      </w:pPr>
    </w:p>
    <w:p>
      <w:pPr>
        <w:jc w:val="both"/>
        <w:ind w:firstLine="8"/>
        <w:spacing w:after="0" w:line="272" w:lineRule="auto"/>
        <w:tabs>
          <w:tab w:leader="none" w:pos="18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COMMITTEES</w:t>
      </w:r>
      <w:r>
        <w:rPr>
          <w:rFonts w:ascii="Arial" w:cs="Arial" w:eastAsia="Arial" w:hAnsi="Arial"/>
          <w:sz w:val="17"/>
          <w:szCs w:val="17"/>
          <w:color w:val="auto"/>
        </w:rPr>
        <w:t>. The Board of Directors may, by resolution passed by a majority of the whole Board, designate one or more committees, each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to consist of one or more of the directors of the corporation. The Board may designate one or more directors as alternate members of any committee, who may replace any absent or disqualified member at any meeting of the committee. In the absence or disqualification of any member of any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shall have and may exercise the powers and authority of the Board of Directors in the management of the business and affairs of the corporation with the exception of any authority the delegation of which is prohibited by Section 141 of the General Corporation Law, and may authorize the seal of the corporation to be affixed to all papers which may require it.</w:t>
      </w:r>
    </w:p>
    <w:p>
      <w:pPr>
        <w:spacing w:after="0" w:line="172" w:lineRule="exact"/>
        <w:rPr>
          <w:rFonts w:ascii="Arial" w:cs="Arial" w:eastAsia="Arial" w:hAnsi="Arial"/>
          <w:sz w:val="17"/>
          <w:szCs w:val="17"/>
          <w:b w:val="1"/>
          <w:bCs w:val="1"/>
          <w:color w:val="auto"/>
        </w:rPr>
      </w:pPr>
    </w:p>
    <w:p>
      <w:pPr>
        <w:jc w:val="both"/>
        <w:ind w:firstLine="8"/>
        <w:spacing w:after="0" w:line="266" w:lineRule="auto"/>
        <w:tabs>
          <w:tab w:leader="none" w:pos="194"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WRITTEN ACTION</w:t>
      </w:r>
      <w:r>
        <w:rPr>
          <w:rFonts w:ascii="Arial" w:cs="Arial" w:eastAsia="Arial" w:hAnsi="Arial"/>
          <w:sz w:val="18"/>
          <w:szCs w:val="18"/>
          <w:color w:val="auto"/>
        </w:rPr>
        <w:t>. Any action required or permitted to be taken at any meeting of the Board of Directors or any committee thereof may be taken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a meeting if all members of the Board or committee, as the case may be, consent thereto in writing, and the writing or writings are filed with the minutes of proceedings of the Board or committee.</w:t>
      </w:r>
    </w:p>
    <w:p>
      <w:pPr>
        <w:spacing w:after="0" w:line="176" w:lineRule="exact"/>
        <w:rPr>
          <w:rFonts w:ascii="Arial" w:cs="Arial" w:eastAsia="Arial" w:hAnsi="Arial"/>
          <w:sz w:val="18"/>
          <w:szCs w:val="18"/>
          <w:b w:val="1"/>
          <w:bCs w:val="1"/>
          <w:color w:val="auto"/>
        </w:rPr>
      </w:pPr>
    </w:p>
    <w:p>
      <w:pPr>
        <w:ind w:left="180" w:hanging="172"/>
        <w:spacing w:after="0"/>
        <w:tabs>
          <w:tab w:leader="none" w:pos="1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director shall be at least 21 years of age. Directors need not be stockholders of the corporation.</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30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director and nominee for election as a director of the corporation must deliver to the Secretary at the principal office of the corporation a written questionnaire with respect to the background and qualifications of such person (which questionnaire shall be provided by the Secretary upon written request and approved from time to time by the Board or its Governance/Nominating Committee).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officers of the corporation shall consist of a President and a Secretary, and, if deemed necessary, expedient, or desirable by the Board of Directors, a Chairman of the Board, a Vice-Chairman of the Board, a Chief Executive Officer, a Chief Operating Officer, a Chief Financial Officer, an Executive Vice-President, one or more other Vice-Presidents, one or more Assistant Secretaries, a Treasurer, one or more Assistant Treasurers, and such other officers with such titles as the resolution of the Board of Directors choosing them shall designate. Except as may otherwise be provided in the resolution of the Board of Directors choosing him, no officer other than the Chairman or Vice-Chairman of the Board, if any, need be a director. Any number of offices may be held by the same person, as the directors may determine.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provided in the resolution choosing him, each officer shall be chosen for a term which shall continue until the meeting of the Board of Directors following the next annual meeting of stockholders and until his successor shall have been chosen and qualified.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officers of the corporation shall have such authority and perform such duties in the management and operation of the corporation as shall be prescribed in the resolutions of the Board of Directors designating and choosing such officers and prescribing their authority and duties, and shall have such additional authority and duties as are incident to their office except to the extent that such resolutions may be inconsistent therewith. The Secretary or an Assistant Secretary of the corporation shall record all of the proceedings of all meetings and actions in writing of stockholders, directors, and committees of directors, and shall exercise such additional authority and perform such additional duties as the Board shall assign to him. Any officer may be removed, with or without cause, by the Board of Directors. Any vacancy in any office may be filled by the Board of Directors.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CORPORATE SEAL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corporate seal shall be in such form as the Board of Directors shall prescribe.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fiscal year of the corporation shall be fixed, and shall be subject to change, by the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OVER BY-LAWS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AMENDMENT OR REPEAL BY THE BOARD</w:t>
      </w:r>
      <w:r>
        <w:rPr>
          <w:rFonts w:ascii="Arial" w:cs="Arial" w:eastAsia="Arial" w:hAnsi="Arial"/>
          <w:sz w:val="16"/>
          <w:szCs w:val="16"/>
          <w:color w:val="auto"/>
        </w:rPr>
        <w:t>. Except as otherwise provided by the General Corporation Law or the certificate of incorporation,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may be amended or repealed, in whole or in part, by the affirmative vote of not less than a majority of the Board at any regular or special meeting of the Board provided that notice of such proposed amendment or repeal to be made is included in the notice of the meeting at which such action takes place, which shall also include, without limitation, the text of any such proposed amendment and/or any resolution calling for any such amendment or repeal.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3" w:name="page94"/>
    <w:bookmarkEnd w:id="93"/>
    <w:p>
      <w:pPr>
        <w:jc w:val="both"/>
        <w:spacing w:after="0" w:line="270" w:lineRule="auto"/>
        <w:rPr>
          <w:sz w:val="20"/>
          <w:szCs w:val="20"/>
          <w:color w:val="auto"/>
        </w:rPr>
      </w:pPr>
      <w:r>
        <w:rPr>
          <w:rFonts w:ascii="Arial" w:cs="Arial" w:eastAsia="Arial" w:hAnsi="Arial"/>
          <w:sz w:val="17"/>
          <w:szCs w:val="17"/>
          <w:b w:val="1"/>
          <w:bCs w:val="1"/>
          <w:color w:val="auto"/>
        </w:rPr>
        <w:t xml:space="preserve">AMENDMENT OR REPEAL BY STOCKHOLDERS. </w:t>
      </w:r>
      <w:r>
        <w:rPr>
          <w:rFonts w:ascii="Arial" w:cs="Arial" w:eastAsia="Arial" w:hAnsi="Arial"/>
          <w:sz w:val="17"/>
          <w:szCs w:val="17"/>
          <w:color w:val="auto"/>
        </w:rPr>
        <w:t>Except as otherwise provided by the General Corporate Law or the certificate of incorporation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proviso hereto, any amendment to, repeal of, or adoption of any provisions inconsistent with these Bylaws, which has not previously received the approval of the Board, shall require for adoption the affirmative vote of the holders of a majority of the issued and outstanding shares present in person or represented by proxy at a meeting of stockholders and entitled to vote thereat, provided, however, that, notwithstanding anything to the contrary contained herein, any amendment to, repeal of, or adoption of any provisions inconsistent with, Sections 7 and 8(b) of Article I, Sections 2, 3 and 5 of Article II, this Article VI and Article VII of these Bylaws, which has not previously received the approval of the Board shall require for adoption the affirmative vote of the holders of not less than two-thirds of the issued and outstanding shares entitled to vote at a duly called and convened annual or special meeting of stockholders, and provided, further, that, in addition to any other notice required by these Bylaws and other applicable requirements contained herein, notice of such proposed amendment or repeal is included in the notice of the meeting at which such action takes place, which shall also include, without limitation, the text of any such proposed amendment and/or any resolution calling for any such amendment or repeal.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jc w:val="both"/>
        <w:ind w:firstLine="8"/>
        <w:spacing w:after="0" w:line="256" w:lineRule="auto"/>
        <w:tabs>
          <w:tab w:leader="none" w:pos="19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OF EMPLOYEES</w:t>
      </w:r>
      <w:r>
        <w:rPr>
          <w:rFonts w:ascii="Arial" w:cs="Arial" w:eastAsia="Arial" w:hAnsi="Arial"/>
          <w:sz w:val="18"/>
          <w:szCs w:val="18"/>
          <w:color w:val="auto"/>
        </w:rPr>
        <w:t>. Employees of the corporation may, if so provided by the Board, be entitled to indemnification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as are directors and officers of the corporation under Section 2 of this Article VII. The corporation shall not be required to provide any such indemnification to any employee in any action or proceeding, or appeal therein, arising out of services rendered by any such person to any person, firm or association, or any corporation other than the corporation or any partnership, joint venture, trust, employee benefit plan or other enterprise, whether profit or non-profit (any such entity, other than the corporation, being hereinafter referred to as an "Enterprise"), unless such services were rendered at the request of the Board.</w:t>
      </w:r>
    </w:p>
    <w:p>
      <w:pPr>
        <w:spacing w:after="0" w:line="187" w:lineRule="exact"/>
        <w:rPr>
          <w:rFonts w:ascii="Arial" w:cs="Arial" w:eastAsia="Arial" w:hAnsi="Arial"/>
          <w:sz w:val="18"/>
          <w:szCs w:val="18"/>
          <w:b w:val="1"/>
          <w:bCs w:val="1"/>
          <w:color w:val="auto"/>
        </w:rPr>
      </w:pPr>
    </w:p>
    <w:p>
      <w:pPr>
        <w:jc w:val="both"/>
        <w:ind w:firstLine="8"/>
        <w:spacing w:after="0" w:line="290" w:lineRule="auto"/>
        <w:tabs>
          <w:tab w:leader="none" w:pos="194"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OF OFFICERS AND DIRECTORS</w:t>
      </w:r>
      <w:r>
        <w:rPr>
          <w:rFonts w:ascii="Arial" w:cs="Arial" w:eastAsia="Arial" w:hAnsi="Arial"/>
          <w:sz w:val="16"/>
          <w:szCs w:val="16"/>
          <w:color w:val="auto"/>
        </w:rPr>
        <w:t>. (a) The corporation shall indemnify to the fullest extent now or hereafter provided for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law each officer and/or director of the corporation involved in, or made or threatened to be made a party to, any action, suit, claim or proceeding, arbitration, alternative dispute resolution mechanism, investigation, administrative or legislative hearing or any other actual, threatened, pending or completed proceeding, whether civil or criminal, or whether formal or informal, and including an action by or in the right of the corporation or any Enterprise, and including appeals therein (any such process being hereinafter referred to as a "Proceeding") by reason of the fact that such officer and/or director or such person's testator or intestate (any such person being hereinafter referred to as an "Indemnity") (i) is or was a director or officer of the corporation, or (ii) while serving as a director or officer of the corporation, is or was serving, at the request of the corporation, as a director, officer, or in any other capacity, of any other Enterprise, against any and all judgments, fines, penalties, amounts paid in settlement, and expenses, including attorneys' fees, actually and reasonably incurred as a result of or in connection with any Proceeding, except as provided in Section 2(c) of this Article VII.</w:t>
      </w:r>
    </w:p>
    <w:p>
      <w:pPr>
        <w:spacing w:after="0" w:line="164" w:lineRule="exact"/>
        <w:rPr>
          <w:sz w:val="20"/>
          <w:szCs w:val="20"/>
          <w:color w:val="auto"/>
        </w:rPr>
      </w:pPr>
    </w:p>
    <w:p>
      <w:pPr>
        <w:jc w:val="both"/>
        <w:ind w:firstLine="8"/>
        <w:spacing w:after="0" w:line="264" w:lineRule="auto"/>
        <w:tabs>
          <w:tab w:leader="none" w:pos="2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Expenses, including attorneys’ fees, incurred by an Indemnitee in defending a Proceeding shall be paid by the corporation in advance of the final disposition of such Proceeding upon receipt of an undertaking by or on behalf of such person to repay such amount if it shall ultimately be determined that such person is not entitled to be indemnified by the corporation, except as otherwise provided in Section 2(c) of this Article VII.</w:t>
      </w:r>
    </w:p>
    <w:p>
      <w:pPr>
        <w:spacing w:after="0" w:line="181" w:lineRule="exact"/>
        <w:rPr>
          <w:rFonts w:ascii="Arial" w:cs="Arial" w:eastAsia="Arial" w:hAnsi="Arial"/>
          <w:sz w:val="18"/>
          <w:szCs w:val="18"/>
          <w:color w:val="auto"/>
        </w:rPr>
      </w:pPr>
    </w:p>
    <w:p>
      <w:pPr>
        <w:jc w:val="both"/>
        <w:ind w:firstLine="8"/>
        <w:spacing w:after="0" w:line="293" w:lineRule="auto"/>
        <w:tabs>
          <w:tab w:leader="none" w:pos="253" w:val="left"/>
        </w:tabs>
        <w:numPr>
          <w:ilvl w:val="0"/>
          <w:numId w:val="73"/>
        </w:numPr>
        <w:rPr>
          <w:rFonts w:ascii="Arial" w:cs="Arial" w:eastAsia="Arial" w:hAnsi="Arial"/>
          <w:sz w:val="16"/>
          <w:szCs w:val="16"/>
          <w:color w:val="auto"/>
        </w:rPr>
      </w:pPr>
      <w:r>
        <w:rPr>
          <w:rFonts w:ascii="Arial" w:cs="Arial" w:eastAsia="Arial" w:hAnsi="Arial"/>
          <w:sz w:val="16"/>
          <w:szCs w:val="16"/>
          <w:color w:val="auto"/>
        </w:rPr>
        <w:t>No indemnification shall be made to or on behalf of any Indemnities if a judgment or other final adjudication adverse to him or her establishes that such Indemnities acts were committed in bad faith or were the result of active and deliberate dishonesty and were material to the cause of action so adjudicated, or that such Indemnitee personally gained in fact a financial profit or other advantage to which he or she was not legally entitled. In addition, no indemnification shall be made with respect to any Proceeding initiated by any Indemnitee against the corporation, or a director or officer of the corporation, other than to enforce the terms of this Article VII, unless such Proceeding was authorized by the Board. Further, no indemnification shall be made with respect to any settlement or compromise of any Proceeding unless and until the corporation has consented to such settlement or compromise.</w:t>
      </w:r>
    </w:p>
    <w:p>
      <w:pPr>
        <w:spacing w:after="0" w:line="164" w:lineRule="exact"/>
        <w:rPr>
          <w:rFonts w:ascii="Arial" w:cs="Arial" w:eastAsia="Arial" w:hAnsi="Arial"/>
          <w:sz w:val="16"/>
          <w:szCs w:val="16"/>
          <w:color w:val="auto"/>
        </w:rPr>
      </w:pPr>
    </w:p>
    <w:p>
      <w:pPr>
        <w:jc w:val="both"/>
        <w:ind w:firstLine="8"/>
        <w:spacing w:after="0" w:line="290" w:lineRule="auto"/>
        <w:tabs>
          <w:tab w:leader="none" w:pos="255" w:val="left"/>
        </w:tabs>
        <w:numPr>
          <w:ilvl w:val="0"/>
          <w:numId w:val="73"/>
        </w:numPr>
        <w:rPr>
          <w:rFonts w:ascii="Arial" w:cs="Arial" w:eastAsia="Arial" w:hAnsi="Arial"/>
          <w:sz w:val="16"/>
          <w:szCs w:val="16"/>
          <w:color w:val="auto"/>
        </w:rPr>
      </w:pPr>
      <w:r>
        <w:rPr>
          <w:rFonts w:ascii="Arial" w:cs="Arial" w:eastAsia="Arial" w:hAnsi="Arial"/>
          <w:sz w:val="16"/>
          <w:szCs w:val="16"/>
          <w:color w:val="auto"/>
        </w:rPr>
        <w:t>Written notice of any Proceeding for which indemnification may be sought by any Indemnitee shall be given to the corporation as soon as practicable. The corporation shall then be permitted to participate in the defense of any such proceeding or, unless conflicts of interest or position exist between such Indemnitee and the corporation in the conduct of such defense, to assume such defense. In the event that the corporation assumes the defense of any such Proceeding, legal counsel selected by the corporation shall be acceptable to the Indemnitee. After such an assumption, the corporation shall not be liable to such Indemnitee for any legal or other expenses subsequently incurred unless such expenses have been expressly authorized by the corporation. In the event that the corporation participates in the defense of any such Proceeding, the Indemnitee may select counsel to represent him or her in regard to such a Proceeding; however such Indemnitee shall cooperate in good faith with any request that common counsel be utilized by the parties to any Proceeding who are similarly situated, unless to do so would be inappropriate due to actual or potential differing interests between or among such parties.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ind w:right="20" w:firstLine="8"/>
        <w:spacing w:after="0" w:line="277" w:lineRule="auto"/>
        <w:tabs>
          <w:tab w:leader="none" w:pos="249"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making any determination regarding any Indemnities’ entitlement to indemnification hereunder, it shall be presumed that such Indemnitee is entitled to indemnification, and the corporation shall have the burden of proving the contrary.</w:t>
      </w:r>
    </w:p>
    <w:p>
      <w:pPr>
        <w:spacing w:after="0" w:line="170" w:lineRule="exact"/>
        <w:rPr>
          <w:rFonts w:ascii="Arial" w:cs="Arial" w:eastAsia="Arial" w:hAnsi="Arial"/>
          <w:sz w:val="18"/>
          <w:szCs w:val="18"/>
          <w:color w:val="auto"/>
        </w:rPr>
      </w:pPr>
    </w:p>
    <w:p>
      <w:pPr>
        <w:jc w:val="both"/>
        <w:ind w:firstLine="8"/>
        <w:spacing w:after="0" w:line="342" w:lineRule="auto"/>
        <w:tabs>
          <w:tab w:leader="none" w:pos="2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corporation wrongfully denies a claim for indemnification or for the advancement or reimbursement of expenses pursuant hereto, the Indemnitee shall be entitled to be paid, in addition to all other amounts provided for in this Article VII, the expenses, including attorneys’ fees, of prosecuting such claim.</w:t>
      </w:r>
    </w:p>
    <w:p>
      <w:pPr>
        <w:spacing w:after="0" w:line="120" w:lineRule="exact"/>
        <w:rPr>
          <w:sz w:val="20"/>
          <w:szCs w:val="20"/>
          <w:color w:val="auto"/>
        </w:rPr>
      </w:pPr>
    </w:p>
    <w:p>
      <w:pPr>
        <w:jc w:val="both"/>
        <w:ind w:firstLine="8"/>
        <w:spacing w:after="0" w:line="268" w:lineRule="auto"/>
        <w:tabs>
          <w:tab w:leader="none" w:pos="18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RIGHTS NOT EXCLUSIVE</w:t>
      </w:r>
      <w:r>
        <w:rPr>
          <w:rFonts w:ascii="Arial" w:cs="Arial" w:eastAsia="Arial" w:hAnsi="Arial"/>
          <w:sz w:val="17"/>
          <w:szCs w:val="17"/>
          <w:color w:val="auto"/>
        </w:rPr>
        <w:t>. The rights to indemnification and advancement or reimbursement of expenses granted by or pursuant to this Article VII: (i)</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limit or exclude, but shall be in addition to, any other rights which may be granted by or pursuant to any statute, corporate charter, by-law, resolution or shareholders or directors or agreement; (ii) shall not be construed to limit the rights and powers the corporation possesses under applicable provisions of the General Corporation Law (as amended from time to time), or otherwise, including, but not limited to, the powers to purchase and maintain insurance, create funds to secure or insure its indemnification obligations, and any other rights or powers the corporation may otherwise have under applicable law; (iii) shall be deemed to constitute contractual obligations of the corporation to any director or officer who serves in a capacity referred to in Section 2(a) of this Article VII at any time while this Article VII is in effect; (iv) shall continue to exist after the repeal or modification of this Article VII with respect to events occurring prior thereto; and (v) shall continue as to any Indemnitee who has ceased to be a director or officer and shall inure to the benefit of the estate, spouse, heirs, executors, administrators or assigns of such Indemnitee. Persons who, after the date of the adoption of this Article VII become or remain directors or officers of the corporation or who, while a director or officer of the corporation, become or remain a director, officer, employee or agent of a subsidiary, shall be conclusively presumed to have relied on the rights to indemnification and advancement of expenses contained in this Article VII. It is the intent of this Article VII to require the corporation to indemnify the persons referred to herein for the aforementioned judgments, fines, penalties, amounts paid in settlement, and expenses, including attorney's fees, in each and every circumstance in which such indemnification could lawfully be permitted by express provisions of By-laws, and the indemnification required by this Article VII shall not be limited by the absence of an express recital of such circumstances.</w:t>
      </w:r>
    </w:p>
    <w:p>
      <w:pPr>
        <w:spacing w:after="0" w:line="183" w:lineRule="exact"/>
        <w:rPr>
          <w:rFonts w:ascii="Arial" w:cs="Arial" w:eastAsia="Arial" w:hAnsi="Arial"/>
          <w:sz w:val="17"/>
          <w:szCs w:val="17"/>
          <w:b w:val="1"/>
          <w:bCs w:val="1"/>
          <w:color w:val="auto"/>
        </w:rPr>
      </w:pPr>
    </w:p>
    <w:p>
      <w:pPr>
        <w:jc w:val="both"/>
        <w:ind w:firstLine="8"/>
        <w:spacing w:after="0" w:line="258" w:lineRule="auto"/>
        <w:tabs>
          <w:tab w:leader="none" w:pos="19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AUTHORIZATION OF CONTRACTS. </w:t>
      </w:r>
      <w:r>
        <w:rPr>
          <w:rFonts w:ascii="Arial" w:cs="Arial" w:eastAsia="Arial" w:hAnsi="Arial"/>
          <w:sz w:val="18"/>
          <w:szCs w:val="18"/>
          <w:color w:val="auto"/>
        </w:rPr>
        <w:t>The corporation may, with the approval of the Board, enter into an agreement with any person who is, or is</w:t>
      </w:r>
      <w:r>
        <w:rPr>
          <w:rFonts w:ascii="Arial" w:cs="Arial" w:eastAsia="Arial" w:hAnsi="Arial"/>
          <w:sz w:val="18"/>
          <w:szCs w:val="18"/>
          <w:b w:val="1"/>
          <w:bCs w:val="1"/>
          <w:color w:val="auto"/>
        </w:rPr>
        <w:t xml:space="preserve"> </w:t>
      </w:r>
      <w:r>
        <w:rPr>
          <w:rFonts w:ascii="Arial" w:cs="Arial" w:eastAsia="Arial" w:hAnsi="Arial"/>
          <w:sz w:val="18"/>
          <w:szCs w:val="18"/>
          <w:color w:val="auto"/>
        </w:rPr>
        <w:t>about to become a director, officer, employee or agent of the corporation, or who is serving, or is about to serve, at the request of the corporation, as director, officer, or in any other capacity, any other Enterprise; which agreement may provide for indemnification of such person and advancement of expenses to such person upon terms, and the extent, not prohibited by law. The failure to enter into any such agreement shall not affect or limit the rights of any such person under this Article VII.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9"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THIS AMENDED AND RESTATED EMPLOYMENT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made as of February __, 2012 by and between XCel Brands,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Robert W. D’Loren (the “</w:t>
      </w:r>
      <w:r>
        <w:rPr>
          <w:rFonts w:ascii="Arial" w:cs="Arial" w:eastAsia="Arial" w:hAnsi="Arial"/>
          <w:sz w:val="18"/>
          <w:szCs w:val="18"/>
          <w:i w:val="1"/>
          <w:iCs w:val="1"/>
          <w:color w:val="auto"/>
        </w:rPr>
        <w:t>Executive</w:t>
      </w:r>
      <w:r>
        <w:rPr>
          <w:rFonts w:ascii="Arial" w:cs="Arial" w:eastAsia="Arial" w:hAnsi="Arial"/>
          <w:sz w:val="18"/>
          <w:szCs w:val="18"/>
          <w:color w:val="auto"/>
        </w:rPr>
        <w:t>”) each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i w:val="1"/>
          <w:iCs w:val="1"/>
          <w:color w:val="auto"/>
        </w:rPr>
        <w:t>Parties</w:t>
      </w:r>
      <w:r>
        <w:rPr>
          <w:rFonts w:ascii="Arial" w:cs="Arial" w:eastAsia="Arial" w:hAnsi="Arial"/>
          <w:sz w:val="18"/>
          <w:szCs w:val="18"/>
          <w:color w:val="auto"/>
        </w:rPr>
        <w:t>.” This Agreement amends and restates that certain employment agreement dated as of September 22, 2011, by and between the Company and the Executive. Unless otherwise indicated, capitalized terms used herein are defined in Section 2.1.</w:t>
      </w:r>
    </w:p>
    <w:p>
      <w:pPr>
        <w:spacing w:after="0" w:line="18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WHEREAS, the Company has determined that it is in the best interests of the Company and its shareholders to enter into an employment agreement with the Executive and the Executive is willing to serve as an employee of the Company.</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NOW, THEREFORE, in consideration of the mutual covenants and agreements set forth herein, it is agreed by and between the Executive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TERMS</w:t>
      </w:r>
    </w:p>
    <w:p>
      <w:pPr>
        <w:spacing w:after="0" w:line="21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1.1 Employment. The Company will employ the Executive, and the Executive accepts employment with the Company, upon the terms and conditions set forth in this Agreement for the period beginning on the Effective Date and ending as provided in Section 1.4(a) hereof (the “</w:t>
      </w:r>
      <w:r>
        <w:rPr>
          <w:rFonts w:ascii="Arial" w:cs="Arial" w:eastAsia="Arial" w:hAnsi="Arial"/>
          <w:sz w:val="18"/>
          <w:szCs w:val="18"/>
          <w:i w:val="1"/>
          <w:iCs w:val="1"/>
          <w:color w:val="auto"/>
        </w:rPr>
        <w:t>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Period</w:t>
      </w:r>
      <w:r>
        <w:rPr>
          <w:rFonts w:ascii="Arial" w:cs="Arial" w:eastAsia="Arial" w:hAnsi="Arial"/>
          <w:sz w:val="18"/>
          <w:szCs w:val="18"/>
          <w:color w:val="auto"/>
        </w:rPr>
        <w:t>”).</w:t>
      </w:r>
    </w:p>
    <w:p>
      <w:pPr>
        <w:spacing w:after="0" w:line="181" w:lineRule="exact"/>
        <w:rPr>
          <w:sz w:val="20"/>
          <w:szCs w:val="20"/>
          <w:color w:val="auto"/>
        </w:rPr>
      </w:pPr>
    </w:p>
    <w:p>
      <w:pPr>
        <w:ind w:left="72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Position and Duties.</w:t>
      </w:r>
    </w:p>
    <w:p>
      <w:pPr>
        <w:spacing w:after="0" w:line="225" w:lineRule="exact"/>
        <w:rPr>
          <w:sz w:val="20"/>
          <w:szCs w:val="20"/>
          <w:color w:val="auto"/>
        </w:rPr>
      </w:pPr>
    </w:p>
    <w:p>
      <w:pPr>
        <w:ind w:right="20" w:firstLine="721"/>
        <w:spacing w:after="0" w:line="269" w:lineRule="auto"/>
        <w:tabs>
          <w:tab w:leader="none" w:pos="1363" w:val="left"/>
        </w:tabs>
        <w:numPr>
          <w:ilvl w:val="0"/>
          <w:numId w:val="76"/>
        </w:numPr>
        <w:rPr>
          <w:rFonts w:ascii="Arial" w:cs="Arial" w:eastAsia="Arial" w:hAnsi="Arial"/>
          <w:sz w:val="17"/>
          <w:szCs w:val="17"/>
          <w:color w:val="auto"/>
        </w:rPr>
      </w:pPr>
      <w:r>
        <w:rPr>
          <w:rFonts w:ascii="Arial" w:cs="Arial" w:eastAsia="Arial" w:hAnsi="Arial"/>
          <w:sz w:val="17"/>
          <w:szCs w:val="17"/>
          <w:color w:val="auto"/>
        </w:rPr>
        <w:t>Generally. The Executive shall serve as the Chief Executive Officer of the Company and, in such capacity shall be responsible for the general management of the business, affairs and operations of the Company, shall perform such duties as are customarily performed by a Chief Executive Officer of a company of a similar size and shall have such power and authority as shall reasonably be required to enable him to perform his duties hereunder; provided, however, that in exercising such power and authority and performing such duties, he shall at all times be subject to the authority, control and direction of the Board of Directors of the Company (the “</w:t>
      </w:r>
      <w:r>
        <w:rPr>
          <w:rFonts w:ascii="Arial" w:cs="Arial" w:eastAsia="Arial" w:hAnsi="Arial"/>
          <w:sz w:val="17"/>
          <w:szCs w:val="17"/>
          <w:i w:val="1"/>
          <w:iCs w:val="1"/>
          <w:color w:val="auto"/>
        </w:rPr>
        <w:t>Board</w:t>
      </w:r>
      <w:r>
        <w:rPr>
          <w:rFonts w:ascii="Arial" w:cs="Arial" w:eastAsia="Arial" w:hAnsi="Arial"/>
          <w:sz w:val="17"/>
          <w:szCs w:val="17"/>
          <w:color w:val="auto"/>
        </w:rPr>
        <w:t>”). The Company agrees that it will use its reasonable best efforts to cause the Executive to be nominated to and continue to be named Chairman of the Board of Directors during the Term, it being acknowledged and agreed that the Nominating Committee (or any successor committee of the Board, or, in the absence of any such committee, the Board) shall retain the ability to apply reasonable and uniform standards consistent with past practices and corporate governance principles to consider the Executive for nomination to the Board and appointment as Chairman of the Board during the Term. Without limitation on any of the foregoing, the Executive shall have senior management authority and responsibility with respect to the management and operations of the Company and its business, including implementation of the business strategy of the Company consistent with strategy and policies approved by the Board.</w:t>
      </w:r>
    </w:p>
    <w:p>
      <w:pPr>
        <w:spacing w:after="0" w:line="182" w:lineRule="exact"/>
        <w:rPr>
          <w:rFonts w:ascii="Arial" w:cs="Arial" w:eastAsia="Arial" w:hAnsi="Arial"/>
          <w:sz w:val="17"/>
          <w:szCs w:val="17"/>
          <w:color w:val="auto"/>
        </w:rPr>
      </w:pPr>
    </w:p>
    <w:p>
      <w:pPr>
        <w:jc w:val="both"/>
        <w:ind w:firstLine="721"/>
        <w:spacing w:after="0" w:line="273" w:lineRule="auto"/>
        <w:tabs>
          <w:tab w:leader="none" w:pos="1418" w:val="left"/>
        </w:tabs>
        <w:numPr>
          <w:ilvl w:val="0"/>
          <w:numId w:val="76"/>
        </w:numPr>
        <w:rPr>
          <w:rFonts w:ascii="Arial" w:cs="Arial" w:eastAsia="Arial" w:hAnsi="Arial"/>
          <w:sz w:val="17"/>
          <w:szCs w:val="17"/>
          <w:color w:val="auto"/>
        </w:rPr>
      </w:pPr>
      <w:r>
        <w:rPr>
          <w:rFonts w:ascii="Arial" w:cs="Arial" w:eastAsia="Arial" w:hAnsi="Arial"/>
          <w:sz w:val="17"/>
          <w:szCs w:val="17"/>
          <w:color w:val="auto"/>
        </w:rPr>
        <w:t>Duties and Responsibilities. The Executive shall report to the Board and shall devote a substantial portion of his time to the business and affairs of the Company and its Subsidiaries. The Executive shall perform his duties and responsibilities in a diligent, trustworthy, businesslike and efficient manner and shall use his best efforts during the Employment Period to protect, encourage and promote the best interests of the Company and its stockholders. The Executive shall not engage in any other business activities that could reasonably be expected to conflict with the Executive’s duties, responsibilities and obligations hereunder. During the Employment Period, the Executive shall promptly bring to the Company or its Subsidiaries, as applicable, all investment or business opportunities relating to the Business of which the Executive becomes aware.</w:t>
      </w:r>
    </w:p>
    <w:p>
      <w:pPr>
        <w:spacing w:after="0" w:line="178" w:lineRule="exact"/>
        <w:rPr>
          <w:rFonts w:ascii="Arial" w:cs="Arial" w:eastAsia="Arial" w:hAnsi="Arial"/>
          <w:sz w:val="17"/>
          <w:szCs w:val="17"/>
          <w:color w:val="auto"/>
        </w:rPr>
      </w:pPr>
    </w:p>
    <w:p>
      <w:pPr>
        <w:jc w:val="both"/>
        <w:ind w:firstLine="721"/>
        <w:spacing w:after="0" w:line="264" w:lineRule="auto"/>
        <w:tabs>
          <w:tab w:leader="none" w:pos="14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Principal Office. The principal place of performance by the Executive of his duties hereunder shall be the Company’s principal executive offices in the New York Metropolitan area, although the Executive may be required to travel outside of the area where the Company’s principal executive offices are located in connection with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6" w:name="page97"/>
    <w:bookmarkEnd w:id="96"/>
    <w:p>
      <w:pPr>
        <w:ind w:left="72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Compensation.</w:t>
      </w:r>
    </w:p>
    <w:p>
      <w:pPr>
        <w:spacing w:after="0" w:line="225" w:lineRule="exact"/>
        <w:rPr>
          <w:sz w:val="20"/>
          <w:szCs w:val="20"/>
          <w:color w:val="auto"/>
        </w:rPr>
      </w:pPr>
    </w:p>
    <w:p>
      <w:pPr>
        <w:jc w:val="both"/>
        <w:ind w:firstLine="721"/>
        <w:spacing w:after="0" w:line="290" w:lineRule="auto"/>
        <w:tabs>
          <w:tab w:leader="none" w:pos="1584"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 Salary. The Executive’s base salary shall be (i) $240,000.00 per year (the “</w:t>
      </w:r>
      <w:r>
        <w:rPr>
          <w:rFonts w:ascii="Arial" w:cs="Arial" w:eastAsia="Arial" w:hAnsi="Arial"/>
          <w:sz w:val="16"/>
          <w:szCs w:val="16"/>
          <w:i w:val="1"/>
          <w:iCs w:val="1"/>
          <w:color w:val="auto"/>
        </w:rPr>
        <w:t>First Year Base Salary</w:t>
      </w:r>
      <w:r>
        <w:rPr>
          <w:rFonts w:ascii="Arial" w:cs="Arial" w:eastAsia="Arial" w:hAnsi="Arial"/>
          <w:sz w:val="16"/>
          <w:szCs w:val="16"/>
          <w:color w:val="auto"/>
        </w:rPr>
        <w:t>”) for the one year period commencing on the Effective Date and ending on the first anniversary of the Effective Date; (ii) $530,000 per year (the “</w:t>
      </w:r>
      <w:r>
        <w:rPr>
          <w:rFonts w:ascii="Arial" w:cs="Arial" w:eastAsia="Arial" w:hAnsi="Arial"/>
          <w:sz w:val="16"/>
          <w:szCs w:val="16"/>
          <w:i w:val="1"/>
          <w:iCs w:val="1"/>
          <w:color w:val="auto"/>
        </w:rPr>
        <w:t>Second Year Base Salary</w:t>
      </w:r>
      <w:r>
        <w:rPr>
          <w:rFonts w:ascii="Arial" w:cs="Arial" w:eastAsia="Arial" w:hAnsi="Arial"/>
          <w:sz w:val="16"/>
          <w:szCs w:val="16"/>
          <w:color w:val="auto"/>
        </w:rPr>
        <w:t>”) for the one year period commencing on the first anniversary of the Effective Date and ending on the second anniversary of the Effective Date; and (iii) $580,000 per year (the “</w:t>
      </w:r>
      <w:r>
        <w:rPr>
          <w:rFonts w:ascii="Arial" w:cs="Arial" w:eastAsia="Arial" w:hAnsi="Arial"/>
          <w:sz w:val="16"/>
          <w:szCs w:val="16"/>
          <w:i w:val="1"/>
          <w:iCs w:val="1"/>
          <w:color w:val="auto"/>
        </w:rPr>
        <w:t>Third Year Base Salary</w:t>
      </w:r>
      <w:r>
        <w:rPr>
          <w:rFonts w:ascii="Arial" w:cs="Arial" w:eastAsia="Arial" w:hAnsi="Arial"/>
          <w:sz w:val="16"/>
          <w:szCs w:val="16"/>
          <w:color w:val="auto"/>
        </w:rPr>
        <w:t>”) for the one year period commencing on the second anniversary of the Effective Date and ending on the third anniversary of the Effective Date. ”</w:t>
      </w:r>
      <w:r>
        <w:rPr>
          <w:rFonts w:ascii="Arial" w:cs="Arial" w:eastAsia="Arial" w:hAnsi="Arial"/>
          <w:sz w:val="16"/>
          <w:szCs w:val="16"/>
          <w:i w:val="1"/>
          <w:iCs w:val="1"/>
          <w:color w:val="auto"/>
        </w:rPr>
        <w:t>Base Salary</w:t>
      </w:r>
      <w:r>
        <w:rPr>
          <w:rFonts w:ascii="Arial" w:cs="Arial" w:eastAsia="Arial" w:hAnsi="Arial"/>
          <w:sz w:val="16"/>
          <w:szCs w:val="16"/>
          <w:color w:val="auto"/>
        </w:rPr>
        <w:t>” means the First Year Base Salary, the Second Year Base Salary or the Third Year Base Salary, whichever is in effect at the time of the determination. The Base Salary will be payable to the Executive by the Company in regular installments in accordance with the Company’s general payroll practices. The Executive shall receive such increases (but not decreases) in his Base Salary as the Board, or the compensation committee of the Board, may approve in its sole discretion from time to time. Following the initial three years, the Base Salary shall be reviewed at least annually.</w:t>
      </w:r>
    </w:p>
    <w:p>
      <w:pPr>
        <w:spacing w:after="0" w:line="166" w:lineRule="exact"/>
        <w:rPr>
          <w:rFonts w:ascii="Arial" w:cs="Arial" w:eastAsia="Arial" w:hAnsi="Arial"/>
          <w:sz w:val="16"/>
          <w:szCs w:val="16"/>
          <w:color w:val="auto"/>
        </w:rPr>
      </w:pPr>
    </w:p>
    <w:p>
      <w:pPr>
        <w:ind w:right="220" w:firstLine="721"/>
        <w:spacing w:after="0" w:line="273" w:lineRule="auto"/>
        <w:tabs>
          <w:tab w:leader="none" w:pos="1373" w:val="left"/>
        </w:tabs>
        <w:numPr>
          <w:ilvl w:val="0"/>
          <w:numId w:val="77"/>
        </w:numPr>
        <w:rPr>
          <w:rFonts w:ascii="Arial" w:cs="Arial" w:eastAsia="Arial" w:hAnsi="Arial"/>
          <w:sz w:val="17"/>
          <w:szCs w:val="17"/>
          <w:color w:val="auto"/>
        </w:rPr>
      </w:pPr>
      <w:r>
        <w:rPr>
          <w:rFonts w:ascii="Arial" w:cs="Arial" w:eastAsia="Arial" w:hAnsi="Arial"/>
          <w:sz w:val="17"/>
          <w:szCs w:val="17"/>
          <w:color w:val="auto"/>
        </w:rPr>
        <w:t>Cash Bonuses. Executive shall be eligible for annual cash bonuses (“</w:t>
      </w:r>
      <w:r>
        <w:rPr>
          <w:rFonts w:ascii="Arial" w:cs="Arial" w:eastAsia="Arial" w:hAnsi="Arial"/>
          <w:sz w:val="17"/>
          <w:szCs w:val="17"/>
          <w:i w:val="1"/>
          <w:iCs w:val="1"/>
          <w:color w:val="auto"/>
        </w:rPr>
        <w:t>Cash Bonus</w:t>
      </w:r>
      <w:r>
        <w:rPr>
          <w:rFonts w:ascii="Arial" w:cs="Arial" w:eastAsia="Arial" w:hAnsi="Arial"/>
          <w:sz w:val="17"/>
          <w:szCs w:val="17"/>
          <w:color w:val="auto"/>
        </w:rPr>
        <w:t>”) of up to $450,000 for each completed calendar year (subject to Section 1.4 hereof) of the Company during the Term in accordance with this Section 1.3(b). The Cash Bonus shall be the percentage of five percent (5%) of the licensing income in excess of $8,000,000 earned and received by the Company in a calendar year as set forth in the chart below. The Cash Bonus shall be determined as earned based on the level of the Company’s Adjusted EBITDA (as defined below) achieved for such year against the target level of Adjusted EBITDA (“</w:t>
      </w:r>
      <w:r>
        <w:rPr>
          <w:rFonts w:ascii="Arial" w:cs="Arial" w:eastAsia="Arial" w:hAnsi="Arial"/>
          <w:sz w:val="17"/>
          <w:szCs w:val="17"/>
          <w:i w:val="1"/>
          <w:iCs w:val="1"/>
          <w:color w:val="auto"/>
        </w:rPr>
        <w:t>Target Adjusted EBITDA</w:t>
      </w:r>
      <w:r>
        <w:rPr>
          <w:rFonts w:ascii="Arial" w:cs="Arial" w:eastAsia="Arial" w:hAnsi="Arial"/>
          <w:sz w:val="17"/>
          <w:szCs w:val="17"/>
          <w:color w:val="auto"/>
        </w:rPr>
        <w:t>”) established for such year by the Compensation Committee of the Board (the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w:t>
      </w:r>
      <w:r>
        <w:rPr>
          <w:rFonts w:ascii="Arial" w:cs="Arial" w:eastAsia="Arial" w:hAnsi="Arial"/>
          <w:sz w:val="17"/>
          <w:szCs w:val="17"/>
          <w:color w:val="auto"/>
        </w:rPr>
        <w:t>”), in its sole discretion, but with prior consultation with the Executive, as follows: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93"/>
              </w:rPr>
              <w:t>Annual Level of</w:t>
            </w:r>
          </w:p>
        </w:tc>
        <w:tc>
          <w:tcPr>
            <w:tcW w:w="8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Percentage of 5% of</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93"/>
              </w:rPr>
              <w:t>Target Adjusted EBITDA</w:t>
            </w:r>
          </w:p>
        </w:tc>
        <w:tc>
          <w:tcPr>
            <w:tcW w:w="80" w:type="dxa"/>
            <w:vAlign w:val="bottom"/>
          </w:tcPr>
          <w:p>
            <w:pPr>
              <w:spacing w:after="0"/>
              <w:rPr>
                <w:sz w:val="18"/>
                <w:szCs w:val="18"/>
                <w:color w:val="auto"/>
              </w:rPr>
            </w:pPr>
          </w:p>
        </w:tc>
        <w:tc>
          <w:tcPr>
            <w:tcW w:w="23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the licensing income earned by</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91"/>
              </w:rPr>
              <w:t>Achieved for each fiscal year ending</w:t>
            </w:r>
          </w:p>
        </w:tc>
        <w:tc>
          <w:tcPr>
            <w:tcW w:w="80" w:type="dxa"/>
            <w:vAlign w:val="bottom"/>
          </w:tcPr>
          <w:p>
            <w:pPr>
              <w:spacing w:after="0"/>
              <w:rPr>
                <w:sz w:val="18"/>
                <w:szCs w:val="18"/>
                <w:color w:val="auto"/>
              </w:rPr>
            </w:pPr>
          </w:p>
        </w:tc>
        <w:tc>
          <w:tcPr>
            <w:tcW w:w="23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the Company in</w:t>
            </w:r>
          </w:p>
        </w:tc>
      </w:tr>
      <w:tr>
        <w:trPr>
          <w:trHeight w:val="230"/>
        </w:trPr>
        <w:tc>
          <w:tcPr>
            <w:tcW w:w="552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December 31, 2011 and thereafter</w:t>
            </w:r>
          </w:p>
        </w:tc>
        <w:tc>
          <w:tcPr>
            <w:tcW w:w="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excess of $8 million</w:t>
            </w:r>
          </w:p>
        </w:tc>
        <w:tc>
          <w:tcPr>
            <w:tcW w:w="160" w:type="dxa"/>
            <w:vAlign w:val="bottom"/>
          </w:tcPr>
          <w:p>
            <w:pPr>
              <w:spacing w:after="0"/>
              <w:rPr>
                <w:sz w:val="20"/>
                <w:szCs w:val="20"/>
                <w:color w:val="auto"/>
              </w:rPr>
            </w:pPr>
          </w:p>
        </w:tc>
      </w:tr>
      <w:tr>
        <w:trPr>
          <w:trHeight w:val="210"/>
        </w:trPr>
        <w:tc>
          <w:tcPr>
            <w:tcW w:w="5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0%-49%</w:t>
            </w:r>
          </w:p>
        </w:tc>
        <w:tc>
          <w:tcPr>
            <w:tcW w:w="24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520" w:type="dxa"/>
            <w:vAlign w:val="bottom"/>
          </w:tcPr>
          <w:p>
            <w:pPr>
              <w:jc w:val="center"/>
              <w:spacing w:after="0"/>
              <w:rPr>
                <w:sz w:val="20"/>
                <w:szCs w:val="20"/>
                <w:color w:val="auto"/>
              </w:rPr>
            </w:pPr>
            <w:r>
              <w:rPr>
                <w:rFonts w:ascii="Arial" w:cs="Arial" w:eastAsia="Arial" w:hAnsi="Arial"/>
                <w:sz w:val="18"/>
                <w:szCs w:val="18"/>
                <w:color w:val="auto"/>
                <w:w w:val="92"/>
              </w:rPr>
              <w:t>50%-69%</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5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70%-89%</w:t>
            </w:r>
          </w:p>
        </w:tc>
        <w:tc>
          <w:tcPr>
            <w:tcW w:w="246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520" w:type="dxa"/>
            <w:vAlign w:val="bottom"/>
          </w:tcPr>
          <w:p>
            <w:pPr>
              <w:jc w:val="center"/>
              <w:spacing w:after="0"/>
              <w:rPr>
                <w:sz w:val="20"/>
                <w:szCs w:val="20"/>
                <w:color w:val="auto"/>
              </w:rPr>
            </w:pPr>
            <w:r>
              <w:rPr>
                <w:rFonts w:ascii="Arial" w:cs="Arial" w:eastAsia="Arial" w:hAnsi="Arial"/>
                <w:sz w:val="18"/>
                <w:szCs w:val="18"/>
                <w:color w:val="auto"/>
                <w:w w:val="93"/>
              </w:rPr>
              <w:t>90%-100%</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100%</w:t>
            </w:r>
          </w:p>
        </w:tc>
      </w:tr>
    </w:tbl>
    <w:p>
      <w:pPr>
        <w:spacing w:after="0" w:line="19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There shall be no interpolation between each target level. The Cash Bonus shall be awarded to the Executive on the date that is the earlier of (i)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the end of the fiscal year to which the Cash Bonus relates and (ii) the first business day following the date the Company’s annual report on Form 10-K for the fiscal year to which the Cash Bonus relates is filed with the Securities and Exchange Commission. Notwithstanding the foregoing, all payments of Cash Bonuses shall be made on a date that allows such payments to comply with the requirements of Section 409A of the Code. Executive shall be eligible to receive a pro rata portion of the Cash Bonus if Executive’s employment is less than a full year or ceases prior to the end of the calendar year for which a Cash Bonus has not yet been paid.</w:t>
      </w:r>
    </w:p>
    <w:p>
      <w:pPr>
        <w:spacing w:after="0" w:line="20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“Adjusted EBITDA” shall mean for any period, for the Company and its subsidiaries on a consolidated basis (without duplication), an amount equal to (a) consolidated net income (as determined in accordance with generally accepted accounting principles of the United States of America as in effect from time to time) (“Consolidated Net Income”) for such period, minus, (b) to the extent included in calculating Consolidated Net Income, the sum of, without duplication, (i) income tax credits for such period, and (ii) gain from extraordinary or non-recurring items for such period (including, without limitation, non-cash items related to purchase accounting), plus (c) the following to the extent deducted in calculating such Consolidated Net Income, (i) interest expense and other finance costs (whether cash or non-cash) for such period (ii) the provision for federal, state, local and foreign income taxes for such period, (iii) the amount of depreciation and amortization expense for such period, (iv) the transaction fees, costs and expenses incurred in connection with the acquisition of Isaac Mizrahi and any other subsequent brand acquisition in such period, (v) all other extraordinary or non-recurring non-cash charges (including, without limitation, non-cash items related to purchase accounting), and (vi) non-cash stock or equity compensation in such period.</w:t>
      </w:r>
    </w:p>
    <w:p>
      <w:pPr>
        <w:spacing w:after="0" w:line="167" w:lineRule="exact"/>
        <w:rPr>
          <w:sz w:val="20"/>
          <w:szCs w:val="20"/>
          <w:color w:val="auto"/>
        </w:rPr>
      </w:pPr>
    </w:p>
    <w:p>
      <w:pPr>
        <w:ind w:firstLine="721"/>
        <w:spacing w:after="0" w:line="277" w:lineRule="auto"/>
        <w:tabs>
          <w:tab w:leader="none" w:pos="14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Withholding. All payments made under this Agreement (including Base Salary, Cash Bonuses, and other amounts) shall be subject to withholding for income taxes, payroll taxes and other legally required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jc w:val="both"/>
        <w:ind w:left="-721" w:firstLine="721"/>
        <w:spacing w:after="0" w:line="264" w:lineRule="auto"/>
        <w:tabs>
          <w:tab w:leader="none" w:pos="673"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Automobile Allowance. The Company will furnish the Executive with an automobile appropriate for his level of position and shall pay to the Executive (in addition to monthly lease or other payments) all of the related expenses for gasoline, insurance, maintenance, repairs or any other costs associated with the Executive’s automobile.</w:t>
      </w:r>
    </w:p>
    <w:p>
      <w:pPr>
        <w:spacing w:after="0" w:line="181" w:lineRule="exact"/>
        <w:rPr>
          <w:rFonts w:ascii="Arial" w:cs="Arial" w:eastAsia="Arial" w:hAnsi="Arial"/>
          <w:sz w:val="18"/>
          <w:szCs w:val="18"/>
          <w:color w:val="auto"/>
        </w:rPr>
      </w:pPr>
    </w:p>
    <w:p>
      <w:pPr>
        <w:jc w:val="both"/>
        <w:ind w:left="-721" w:firstLine="721"/>
        <w:spacing w:after="0" w:line="270" w:lineRule="auto"/>
        <w:tabs>
          <w:tab w:leader="none" w:pos="694" w:val="left"/>
        </w:tabs>
        <w:numPr>
          <w:ilvl w:val="0"/>
          <w:numId w:val="79"/>
        </w:numPr>
        <w:rPr>
          <w:rFonts w:ascii="Arial" w:cs="Arial" w:eastAsia="Arial" w:hAnsi="Arial"/>
          <w:sz w:val="17"/>
          <w:szCs w:val="17"/>
          <w:color w:val="auto"/>
        </w:rPr>
      </w:pPr>
      <w:r>
        <w:rPr>
          <w:rFonts w:ascii="Arial" w:cs="Arial" w:eastAsia="Arial" w:hAnsi="Arial"/>
          <w:sz w:val="17"/>
          <w:szCs w:val="17"/>
          <w:color w:val="auto"/>
        </w:rPr>
        <w:t>Expenses. The Company will reimburse the Executive for all reasonable expenses incurred by him in the course of performing his duties under this Agreement that are consistent with the Company’s policies in effect at that time with respect to travel, entertainment and other business expenses, subject to the Company’s requirements with respect to reporting and documentation of such expenses. Subject to this Section 1.3(e), all expense reimbursement payments for documented expenses shall be made in accordance with the Company expense reimbursement policy. In addition, the Company shall reimburse the Executive for $50,000 annually for any undocumented expenses each calendar year (pro-rated for any partial calendar year during the Employment Period), without regard to whether such expenses would be reimbursable under the Company’s expense reimbursement policy. All expense reimbursement payments pursuant to this Section 1.3(e) shall be made within thirty (30) days after the date that the Executive notifies the Company of such expense; provided, however, that the Executive shall notify the Company of such expenses no later than six (6) months after the end of the calendar year in which such expenses were incurred.</w:t>
      </w:r>
    </w:p>
    <w:p>
      <w:pPr>
        <w:spacing w:after="0" w:line="181" w:lineRule="exact"/>
        <w:rPr>
          <w:rFonts w:ascii="Arial" w:cs="Arial" w:eastAsia="Arial" w:hAnsi="Arial"/>
          <w:sz w:val="17"/>
          <w:szCs w:val="17"/>
          <w:color w:val="auto"/>
        </w:rPr>
      </w:pPr>
    </w:p>
    <w:p>
      <w:pPr>
        <w:jc w:val="both"/>
        <w:ind w:left="-721" w:firstLine="721"/>
        <w:spacing w:after="0" w:line="257" w:lineRule="auto"/>
        <w:tabs>
          <w:tab w:leader="none" w:pos="676" w:val="left"/>
        </w:tabs>
        <w:numPr>
          <w:ilvl w:val="0"/>
          <w:numId w:val="79"/>
        </w:numPr>
        <w:rPr>
          <w:rFonts w:ascii="Arial" w:cs="Arial" w:eastAsia="Arial" w:hAnsi="Arial"/>
          <w:sz w:val="18"/>
          <w:szCs w:val="18"/>
          <w:color w:val="auto"/>
        </w:rPr>
      </w:pPr>
      <w:r>
        <w:rPr>
          <w:rFonts w:ascii="Arial" w:cs="Arial" w:eastAsia="Arial" w:hAnsi="Arial"/>
          <w:sz w:val="18"/>
          <w:szCs w:val="18"/>
          <w:color w:val="auto"/>
        </w:rPr>
        <w:t>Vacation; Holiday Pay and Sick Leave. The Executive shall be entitled to five (5) weeks’ paid vacation in each calendar year, which if not taken during any year may be carried forward to any subsequent year. Executive shall receive holiday pay and paid sick leave as provided to other executive employees of the Company. Upon cessation of Executive’s employment for any reason, Executive shall receive pay for all accrued and unused vacation, calculated at his base salary rate in effect at the time of the cessation of his employment, provided that the amount of vacation that Executive shall be entitled to accrue during the Term shall be in accordance with Company policy.</w:t>
      </w:r>
    </w:p>
    <w:p>
      <w:pPr>
        <w:spacing w:after="0" w:line="188" w:lineRule="exact"/>
        <w:rPr>
          <w:rFonts w:ascii="Arial" w:cs="Arial" w:eastAsia="Arial" w:hAnsi="Arial"/>
          <w:sz w:val="18"/>
          <w:szCs w:val="18"/>
          <w:color w:val="auto"/>
        </w:rPr>
      </w:pPr>
    </w:p>
    <w:p>
      <w:pPr>
        <w:jc w:val="both"/>
        <w:ind w:left="-721" w:firstLine="721"/>
        <w:spacing w:after="0" w:line="255" w:lineRule="auto"/>
        <w:tabs>
          <w:tab w:leader="none" w:pos="7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Additional Benefits. During the Employment Period, the Executive shall be entitled to participate (for himself and, as applicable, his dependents) in the group medical, life, 401(k) and other insurance programs, employee benefit plans and perquisites which may be adopted by the Board, or the compensation committee of the Board, from time to time, for participation by the Company’s senior management or executives, as well as dental, life and disability insurance coverage, with payment of, or reimbursement for, such insurance premiums by the Company, subject to, in all cases, the terms and conditions established by the Board with respect to such plans (collectively, the “Benefits”); provided, however, that the Board, in its reasonable discretion, may revise the terms of any Benefits so long as such revision does not have a disproportionately negative impact on the Executive vis-à-vis other Company employees, to the extent applicable.</w:t>
      </w:r>
    </w:p>
    <w:p>
      <w:pPr>
        <w:spacing w:after="0" w:line="189" w:lineRule="exact"/>
        <w:rPr>
          <w:rFonts w:ascii="Arial" w:cs="Arial" w:eastAsia="Arial" w:hAnsi="Arial"/>
          <w:sz w:val="18"/>
          <w:szCs w:val="18"/>
          <w:color w:val="auto"/>
        </w:rPr>
      </w:pPr>
    </w:p>
    <w:p>
      <w:pPr>
        <w:jc w:val="both"/>
        <w:ind w:left="-721" w:firstLine="721"/>
        <w:spacing w:after="0" w:line="264" w:lineRule="auto"/>
        <w:tabs>
          <w:tab w:leader="none" w:pos="891"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Life and Disability Insurance. The Company shall, in accordance with the Company’s policies, reimburse or pay on behalf of the Executive for up to $15,000 and $10,000 per year for Life and Disability Insurance premiums; respectively; with such reimbursements made in the calendar year in which the expense is incurred.</w:t>
      </w:r>
    </w:p>
    <w:p>
      <w:pPr>
        <w:spacing w:after="0" w:line="181" w:lineRule="exact"/>
        <w:rPr>
          <w:rFonts w:ascii="Arial" w:cs="Arial" w:eastAsia="Arial" w:hAnsi="Arial"/>
          <w:sz w:val="18"/>
          <w:szCs w:val="18"/>
          <w:color w:val="auto"/>
        </w:rPr>
      </w:pPr>
    </w:p>
    <w:p>
      <w:pPr>
        <w:jc w:val="both"/>
        <w:ind w:left="-721" w:firstLine="721"/>
        <w:spacing w:after="0" w:line="255" w:lineRule="auto"/>
        <w:tabs>
          <w:tab w:leader="none" w:pos="703"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Indemnification. The Executive shall be entitled to indemnification by the Company in the same circumstances and to the same extent as the other executive officers and directors of the Company, which indemnification shall in no event be less favorable to the Executive than the fullest scope of indemnification permitted by applicable Delaware law (or any such greater scope of indemnification provided by agreement or by the terms of the Company’s Certificate of Incorporation or By-Laws to any executive officer or director of the Company). The Executive shall also be named as an additional insured under the directors’ and officers’ liability insurance policy maintained by the Company and shall be entitled to the same level of coverage provided thereby to the other executive officers and directors of the Company.</w:t>
      </w:r>
    </w:p>
    <w:p>
      <w:pPr>
        <w:spacing w:after="0" w:line="193" w:lineRule="exact"/>
        <w:rPr>
          <w:rFonts w:ascii="Arial" w:cs="Arial" w:eastAsia="Arial" w:hAnsi="Arial"/>
          <w:sz w:val="18"/>
          <w:szCs w:val="18"/>
          <w:color w:val="auto"/>
        </w:rPr>
      </w:pPr>
    </w:p>
    <w:p>
      <w:pPr>
        <w:jc w:val="both"/>
        <w:ind w:left="-721" w:firstLine="721"/>
        <w:spacing w:after="0" w:line="259" w:lineRule="auto"/>
        <w:tabs>
          <w:tab w:leader="none" w:pos="7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Stock Options. In the event that the Company elects from time to time during the Employment Period to award to its senior management or executives, generally, options to purchase shares of the Company’s stock pursuant to any stock option plan or similar program, the Executive shall be entitled to participate in any such stock option plan or similar program on a basis consistent with the participation of other senior management or executives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401955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9"/>
          </w:cols>
          <w:pgMar w:left="961" w:top="881" w:right="239" w:bottom="1440" w:gutter="0" w:footer="0" w:header="0"/>
        </w:sectPr>
      </w:pPr>
    </w:p>
    <w:bookmarkStart w:id="98" w:name="page99"/>
    <w:bookmarkEnd w:id="98"/>
    <w:p>
      <w:pPr>
        <w:ind w:right="140" w:firstLine="721"/>
        <w:spacing w:after="0" w:line="257" w:lineRule="auto"/>
        <w:tabs>
          <w:tab w:leader="none" w:pos="13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Warrant. On the Closing Date, the Executive shall receive a warrant (the “</w:t>
      </w:r>
      <w:r>
        <w:rPr>
          <w:rFonts w:ascii="Arial" w:cs="Arial" w:eastAsia="Arial" w:hAnsi="Arial"/>
          <w:sz w:val="18"/>
          <w:szCs w:val="18"/>
          <w:i w:val="1"/>
          <w:iCs w:val="1"/>
          <w:color w:val="auto"/>
        </w:rPr>
        <w:t>Warrant Grant</w:t>
      </w:r>
      <w:r>
        <w:rPr>
          <w:rFonts w:ascii="Arial" w:cs="Arial" w:eastAsia="Arial" w:hAnsi="Arial"/>
          <w:sz w:val="18"/>
          <w:szCs w:val="18"/>
          <w:color w:val="auto"/>
        </w:rPr>
        <w:t>”) a warrant to purchase 239,250 shares of Company’s common stock (the “</w:t>
      </w:r>
      <w:r>
        <w:rPr>
          <w:rFonts w:ascii="Arial" w:cs="Arial" w:eastAsia="Arial" w:hAnsi="Arial"/>
          <w:sz w:val="18"/>
          <w:szCs w:val="18"/>
          <w:i w:val="1"/>
          <w:iCs w:val="1"/>
          <w:color w:val="auto"/>
        </w:rPr>
        <w:t>Warrant</w:t>
      </w:r>
      <w:r>
        <w:rPr>
          <w:rFonts w:ascii="Arial" w:cs="Arial" w:eastAsia="Arial" w:hAnsi="Arial"/>
          <w:sz w:val="18"/>
          <w:szCs w:val="18"/>
          <w:color w:val="auto"/>
        </w:rPr>
        <w:t>”), each with an exercise price per share equal to the price per share of common stock (without allocating any value to any warrants, if any, sold with the common stock) sold in the private placement anticipated to close on or about the same day as the Closing Date. The warrant vests and becomes exercisable on the Closing Date and has a ten-year term. The shares of the Company’s Common Stock underlying the Warrant shall have customary piggy back registration and cashless exercise rights.</w:t>
      </w:r>
    </w:p>
    <w:p>
      <w:pPr>
        <w:spacing w:after="0" w:line="188" w:lineRule="exact"/>
        <w:rPr>
          <w:sz w:val="20"/>
          <w:szCs w:val="20"/>
          <w:color w:val="auto"/>
        </w:rPr>
      </w:pPr>
    </w:p>
    <w:p>
      <w:pPr>
        <w:ind w:left="720"/>
        <w:spacing w:after="0"/>
        <w:tabs>
          <w:tab w:leader="none" w:pos="13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Term and Termination.</w:t>
      </w:r>
    </w:p>
    <w:p>
      <w:pPr>
        <w:spacing w:after="0" w:line="225" w:lineRule="exact"/>
        <w:rPr>
          <w:sz w:val="20"/>
          <w:szCs w:val="20"/>
          <w:color w:val="auto"/>
        </w:rPr>
      </w:pPr>
    </w:p>
    <w:p>
      <w:pPr>
        <w:jc w:val="both"/>
        <w:ind w:firstLine="721"/>
        <w:spacing w:after="0" w:line="286" w:lineRule="auto"/>
        <w:tabs>
          <w:tab w:leader="none" w:pos="1507" w:val="left"/>
        </w:tabs>
        <w:numPr>
          <w:ilvl w:val="1"/>
          <w:numId w:val="81"/>
        </w:numPr>
        <w:rPr>
          <w:rFonts w:ascii="Arial" w:cs="Arial" w:eastAsia="Arial" w:hAnsi="Arial"/>
          <w:sz w:val="16"/>
          <w:szCs w:val="16"/>
          <w:color w:val="auto"/>
        </w:rPr>
      </w:pPr>
      <w:r>
        <w:rPr>
          <w:rFonts w:ascii="Arial" w:cs="Arial" w:eastAsia="Arial" w:hAnsi="Arial"/>
          <w:sz w:val="16"/>
          <w:szCs w:val="16"/>
          <w:color w:val="auto"/>
        </w:rPr>
        <w:t>Duration. The Employment Period shall commence on the Effective Date and the initial term shall terminate three (3) years from the Effective Date (the “</w:t>
      </w:r>
      <w:r>
        <w:rPr>
          <w:rFonts w:ascii="Arial" w:cs="Arial" w:eastAsia="Arial" w:hAnsi="Arial"/>
          <w:sz w:val="16"/>
          <w:szCs w:val="16"/>
          <w:i w:val="1"/>
          <w:iCs w:val="1"/>
          <w:color w:val="auto"/>
        </w:rPr>
        <w:t>Term</w:t>
      </w:r>
      <w:r>
        <w:rPr>
          <w:rFonts w:ascii="Arial" w:cs="Arial" w:eastAsia="Arial" w:hAnsi="Arial"/>
          <w:sz w:val="16"/>
          <w:szCs w:val="16"/>
          <w:color w:val="auto"/>
        </w:rPr>
        <w:t>”), unless earlier terminated by the Company or the Executive as set forth in this Section 1.4 .. The Term shall renew automatically for one-year periods, unless either party gives the other party written notice of its intention not to renew the Agreement no later than 90 days prior to the expiration of the then current Term. The Employment Period shall be terminated prior to the then-applicable expiration of the Term upon the first to occur of</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termination of the Executive’s employment by the Company for Cause, (ii) termination of the Executive’s employment by the Company without Cause,</w:t>
      </w:r>
    </w:p>
    <w:p>
      <w:pPr>
        <w:spacing w:after="0" w:line="32" w:lineRule="exact"/>
        <w:rPr>
          <w:rFonts w:ascii="Arial" w:cs="Arial" w:eastAsia="Arial" w:hAnsi="Arial"/>
          <w:sz w:val="16"/>
          <w:szCs w:val="16"/>
          <w:color w:val="auto"/>
        </w:rPr>
      </w:pPr>
    </w:p>
    <w:p>
      <w:pPr>
        <w:jc w:val="both"/>
        <w:ind w:firstLine="8"/>
        <w:spacing w:after="0" w:line="253" w:lineRule="auto"/>
        <w:tabs>
          <w:tab w:leader="none" w:pos="3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Executive’s resignation with Good Reason, (iv) the Executive’s resignation other than for Good Reason, or (v) the Executive’s death or Disability. The Executive shall not terminate the Employment Period, with or without Good Reason, unless he gives the Company written notice that he intends to terminate the Employment Period at least 90 days prior to the Executive’s proposed Termination Date. As a condition to Executive receiving any payments or benefits under Section 1.4(b) or Section 1.4(c) , the Executive shall execute and deliver to the Company the General Release in the form attached hereto as Exhibit A .</w:t>
      </w:r>
    </w:p>
    <w:p>
      <w:pPr>
        <w:spacing w:after="0" w:line="191" w:lineRule="exact"/>
        <w:rPr>
          <w:rFonts w:ascii="Arial" w:cs="Arial" w:eastAsia="Arial" w:hAnsi="Arial"/>
          <w:sz w:val="18"/>
          <w:szCs w:val="18"/>
          <w:color w:val="auto"/>
        </w:rPr>
      </w:pPr>
    </w:p>
    <w:p>
      <w:pPr>
        <w:ind w:right="60" w:firstLine="721"/>
        <w:spacing w:after="0" w:line="283" w:lineRule="auto"/>
        <w:tabs>
          <w:tab w:leader="none" w:pos="1373"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Severance Upon Termination Without Cause, Upon Resignation by the Executive For Good Reason or Failure to Renew Term . If the Employment Period is terminated by the Company without Cause or if the Executive resigns for Good Reason, or if the Company fails to renew the Term (in which case termination of the Executive’s employment shall be effective at the expiration of the then-current Term), then the Executive will be entitled to receive (1) any unpaid Base Salary through and including the Termination Date and any other amounts, including any unpaid Cash Bonuses or other entitlements then due and owing to the Executive as of the Termination Date; (2) an amount equal to the Executive’s Base Salary (at the rate in effect on the date the Executive’s employment is terminated) for the greater of the remainder of the Term or a two-year period following the Executive’s termination of employment as described in this Section 1.4(b) plus two times the average annual Cash Bonuses paid in the immediate preceding 12 months, payable in a lump sum on the date that is six months following the Executive’s “separation from service” (within the meaning of Section 409A of the Code) occurring in connection with such termination and (3) continue to participate in the Company’s group medical plan on the same basis as he previously participated or receive payment of, or reimbursement for, COBRA premiums (or, if COBRA coverage is not available, reimbursement of premiums paid for other medical insurance in an amount not to exceed the COBRA premium) for an eighteen month period following the Executive’s termination of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Executive is provided with health insurance coverage by a successor employer, any such coverage by the Company shall cease (each of (1), (2) and</w:t>
      </w:r>
    </w:p>
    <w:p>
      <w:pPr>
        <w:spacing w:after="0" w:line="3" w:lineRule="exact"/>
        <w:rPr>
          <w:rFonts w:ascii="Arial" w:cs="Arial" w:eastAsia="Arial" w:hAnsi="Arial"/>
          <w:sz w:val="16"/>
          <w:szCs w:val="16"/>
          <w:color w:val="auto"/>
        </w:rPr>
      </w:pPr>
    </w:p>
    <w:p>
      <w:pPr>
        <w:ind w:right="60"/>
        <w:spacing w:after="0" w:line="252" w:lineRule="auto"/>
        <w:rPr>
          <w:rFonts w:ascii="Arial" w:cs="Arial" w:eastAsia="Arial" w:hAnsi="Arial"/>
          <w:sz w:val="16"/>
          <w:szCs w:val="16"/>
          <w:color w:val="auto"/>
        </w:rPr>
      </w:pPr>
      <w:r>
        <w:rPr>
          <w:rFonts w:ascii="Arial" w:cs="Arial" w:eastAsia="Arial" w:hAnsi="Arial"/>
          <w:sz w:val="18"/>
          <w:szCs w:val="18"/>
          <w:color w:val="auto"/>
        </w:rPr>
        <w:t>(3) referred to as the “</w:t>
      </w:r>
      <w:r>
        <w:rPr>
          <w:rFonts w:ascii="Arial" w:cs="Arial" w:eastAsia="Arial" w:hAnsi="Arial"/>
          <w:sz w:val="18"/>
          <w:szCs w:val="18"/>
          <w:i w:val="1"/>
          <w:iCs w:val="1"/>
          <w:color w:val="auto"/>
        </w:rPr>
        <w:t>Severance Payment</w:t>
      </w:r>
      <w:r>
        <w:rPr>
          <w:rFonts w:ascii="Arial" w:cs="Arial" w:eastAsia="Arial" w:hAnsi="Arial"/>
          <w:sz w:val="18"/>
          <w:szCs w:val="18"/>
          <w:color w:val="auto"/>
        </w:rPr>
        <w:t xml:space="preserve">”). The Executive also shall be entitled to receive payment for all reimbursable expenses or other entitlements then due and owing to the Executive as of the Termination Date including payments in full for any amounts due and owing under Section 1.3(d) </w:t>
      </w:r>
      <w:r>
        <w:rPr>
          <w:rFonts w:ascii="Arial" w:cs="Arial" w:eastAsia="Arial" w:hAnsi="Arial"/>
          <w:sz w:val="18"/>
          <w:szCs w:val="18"/>
          <w:i w:val="1"/>
          <w:iCs w:val="1"/>
          <w:color w:val="auto"/>
        </w:rPr>
        <w:t>.</w:t>
      </w:r>
      <w:r>
        <w:rPr>
          <w:rFonts w:ascii="Arial" w:cs="Arial" w:eastAsia="Arial" w:hAnsi="Arial"/>
          <w:sz w:val="18"/>
          <w:szCs w:val="18"/>
          <w:color w:val="auto"/>
        </w:rPr>
        <w:t xml:space="preserve"> If the Executive breaches his obligations under Section 1.6, 1.7, 1.8 or 1.9 of this Agreement, the Company’s obligation to make any Severance Payments and provide any Benefits shall cease as of the date of such breach; provided, that if the Executive cures such breach within 10 days of receiving written notice from the Company of such breach (which notice the Company shall provide promptly to the Executive after learning of such breach), the Company shall promptly pay all Severance Payments not made during such period of dispute and resume making Severance Payments and providing Benefits promptly following such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9" w:name="page100"/>
    <w:bookmarkEnd w:id="99"/>
    <w:p>
      <w:pPr>
        <w:jc w:val="both"/>
        <w:ind w:left="-720" w:firstLine="721"/>
        <w:spacing w:after="0" w:line="286" w:lineRule="auto"/>
        <w:tabs>
          <w:tab w:leader="none" w:pos="648" w:val="left"/>
        </w:tabs>
        <w:numPr>
          <w:ilvl w:val="0"/>
          <w:numId w:val="84"/>
        </w:numPr>
        <w:rPr>
          <w:rFonts w:ascii="Arial" w:cs="Arial" w:eastAsia="Arial" w:hAnsi="Arial"/>
          <w:sz w:val="16"/>
          <w:szCs w:val="16"/>
          <w:color w:val="auto"/>
        </w:rPr>
      </w:pPr>
      <w:r>
        <w:rPr>
          <w:rFonts w:ascii="Arial" w:cs="Arial" w:eastAsia="Arial" w:hAnsi="Arial"/>
          <w:sz w:val="16"/>
          <w:szCs w:val="16"/>
          <w:color w:val="auto"/>
        </w:rPr>
        <w:t>Severance upon a Change of Control. Anything contained herein to the contrary notwithstanding, in the event the Executive’s employment hereunder is terminated within twelve (12) months following a Change of Control by the Company without Cause or by the Executive with Good Reason, the Executive shall be entitled to receive the Severance Payment as described in sub-section (b)(2) above multiplied by two (2) minus $100; provided, however, that if such lump sum Severance Payment, either alone or together with other payments or benefits, either cash or non-cash, that the Executive has the right to receive from the Company, including, but not limited to, accelerated vesting or payment of any deferred compensation, options, stock appreciation rights or any benefits payable to the Executive under any plan for the benefit of employees, would constitute an “excess parachute payment” (as defined in Section 280G of the Code), then such lump sum severance payment or other benefit shall be reduced to the largest amount that will not result in receipt by the Executive of an “excess parachute payment.” The determination of the amount of the payment described in this subsection shall be made by the Company’s independent auditors at the sole expense of the Company. For purposes of clarification the value of any options described above will be determined by the Company’s independent auditors using a Black-Scholes valuation methodology. If within twelve (12) months after the occurrence of a Change of Control, the Company shall terminate the Executive’s employment without Cause or the Executive terminates his employment with Good Reason, then notwithstanding the vesting and exercisability schedule in any stock option or other grant agreement between the Company and the Executive, all unvested stock options, shares of restricted stock and other equity awards granted by the Company to the Executive pursuant to any such agreement shall immediately vest, and all such stock options shall become exercisable and shall remain exercisable for the lesser of 180 days after the effective Termination Date of the Executive’s employment or the remaining term of the applicable option.</w:t>
      </w:r>
    </w:p>
    <w:p>
      <w:pPr>
        <w:spacing w:after="0" w:line="168" w:lineRule="exact"/>
        <w:rPr>
          <w:rFonts w:ascii="Arial" w:cs="Arial" w:eastAsia="Arial" w:hAnsi="Arial"/>
          <w:sz w:val="16"/>
          <w:szCs w:val="16"/>
          <w:color w:val="auto"/>
        </w:rPr>
      </w:pPr>
    </w:p>
    <w:p>
      <w:pPr>
        <w:jc w:val="both"/>
        <w:ind w:left="-720" w:firstLine="721"/>
        <w:spacing w:after="0" w:line="293" w:lineRule="auto"/>
        <w:tabs>
          <w:tab w:leader="none" w:pos="825" w:val="left"/>
        </w:tabs>
        <w:numPr>
          <w:ilvl w:val="0"/>
          <w:numId w:val="84"/>
        </w:numPr>
        <w:rPr>
          <w:rFonts w:ascii="Arial" w:cs="Arial" w:eastAsia="Arial" w:hAnsi="Arial"/>
          <w:sz w:val="16"/>
          <w:szCs w:val="16"/>
          <w:color w:val="auto"/>
        </w:rPr>
      </w:pPr>
      <w:r>
        <w:rPr>
          <w:rFonts w:ascii="Arial" w:cs="Arial" w:eastAsia="Arial" w:hAnsi="Arial"/>
          <w:sz w:val="16"/>
          <w:szCs w:val="16"/>
          <w:color w:val="auto"/>
        </w:rPr>
        <w:t>Death and Disability. In the event of the death or Disability of the Executive, the Company shall pay the Executive his Base Salary through the Termination Date, at the rate then in effect, and all expenses or accrued Benefits arising prior to such termination which are payable to the Executive pursuant to this Agreement through the Termination Date. Any other rights and benefits the Executive may have under employee benefit plans and programs of the Company generally in the event of the Executive’s Disability shall be determined in accordance with the terms of such plans and programs. In the event of Executive’s death, any rights and benefits that the Executive’s estate or any other person may have under employee benefit plans and programs of the Company generally in the event of the Executive’s death shall be determined in accordance with the terms of such plans and programs.</w:t>
      </w:r>
    </w:p>
    <w:p>
      <w:pPr>
        <w:spacing w:after="0" w:line="164" w:lineRule="exact"/>
        <w:rPr>
          <w:rFonts w:ascii="Arial" w:cs="Arial" w:eastAsia="Arial" w:hAnsi="Arial"/>
          <w:sz w:val="16"/>
          <w:szCs w:val="16"/>
          <w:color w:val="auto"/>
        </w:rPr>
      </w:pPr>
    </w:p>
    <w:p>
      <w:pPr>
        <w:jc w:val="both"/>
        <w:ind w:left="-720" w:right="100" w:firstLine="721"/>
        <w:spacing w:after="0" w:line="302" w:lineRule="auto"/>
        <w:tabs>
          <w:tab w:leader="none" w:pos="643" w:val="left"/>
        </w:tabs>
        <w:numPr>
          <w:ilvl w:val="0"/>
          <w:numId w:val="84"/>
        </w:numPr>
        <w:rPr>
          <w:rFonts w:ascii="Arial" w:cs="Arial" w:eastAsia="Arial" w:hAnsi="Arial"/>
          <w:sz w:val="16"/>
          <w:szCs w:val="16"/>
          <w:color w:val="auto"/>
        </w:rPr>
      </w:pPr>
      <w:r>
        <w:rPr>
          <w:rFonts w:ascii="Arial" w:cs="Arial" w:eastAsia="Arial" w:hAnsi="Arial"/>
          <w:sz w:val="16"/>
          <w:szCs w:val="16"/>
          <w:color w:val="auto"/>
        </w:rPr>
        <w:t>Salary and Other Payments Through Termination. If the Executive’s employment with the Company is terminated during the Term (i) by the Company for Cause or (ii) by the Executive other than for Good Reason, the Executive will be entitled to receive his Base Salary at the rate then in effect through the Termination Date, but will not be entitled to receive any Severance Payments or Benefits after the Termination Date. The Executive shall be entitled to receive payment for all reimbursable expenses or other entitlements then due and owing to the Executive as of the Termination Date.</w:t>
      </w:r>
    </w:p>
    <w:p>
      <w:pPr>
        <w:spacing w:after="0" w:line="154" w:lineRule="exact"/>
        <w:rPr>
          <w:rFonts w:ascii="Arial" w:cs="Arial" w:eastAsia="Arial" w:hAnsi="Arial"/>
          <w:sz w:val="16"/>
          <w:szCs w:val="16"/>
          <w:color w:val="auto"/>
        </w:rPr>
      </w:pPr>
    </w:p>
    <w:p>
      <w:pPr>
        <w:jc w:val="both"/>
        <w:ind w:left="-720" w:firstLine="721"/>
        <w:spacing w:after="0" w:line="264" w:lineRule="auto"/>
        <w:tabs>
          <w:tab w:leader="none" w:pos="699" w:val="left"/>
        </w:tabs>
        <w:numPr>
          <w:ilvl w:val="0"/>
          <w:numId w:val="84"/>
        </w:numPr>
        <w:rPr>
          <w:rFonts w:ascii="Arial" w:cs="Arial" w:eastAsia="Arial" w:hAnsi="Arial"/>
          <w:sz w:val="18"/>
          <w:szCs w:val="18"/>
          <w:color w:val="auto"/>
        </w:rPr>
      </w:pPr>
      <w:r>
        <w:rPr>
          <w:rFonts w:ascii="Arial" w:cs="Arial" w:eastAsia="Arial" w:hAnsi="Arial"/>
          <w:sz w:val="18"/>
          <w:szCs w:val="18"/>
          <w:color w:val="auto"/>
        </w:rPr>
        <w:t>Other Rights. Except as set forth in this Section 1.4 and Section 1.3, all of the Executive’s rights to receive Base Salary at the rate then in effect, Benefits and the Cash Bonuses hereunder (if any) which accrue or become payable after the termination of the Employment Period shall cease upon such termination.</w:t>
      </w:r>
    </w:p>
    <w:p>
      <w:pPr>
        <w:spacing w:after="0" w:line="181" w:lineRule="exact"/>
        <w:rPr>
          <w:rFonts w:ascii="Arial" w:cs="Arial" w:eastAsia="Arial" w:hAnsi="Arial"/>
          <w:sz w:val="18"/>
          <w:szCs w:val="18"/>
          <w:color w:val="auto"/>
        </w:rPr>
      </w:pPr>
    </w:p>
    <w:p>
      <w:pPr>
        <w:jc w:val="both"/>
        <w:ind w:left="-720" w:firstLine="721"/>
        <w:spacing w:after="0" w:line="259" w:lineRule="auto"/>
        <w:tabs>
          <w:tab w:leader="none" w:pos="875"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Continuing Benefits. Notwithstanding Section 1.4(f), termination pursuant to this Section 1.4 shall not modify or affect in any way whatsoever any vested right of the Executive to benefits payable under any retirement or pension plan or under any other employee benefit plan of the Company, and all such benefits shall continue, in accordance with, and subject to, the terms and conditions of such plans, to be payable in full to, or on account of, the Executive after such termination.</w:t>
      </w:r>
    </w:p>
    <w:p>
      <w:pPr>
        <w:spacing w:after="0" w:line="186" w:lineRule="exact"/>
        <w:rPr>
          <w:rFonts w:ascii="Arial" w:cs="Arial" w:eastAsia="Arial" w:hAnsi="Arial"/>
          <w:sz w:val="18"/>
          <w:szCs w:val="18"/>
          <w:color w:val="auto"/>
        </w:rPr>
      </w:pPr>
    </w:p>
    <w:p>
      <w:pPr>
        <w:ind w:left="-720" w:right="20" w:firstLine="721"/>
        <w:spacing w:after="0" w:line="277" w:lineRule="auto"/>
        <w:tabs>
          <w:tab w:leader="none" w:pos="8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 Duty of Mitigation. The Executive shall not be required to mitigate the amount of any payment provided for in this Article I by seeking other employment or otherwise.</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426720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881" w:right="239" w:bottom="1440" w:gutter="0" w:footer="0" w:header="0"/>
        </w:sectPr>
      </w:pPr>
    </w:p>
    <w:bookmarkStart w:id="100" w:name="page101"/>
    <w:bookmarkEnd w:id="100"/>
    <w:p>
      <w:pPr>
        <w:ind w:left="720"/>
        <w:spacing w:after="0"/>
        <w:tabs>
          <w:tab w:leader="none" w:pos="13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Confidential Information.</w:t>
      </w:r>
    </w:p>
    <w:p>
      <w:pPr>
        <w:spacing w:after="0" w:line="225" w:lineRule="exact"/>
        <w:rPr>
          <w:sz w:val="20"/>
          <w:szCs w:val="20"/>
          <w:color w:val="auto"/>
        </w:rPr>
      </w:pPr>
    </w:p>
    <w:p>
      <w:pPr>
        <w:jc w:val="both"/>
        <w:ind w:firstLine="721"/>
        <w:spacing w:after="0" w:line="288" w:lineRule="auto"/>
        <w:tabs>
          <w:tab w:leader="none" w:pos="145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Executive shall not disclose or, directly or indirectly, use at any time, during the Employment Period or thereafter, any Confidential Information (as defined below) of which the Executive is or becomes aware, whether or not such information is developed by him, alone or with others, except to the extent that (i) such disclosure or use is required by the Executive’s performance of the duties assigned to the Executive by the Board, (ii) the Executive is required by subpoena or similar process to disclose or discuss any Confidential Information, provided, that in such case, the Executive shall promptly inform the Company in writing of such event, shall cooperate with the Company in attempting to obtain a protective order or to otherwise limit or restrict such disclosure to the greatest extent possible, and shall disclose only that portion of the Confidential Information as is strictly required, or (iii) such Confidential Information is or becomes generally known to and available for use by the public, other than as a result of any action or inaction directly or indirectly by the Executive. At the Company’s expense, the Executive shall take all appropriate steps to safeguard Confidential Information and to protect it against disclosure, misuse, espionage, loss and theft. The Executive acknowledges that the Confidential Information obtained by him during the course of his employment with the Company is the sole and exclusive property of the Company and its Subsidiaries, as applicable.</w:t>
      </w:r>
    </w:p>
    <w:p>
      <w:pPr>
        <w:spacing w:after="0" w:line="169" w:lineRule="exact"/>
        <w:rPr>
          <w:rFonts w:ascii="Arial" w:cs="Arial" w:eastAsia="Arial" w:hAnsi="Arial"/>
          <w:sz w:val="16"/>
          <w:szCs w:val="16"/>
          <w:color w:val="auto"/>
        </w:rPr>
      </w:pPr>
    </w:p>
    <w:p>
      <w:pPr>
        <w:ind w:left="1380" w:hanging="659"/>
        <w:spacing w:after="0"/>
        <w:tabs>
          <w:tab w:leader="none" w:pos="13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Executive understands that the Company and its Subsidiaries will receive from third parties confidential or proprietary information</w:t>
      </w:r>
    </w:p>
    <w:p>
      <w:pPr>
        <w:spacing w:after="0" w:line="3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Third Party Information</w:t>
      </w:r>
      <w:r>
        <w:rPr>
          <w:rFonts w:ascii="Arial" w:cs="Arial" w:eastAsia="Arial" w:hAnsi="Arial"/>
          <w:sz w:val="17"/>
          <w:szCs w:val="17"/>
          <w:color w:val="auto"/>
        </w:rPr>
        <w:t>”) subject to a duty on the part of the Company and its Subsidiaries to maintain the confidentiality of such information and to use it only for certain limited purposes. During the Employment Period and in the period specified in such confidentiality agreements, and without in any way limiting the provisions of Section 1.6(a) above, the Executive will hold Third Party Information in confidence, consistent with the obligations applicable to Confidential Information of the Company generally, and will not disclose to anyone (other than personnel and agents of the Company or its Subsidiaries who need to know such information in connection with their work for the Company or its Subsidiaries) or use, except in connection with his work for the Company or its Subsidiaries, Third Party Information unless expressly authorized by the Board in writing.</w:t>
      </w:r>
    </w:p>
    <w:p>
      <w:pPr>
        <w:spacing w:after="0" w:line="179" w:lineRule="exact"/>
        <w:rPr>
          <w:sz w:val="20"/>
          <w:szCs w:val="20"/>
          <w:color w:val="auto"/>
        </w:rPr>
      </w:pPr>
    </w:p>
    <w:p>
      <w:pPr>
        <w:jc w:val="both"/>
        <w:ind w:firstLine="721"/>
        <w:spacing w:after="0" w:line="270" w:lineRule="auto"/>
        <w:tabs>
          <w:tab w:leader="none" w:pos="1456" w:val="left"/>
        </w:tabs>
        <w:numPr>
          <w:ilvl w:val="0"/>
          <w:numId w:val="86"/>
        </w:numPr>
        <w:rPr>
          <w:rFonts w:ascii="Arial" w:cs="Arial" w:eastAsia="Arial" w:hAnsi="Arial"/>
          <w:sz w:val="17"/>
          <w:szCs w:val="17"/>
          <w:color w:val="auto"/>
        </w:rPr>
      </w:pPr>
      <w:r>
        <w:rPr>
          <w:rFonts w:ascii="Arial" w:cs="Arial" w:eastAsia="Arial" w:hAnsi="Arial"/>
          <w:sz w:val="17"/>
          <w:szCs w:val="17"/>
          <w:color w:val="auto"/>
        </w:rPr>
        <w:t>As used in this Agreement, the term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means information that is not generally known to the public and that is related in any way to the actual or anticipated business of the Company, its Subsidiaries, its Affiliates or any of their respective predecessors in interest, including but not limited to (i) business development, growth and other strategic business plans, (ii) properties available for acquisition, financing development or sale, (iii) accounting and business methods, (iv) services or products and the marketing of such services and products, (v) fees, costs and pricing structures, (vi) designs, (vii) analysis, (viii) drawings, photographs and reports, (ix) computer software, including operating systems, applications and program listings, (x) flow charts, manuals and documentation, (xi) data bases, (xii) inventions, devices, new developments, methods and processes, whether patentable or unpatentable and whether or not reduced to practice, (xiii) copyrightable works, (xiv) all technology and trade secrets, (xv) confidential terms of material agreements and customer relationships, and (xvi) all similar and related information in whatever form or medium. Confidential Information also expressly excludes Executive’s general know-how and business contacts to the extent that the use of such information does not violate or breach the terms of Section 1.9 .</w:t>
      </w:r>
    </w:p>
    <w:p>
      <w:pPr>
        <w:spacing w:after="0" w:line="178" w:lineRule="exact"/>
        <w:rPr>
          <w:sz w:val="20"/>
          <w:szCs w:val="20"/>
          <w:color w:val="auto"/>
        </w:rPr>
      </w:pPr>
    </w:p>
    <w:p>
      <w:pPr>
        <w:ind w:right="80" w:firstLine="713"/>
        <w:spacing w:after="0" w:line="268" w:lineRule="auto"/>
        <w:rPr>
          <w:sz w:val="20"/>
          <w:szCs w:val="20"/>
          <w:color w:val="auto"/>
        </w:rPr>
      </w:pPr>
      <w:r>
        <w:rPr>
          <w:rFonts w:ascii="Arial" w:cs="Arial" w:eastAsia="Arial" w:hAnsi="Arial"/>
          <w:sz w:val="17"/>
          <w:szCs w:val="17"/>
          <w:color w:val="auto"/>
        </w:rPr>
        <w:t>1.7 Inventions and Patents. Executive acknowledges that all discoveries, concepts, ideas, inventions, innovations, improvements, developments, products, methods, processes, techniques, programs, designs, analyses, drawings, reports, patents, copyrightable works and mask works (whether or not including any Confidential Information) and all issuances, registrations or applications related thereto, all other proprietary information or intellectual property and all similar or related information (whether or not patentable) conceived, developed, contributed to, made, or reduced to practice by Executive (either alone or with others) while employed by Company or any of its Subsidiaries or Affiliates or any of their respective predecessors in interest (including prior to the date of this Agreement) or using the materials, facilities or resources of the Company or any of its Subsidiaries or Affiliates or any of their respective predecessors in interest (collectively, “</w:t>
      </w:r>
      <w:r>
        <w:rPr>
          <w:rFonts w:ascii="Arial" w:cs="Arial" w:eastAsia="Arial" w:hAnsi="Arial"/>
          <w:sz w:val="17"/>
          <w:szCs w:val="17"/>
          <w:i w:val="1"/>
          <w:iCs w:val="1"/>
          <w:color w:val="auto"/>
        </w:rPr>
        <w:t>Company Works</w:t>
      </w:r>
      <w:r>
        <w:rPr>
          <w:rFonts w:ascii="Arial" w:cs="Arial" w:eastAsia="Arial" w:hAnsi="Arial"/>
          <w:sz w:val="17"/>
          <w:szCs w:val="17"/>
          <w:color w:val="auto"/>
        </w:rPr>
        <w:t>”) is the sole and exclusive property of the Company and its Subsidiaries. Executive hereby assigns all right, title and interest in and to all Company Works to the Company and its Subsidiaries and waives any moral rights he may have therein, without further obligation or consideration. Any copyrightable work prepared in whole or in part by the Executive will be deemed “a work made for hire” under Section 201(b) of the 1976 Copyright Act, and the Company and its Subsidiaries shall own all of the rights comprised in the copyright therein. The Executive shall promptly and fully disclose in writing all Company Works to the Company and shall cooperate with the Company and its Subsidiaries to protect, maintain and enforce the Company’s and its Subsidiaries’ interests in and rights to such Company Works (including, without limitation, providing reasonable assistance in securing patent protection and copyright registrations and executing all affidavits, assignments, powers-of-attorney and other documents as reasonably requested by the Company, whether such requests occur prior to or after termination of the Executive’s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jc w:val="both"/>
        <w:ind w:firstLine="713"/>
        <w:spacing w:after="0" w:line="254" w:lineRule="auto"/>
        <w:rPr>
          <w:sz w:val="20"/>
          <w:szCs w:val="20"/>
          <w:color w:val="auto"/>
        </w:rPr>
      </w:pPr>
      <w:r>
        <w:rPr>
          <w:rFonts w:ascii="Arial" w:cs="Arial" w:eastAsia="Arial" w:hAnsi="Arial"/>
          <w:sz w:val="18"/>
          <w:szCs w:val="18"/>
          <w:color w:val="auto"/>
        </w:rPr>
        <w:t>1.8 Delivery of Materials Upon Termination of Employment. As requested by the Company from time to time and in any event upon the termination of the Executive’s employment with the Company , the Executive shall promptly deliver to the Company, or at the Company’s election destroy, all copies and embodiments, in whatever form or medium, of all Confidential Information, Company Works and other property and assets of the Company and its Subsidiaries in the Executive’s possession or within his control (including, but not limited to, office keys, access cards, written records, notes, photographs, manuals, notebooks, documentation, program listings, flow charts, magnetic media, disks, diskettes, tapes computers and handheld devices (including all software, files and documents thereon) and any other materials containing any Confidential Information or Company Works) irrespective of the location or form of such material and, if requested by the Company, shall provide the Company with written confirmation that all such materials have been delivered to the Company or destroyed, as applicable.</w:t>
      </w:r>
    </w:p>
    <w:p>
      <w:pPr>
        <w:spacing w:after="0" w:line="192" w:lineRule="exact"/>
        <w:rPr>
          <w:sz w:val="20"/>
          <w:szCs w:val="20"/>
          <w:color w:val="auto"/>
        </w:rPr>
      </w:pPr>
    </w:p>
    <w:p>
      <w:pPr>
        <w:ind w:left="720"/>
        <w:spacing w:after="0"/>
        <w:tabs>
          <w:tab w:leader="none" w:pos="13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Non-Compete and Non-Solicitation Covenants.</w:t>
      </w:r>
    </w:p>
    <w:p>
      <w:pPr>
        <w:spacing w:after="0" w:line="225" w:lineRule="exact"/>
        <w:rPr>
          <w:sz w:val="20"/>
          <w:szCs w:val="20"/>
          <w:color w:val="auto"/>
        </w:rPr>
      </w:pPr>
    </w:p>
    <w:p>
      <w:pPr>
        <w:jc w:val="both"/>
        <w:ind w:firstLine="721"/>
        <w:spacing w:after="0" w:line="286" w:lineRule="auto"/>
        <w:tabs>
          <w:tab w:leader="none" w:pos="1373"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Executive acknowledges and agrees that the Executive’s services to the Company and its Subsidiaries are unique in nature and that the Company and its Subsidiaries would be irreparably damaged if the Executive were to provide similar services to any Person competing with the Company and its Subsidiaries or engaged in the Business. The Executive further acknowledges that, in the course of his employment with the Company, he will become familiar with the Company’s and its’ Subsidiaries’ trade secrets and with other Confidential Information. During the Noncompete Period, he shall not, directly or indirectly, whether for himself or for any other Person, permit his name to be used by or participate in any business or enterprise (including, without limitation, any division, group or franchise of a larger organization) that engages or proposes to engage in the Business in the Restricted Territories, other than the Company and its Subsidiaries or except as otherwise directed or authorized by the Board. For purposes of this Agreement, the term “participate in” shall include, without limitation, having any direct or indirect interest in any Person, whether as a sole proprietor, owner, stockholder, partner, member, joint venturer, creditor or otherwise, or rendering any direct or indirect service or assistance to any Person (whether as a director, officer, supervisor, employee, agent, consultant or otherwise). Nothing herein will prohibit the Executive from mere passive ownership of not more than five percent (5%) of the outstanding stock of any class of a publicly held corporation whose stock is traded on a national securities exchange or in the over-the-counter market. As used herein, the phrase “mere passive ownership” shall include voting or otherwise granting any consents or approvals required to be obtained from such Person as an owner of stock or other ownership interests in any entity pursuant to the charter or other organizational documents of such entity, but shall not include, without limitation, any involvement in the day-to-day operations of such entity.</w:t>
      </w:r>
    </w:p>
    <w:p>
      <w:pPr>
        <w:spacing w:after="0" w:line="171" w:lineRule="exact"/>
        <w:rPr>
          <w:rFonts w:ascii="Arial" w:cs="Arial" w:eastAsia="Arial" w:hAnsi="Arial"/>
          <w:sz w:val="16"/>
          <w:szCs w:val="16"/>
          <w:color w:val="auto"/>
        </w:rPr>
      </w:pPr>
    </w:p>
    <w:p>
      <w:pPr>
        <w:ind w:right="40" w:firstLine="721"/>
        <w:spacing w:after="0" w:line="272" w:lineRule="auto"/>
        <w:tabs>
          <w:tab w:leader="none" w:pos="1373" w:val="left"/>
        </w:tabs>
        <w:numPr>
          <w:ilvl w:val="0"/>
          <w:numId w:val="87"/>
        </w:numPr>
        <w:rPr>
          <w:rFonts w:ascii="Arial" w:cs="Arial" w:eastAsia="Arial" w:hAnsi="Arial"/>
          <w:sz w:val="17"/>
          <w:szCs w:val="17"/>
          <w:color w:val="auto"/>
        </w:rPr>
      </w:pPr>
      <w:r>
        <w:rPr>
          <w:rFonts w:ascii="Arial" w:cs="Arial" w:eastAsia="Arial" w:hAnsi="Arial"/>
          <w:sz w:val="17"/>
          <w:szCs w:val="17"/>
          <w:color w:val="auto"/>
        </w:rPr>
        <w:t>During the Nonsolicitation Period, the Executive will not directly, or indirectly through another Person, solicit, induce or attempt to induce any customer, supplier, licensee, or other business relation of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The Executive acknowledges and agrees that the Company and its Subsidiaries would be irreparably damaged if the Executive were to breach any of the provisions contained in this Section 1.9(b) ..</w:t>
      </w:r>
    </w:p>
    <w:p>
      <w:pPr>
        <w:spacing w:after="0" w:line="177" w:lineRule="exact"/>
        <w:rPr>
          <w:rFonts w:ascii="Arial" w:cs="Arial" w:eastAsia="Arial" w:hAnsi="Arial"/>
          <w:sz w:val="17"/>
          <w:szCs w:val="17"/>
          <w:color w:val="auto"/>
        </w:rPr>
      </w:pPr>
    </w:p>
    <w:p>
      <w:pPr>
        <w:jc w:val="both"/>
        <w:ind w:firstLine="721"/>
        <w:spacing w:after="0" w:line="264" w:lineRule="auto"/>
        <w:tabs>
          <w:tab w:leader="none" w:pos="13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Executive acknowledges that this Agreement, and specifically, this Section 1.9, does not preclude Executive from earning a livelihood, nor does it unreasonably impose limitations on Executive’s ability to earn a living. In addition, Executive agrees and acknowledges that the potential harm to the Company of its non-enforcement outweighs any harm to Executive of its enforcement by injunction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jc w:val="both"/>
        <w:ind w:firstLine="713"/>
        <w:spacing w:after="0" w:line="287" w:lineRule="auto"/>
        <w:rPr>
          <w:sz w:val="20"/>
          <w:szCs w:val="20"/>
          <w:color w:val="auto"/>
        </w:rPr>
      </w:pPr>
      <w:r>
        <w:rPr>
          <w:rFonts w:ascii="Arial" w:cs="Arial" w:eastAsia="Arial" w:hAnsi="Arial"/>
          <w:sz w:val="16"/>
          <w:szCs w:val="16"/>
          <w:color w:val="auto"/>
        </w:rPr>
        <w:t>1.10 Enforcement. If, at the time of enforcement of Section 1.6, 1.7, 1.8, 1.9 or 1.10, a court holds that the restrictions stated herein are unreasonable under circumstances then existing, the Parties agree that, to the extent permitted by applicable law, the maximum period, scope or geographical area reasonable under such circumstances will be substituted for the Noncompete Period, scope or area. Because the Executive’s services are unique and because the Executive has access to Confidential Information and Company Works, the Parties agree that money damages would be an inadequate remedy for any breach of Section 1.6 , 1.7 , 1.8 , 1.9 or 1.10 . Therefore, in the event of a breach or threatened breach of Section 1.6 , 1.7 , 1.8 , 1.9 or 1.10 , the Company or any of its Subsidiaries or any of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 The Parties hereby acknowledge and agree that (a) performance of the services of the Executive hereunder may occur in jurisdictions other than the jurisdiction whose law the Parties have agreed shall govern the construction, validity and interpretation of this Agreement, (b) the law of the State of New York shall govern construction, validity and interpretation of this Agreement to the fullest extent possible, and (c) Section 1.6 , 1.7 , 1.8 , 1.9 or 1.10 shall restrict the Executive only to the extent permitted by applicable law.</w:t>
      </w:r>
    </w:p>
    <w:p>
      <w:pPr>
        <w:spacing w:after="0" w:line="173"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1.11 Survival. Sections 1.6, 1.7, 1.8 and 1.9 and 1.10 will survive and continue in full force in accordance with their terms notwithstanding any termination of the Employment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720"/>
        <w:spacing w:after="0"/>
        <w:tabs>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Definitions. For purposes of this Agreement, the following terms will have the following meanings: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the business of acquiring and licensing consumer brands worldwide.</w:t>
      </w:r>
    </w:p>
    <w:p>
      <w:pPr>
        <w:spacing w:after="0" w:line="225" w:lineRule="exact"/>
        <w:rPr>
          <w:sz w:val="20"/>
          <w:szCs w:val="20"/>
          <w:color w:val="auto"/>
        </w:rPr>
      </w:pPr>
    </w:p>
    <w:p>
      <w:pPr>
        <w:jc w:val="both"/>
        <w:ind w:firstLine="142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with respect to the Executive, the occurrence of one or more of the following: (i) conviction of a felony involving moral turpitude, misappropriation of Company property, embezzlement of Company funds, violation of the securities laws or dishonesty, (ii) persistent and repeated refusal to comply with no less than three written directives of the Board with respect to an item that the Board deems material to the business prospects and/or operations of the Company, (iii) reporting to work under the influence of alcohol or illegal drugs, or the use of illegal drugs (whether or not at the workplace), or (iv) any willful breach of Section 1.6 , 1.7 , 1.8 or 1.9 of this Agreement. Notwithstanding the foregoing, termination by the Company for Cause (other than pursuant to clause (i) above) shall not be effective until and unless (i) Executive fails to cure such alleged act or circumstance within 30 days of receipt of notice thereof, to the satisfaction of the Board in the exercise of its reasonable judgment (or, if within such 30-day period the Executive commences and proceeds to take all reasonable actions to effect such cure, within such reasonable additional time period (no longer than 60 days) as may be necessary), and</w:t>
      </w:r>
    </w:p>
    <w:p>
      <w:pPr>
        <w:spacing w:after="0" w:line="1" w:lineRule="exact"/>
        <w:rPr>
          <w:sz w:val="20"/>
          <w:szCs w:val="20"/>
          <w:color w:val="auto"/>
        </w:rPr>
      </w:pPr>
    </w:p>
    <w:p>
      <w:pPr>
        <w:jc w:val="both"/>
        <w:ind w:firstLine="8"/>
        <w:spacing w:after="0" w:line="270" w:lineRule="auto"/>
        <w:tabs>
          <w:tab w:leader="none" w:pos="291"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notice of intention to terminate for Cause has been given by the Company within sixty (60) days after the Board learns of the act, failure or event constituting “Cause,” and (iii) the Board has voted (at a meeting of the Board duly called and held as to which termination of Executive is an agenda item) by a vote of at least two-thirds of the members of the Board (other than Executive if Executive is a Board member) to terminate Executive for Cause after Executive has been given notice of the particular acts or circumstances which are the basis for the termination for Cause and has been afforded an opportunity to appear with counsel and present his positions at such meeting and to present his case thereat, and (iv) the Board has given notice of termination to Executive within five days after such meeting voting in favor of termination.</w:t>
      </w:r>
    </w:p>
    <w:p>
      <w:pPr>
        <w:spacing w:after="0" w:line="179" w:lineRule="exact"/>
        <w:rPr>
          <w:sz w:val="20"/>
          <w:szCs w:val="20"/>
          <w:color w:val="auto"/>
        </w:rPr>
      </w:pPr>
    </w:p>
    <w:p>
      <w:pPr>
        <w:jc w:val="both"/>
        <w:ind w:firstLine="142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(i) a merger or consolidation to which the Company is a party (other than one in which the stockholders of the Company prior to the event own a majority of the voting power of the surviving or resulting corporation) (ii) a sale, lease, transfer, exclusive license or other disposition of all or substantially all of the assets of the Company, or (iii) a sale or transfer by the Company’s stockholders of voting control, in a single transaction or a series of transactions.</w:t>
      </w:r>
    </w:p>
    <w:p>
      <w:pPr>
        <w:spacing w:after="0" w:line="18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September 29,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and the Treasury regulations thereunder, each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jc w:val="both"/>
        <w:ind w:firstLine="142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have the meaning set forth in a policy or policies of long-term disability insurance, if any, the Company obtains for the benefit of itself and/or its employees. If there is no definition of “disability” applicable under any such policy or policies, if any, then the Executive shall be considered disabled due to mental or physical impairment or disability, despite reasonable accommodations by the Company and its Subsidiaries, to perform his customary or other comparable duties with the Company or its Subsidiaries immediately prior to such disability for a period of at least 120 consecutive days or for at least 180 non-consecutive days in any 12-month period.</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September 16,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the fiscal year of the Company and its Subsidiaries.</w:t>
      </w:r>
    </w:p>
    <w:p>
      <w:pPr>
        <w:spacing w:after="0" w:line="225" w:lineRule="exact"/>
        <w:rPr>
          <w:sz w:val="20"/>
          <w:szCs w:val="20"/>
          <w:color w:val="auto"/>
        </w:rPr>
      </w:pPr>
    </w:p>
    <w:p>
      <w:pPr>
        <w:jc w:val="both"/>
        <w:ind w:firstLine="142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the occurrence, without the Executive’s written consent, of one or more of the following events: (i) the Company reduces the amount of Executive’s Base Salary or Cash Bonuses, (ii) the Company requires that the Executive relocate his principal place of employment to a site that is more than 50 miles from the Company’s offices in the New York area or if the Company changes the location of its headquarters without the consent of Executive to a location that is more than 50 miles from such location, (iii) the Company materially reduces the Executive’s responsibilities or removes the Executive from the position of Chief Executive Officer other than pursuant to a termination of his employment for Cause, or upon the Executive’s death or Disability or (iv) the Company otherwise materially breaches the terms of this Agreement; provided that no such event shall constitute Good Reason hereunder unless (a) the Executive shall have given written notice to the Company of the Executive’s intent to resign for Good Reason within 30 days after the Executive becomes aware of the occurrence of any such event, which notice shall describe in reasonable detail the event or events constitute the basis for the Executive’s intention to resign for Good Reason and (b) such event or occurrence, if a breach susceptible to cure, shall not have been cured or otherwise shall not have been resolved to the Executive’s reasonable satisfaction, in each case within 30 days of the Company’s receipt of such notice. In such case the Executive’s resignation shall become effective on the 61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the Company’s receipt of the aforementioned notice.</w:t>
      </w:r>
    </w:p>
    <w:p>
      <w:pPr>
        <w:spacing w:after="0" w:line="40" w:lineRule="exact"/>
        <w:rPr>
          <w:sz w:val="20"/>
          <w:szCs w:val="20"/>
          <w:color w:val="auto"/>
        </w:rPr>
      </w:pPr>
    </w:p>
    <w:p>
      <w:pPr>
        <w:jc w:val="both"/>
        <w:ind w:right="20"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the Merger Agreement entered into by and among NetFabric Holdings, Inc., the Company and a subsidiary of NetFabric Holdings, Inc. formed for the purpose of acquiring the Company.</w:t>
      </w:r>
    </w:p>
    <w:p>
      <w:pPr>
        <w:spacing w:after="0" w:line="170" w:lineRule="exact"/>
        <w:rPr>
          <w:sz w:val="20"/>
          <w:szCs w:val="20"/>
          <w:color w:val="auto"/>
        </w:rPr>
      </w:pPr>
    </w:p>
    <w:p>
      <w:pPr>
        <w:jc w:val="both"/>
        <w:ind w:firstLine="142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Noncompete Period</w:t>
      </w:r>
      <w:r>
        <w:rPr>
          <w:rFonts w:ascii="Arial" w:cs="Arial" w:eastAsia="Arial" w:hAnsi="Arial"/>
          <w:sz w:val="18"/>
          <w:szCs w:val="18"/>
          <w:color w:val="auto"/>
        </w:rPr>
        <w:t>” means the Employment Period and one year thereafter; provided that, in the event, but only in the event, the Executive’s employment hereunder is terminated by the Company without Cause or by the Executive with Good Reason, “Noncompete Period” shall mean the Employment Period and 6 months thereafter.</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Nonsolicitation Period</w:t>
      </w:r>
      <w:r>
        <w:rPr>
          <w:rFonts w:ascii="Arial" w:cs="Arial" w:eastAsia="Arial" w:hAnsi="Arial"/>
          <w:sz w:val="18"/>
          <w:szCs w:val="18"/>
          <w:color w:val="auto"/>
        </w:rPr>
        <w:t>” means the Employment Period and one year thereafter.</w:t>
      </w:r>
    </w:p>
    <w:p>
      <w:pPr>
        <w:spacing w:after="0" w:line="225" w:lineRule="exact"/>
        <w:rPr>
          <w:sz w:val="20"/>
          <w:szCs w:val="20"/>
          <w:color w:val="auto"/>
        </w:rPr>
      </w:pPr>
    </w:p>
    <w:p>
      <w:pPr>
        <w:jc w:val="both"/>
        <w:ind w:firstLine="142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the United States of America any other nation, any state or other political subdivision thereof, or any entity exercising executive, legislative, judicial, regulatory or administrative functions of government.</w:t>
      </w:r>
    </w:p>
    <w:p>
      <w:pPr>
        <w:spacing w:after="0" w:line="181" w:lineRule="exact"/>
        <w:rPr>
          <w:sz w:val="20"/>
          <w:szCs w:val="20"/>
          <w:color w:val="auto"/>
        </w:rPr>
      </w:pPr>
    </w:p>
    <w:p>
      <w:pPr>
        <w:jc w:val="both"/>
        <w:ind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Territories</w:t>
      </w:r>
      <w:r>
        <w:rPr>
          <w:rFonts w:ascii="Arial" w:cs="Arial" w:eastAsia="Arial" w:hAnsi="Arial"/>
          <w:sz w:val="18"/>
          <w:szCs w:val="18"/>
          <w:color w:val="auto"/>
        </w:rPr>
        <w:t>” means (i) the United States and its territories and possessions and (ii) any foreign country in which the Company engages in business as of the Termination Date.</w:t>
      </w:r>
    </w:p>
    <w:p>
      <w:pPr>
        <w:spacing w:after="0" w:line="170" w:lineRule="exact"/>
        <w:rPr>
          <w:sz w:val="20"/>
          <w:szCs w:val="20"/>
          <w:color w:val="auto"/>
        </w:rPr>
      </w:pPr>
    </w:p>
    <w:p>
      <w:pPr>
        <w:ind w:firstLine="142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or manager or managing member of such limited liability company, partnership, association, or other business entity. For purposes hereof, references to a “Subsidiary” of any Person shall be given effect only at such times that such Person has one or more Subsidiaries, and, unless otherwise indicated, the term “Subsidiary” refers to a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4" w:name="page105"/>
    <w:bookmarkEnd w:id="104"/>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means the effective date of the Executive’s termination of employment with the Company.</w:t>
      </w:r>
    </w:p>
    <w:p>
      <w:pPr>
        <w:spacing w:after="0" w:line="225" w:lineRule="exact"/>
        <w:rPr>
          <w:sz w:val="20"/>
          <w:szCs w:val="20"/>
          <w:color w:val="auto"/>
        </w:rPr>
      </w:pPr>
    </w:p>
    <w:p>
      <w:pPr>
        <w:ind w:left="720"/>
        <w:spacing w:after="0"/>
        <w:tabs>
          <w:tab w:leader="none" w:pos="1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Other Definitional Provisions.</w:t>
      </w:r>
    </w:p>
    <w:p>
      <w:pPr>
        <w:spacing w:after="0" w:line="225" w:lineRule="exact"/>
        <w:rPr>
          <w:sz w:val="20"/>
          <w:szCs w:val="20"/>
          <w:color w:val="auto"/>
        </w:rPr>
      </w:pPr>
    </w:p>
    <w:p>
      <w:pPr>
        <w:jc w:val="both"/>
        <w:ind w:firstLine="721"/>
        <w:spacing w:after="0" w:line="264" w:lineRule="auto"/>
        <w:tabs>
          <w:tab w:leader="none" w:pos="1368"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Section references contained in this Agreement are references to sections in this Agreement, unless otherwise specified. Each defined term used in this Agreement has a comparable meaning when used in its plural or singular form. Each gender-specific term used in this Agreement has a comparable meaning whether used in a masculine, feminine or gender-neutral form.</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38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Whenever the term “including” (whether or not that term is followed by the phrase “but not limited to” or “without limitation” or words of similar effect) is used in this Agreement in connection with a listing of items within a particular classification, that listing will be interpreted to be illustrative only and will not be interpreted as a limitation on, or an exclusive listing of, the items within that classification.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TERMS</w:t>
      </w:r>
    </w:p>
    <w:p>
      <w:pPr>
        <w:spacing w:after="0" w:line="211" w:lineRule="exact"/>
        <w:rPr>
          <w:sz w:val="20"/>
          <w:szCs w:val="20"/>
          <w:color w:val="auto"/>
        </w:rPr>
      </w:pPr>
    </w:p>
    <w:p>
      <w:pPr>
        <w:ind w:right="180" w:firstLine="713"/>
        <w:spacing w:after="0" w:line="253" w:lineRule="auto"/>
        <w:rPr>
          <w:sz w:val="20"/>
          <w:szCs w:val="20"/>
          <w:color w:val="auto"/>
        </w:rPr>
      </w:pPr>
      <w:r>
        <w:rPr>
          <w:rFonts w:ascii="Arial" w:cs="Arial" w:eastAsia="Arial" w:hAnsi="Arial"/>
          <w:sz w:val="18"/>
          <w:szCs w:val="18"/>
          <w:color w:val="auto"/>
        </w:rPr>
        <w:t>3.1 Defense of Claims. The Executive agrees that, during the Employment Period, and for a period of six months after termination of the Executive’s employment, upon request by the Company, the Executive shall reasonably cooperate with the Company in connection with any matters the Executive worked on during his employment with the Company and any related transitional matters. In addition, during the Employment Period and thereafter, the Executive agrees to reasonably cooperate with the Company in the defense of any claims or actions that may be made by or against the Company that affect the Executive’s prior areas of responsibility or involve matters about which the Executive has knowledge, except if the Executive’s reasonable interests are adverse to the Company in such claim or action and provided that after the Employment Period such level of cooperation shall be reasonable and shall take due account of the Executive’s work and personal commitments. The Company agrees to promptly reimburse the Executive for all of the Executive’s reasonable travel and other direct expenses incurred, or to be reasonably incurred, to comply with the Executive’s obligations under this Section 3.1 .</w:t>
      </w:r>
    </w:p>
    <w:p>
      <w:pPr>
        <w:spacing w:after="0" w:line="197" w:lineRule="exact"/>
        <w:rPr>
          <w:sz w:val="20"/>
          <w:szCs w:val="20"/>
          <w:color w:val="auto"/>
        </w:rPr>
      </w:pPr>
    </w:p>
    <w:p>
      <w:pPr>
        <w:jc w:val="both"/>
        <w:ind w:firstLine="713"/>
        <w:spacing w:after="0" w:line="269" w:lineRule="auto"/>
        <w:rPr>
          <w:sz w:val="20"/>
          <w:szCs w:val="20"/>
          <w:color w:val="auto"/>
        </w:rPr>
      </w:pPr>
      <w:r>
        <w:rPr>
          <w:rFonts w:ascii="Arial" w:cs="Arial" w:eastAsia="Arial" w:hAnsi="Arial"/>
          <w:sz w:val="17"/>
          <w:szCs w:val="17"/>
          <w:color w:val="auto"/>
        </w:rPr>
        <w:t>3.2 Nondisparagement. The Executive agrees to refrain from (i) making, directly or indirectly, any derogatory comments concerning the Company or its Subsidiaries or any current or former officers, directors, employees or shareholders thereof or (ii) taking any other action with respect to the Company or its Subsidiaries which is reasonably expected to result, or does result in, damage to the business or reputation of the Company, its Subsidiaries or any of its current or former officers, directors, employees or shareholders. The Company agrees to refrain from (i) making, directly or indirectly, any derogatory comments concerning the Executive or (ii) taking any other action with respect to the Executive which is reasonably expected to result, or does result in, damage to the reputation of the Executive. Notwithstanding anything to the contrary contained herein, nothing in this Agreement shall prohibit or restrict either party from, truthfully and in good faith: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or the Executive’s designated legal, compliance or human resources officers; or (iii) filing, testifying, participating in or otherwise assisting in a proceeding relating to an alleged violation of any federal, state or municipal law relating to fraud, or any rule or regulation of the Securities and Exchange Commission or any self-regulatory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5" w:name="page106"/>
    <w:bookmarkEnd w:id="105"/>
    <w:p>
      <w:pPr>
        <w:jc w:val="both"/>
        <w:ind w:firstLine="713"/>
        <w:spacing w:after="0" w:line="297" w:lineRule="auto"/>
        <w:rPr>
          <w:sz w:val="20"/>
          <w:szCs w:val="20"/>
          <w:color w:val="auto"/>
        </w:rPr>
      </w:pPr>
      <w:r>
        <w:rPr>
          <w:rFonts w:ascii="Arial" w:cs="Arial" w:eastAsia="Arial" w:hAnsi="Arial"/>
          <w:sz w:val="16"/>
          <w:szCs w:val="16"/>
          <w:color w:val="auto"/>
        </w:rPr>
        <w:t>3.3 Source of Payments. All payments provided under this Agreement, other than payments made pursuant to a plan which provides otherwise and except as otherwise provided herein,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or its Subsidiaries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58" w:lineRule="exact"/>
        <w:rPr>
          <w:sz w:val="20"/>
          <w:szCs w:val="20"/>
          <w:color w:val="auto"/>
        </w:rPr>
      </w:pPr>
    </w:p>
    <w:p>
      <w:pPr>
        <w:jc w:val="both"/>
        <w:ind w:right="20" w:firstLine="713"/>
        <w:spacing w:after="0" w:line="264" w:lineRule="auto"/>
        <w:rPr>
          <w:sz w:val="20"/>
          <w:szCs w:val="20"/>
          <w:color w:val="auto"/>
        </w:rPr>
      </w:pPr>
      <w:r>
        <w:rPr>
          <w:rFonts w:ascii="Arial" w:cs="Arial" w:eastAsia="Arial" w:hAnsi="Arial"/>
          <w:sz w:val="18"/>
          <w:szCs w:val="18"/>
          <w:color w:val="auto"/>
        </w:rPr>
        <w:t>3.4 Notices. Any notice provided for in this Agreement must be in writing and must be either personally delivered, mailed by first class mail (postage prepaid and return receipt requested), sent by reputable overnight courier service (charges prepaid) or sent by facsimile (with receipt confirmed) to the recipient at the address or facsimile number indicated below:</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XCel Brands,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Blank Rome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10174-0208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Robert Mittman, Esquire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(212) 885-5557</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 the Executive: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Robert W. D’Loren</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 XCel Brands,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James F. O’Brien, Esq.</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500 North Broadway, Suite 105</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Jericho, NY 11753</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Telephone: (516) 822-9000</w:t>
      </w:r>
    </w:p>
    <w:p>
      <w:pPr>
        <w:spacing w:after="0" w:line="9" w:lineRule="exact"/>
        <w:rPr>
          <w:sz w:val="20"/>
          <w:szCs w:val="20"/>
          <w:color w:val="auto"/>
        </w:rPr>
      </w:pPr>
    </w:p>
    <w:p>
      <w:pPr>
        <w:ind w:left="1440"/>
        <w:spacing w:after="0"/>
        <w:tabs>
          <w:tab w:leader="none" w:pos="2260" w:val="left"/>
        </w:tabs>
        <w:rPr>
          <w:sz w:val="20"/>
          <w:szCs w:val="20"/>
          <w:color w:val="auto"/>
        </w:rPr>
      </w:pPr>
      <w:r>
        <w:rPr>
          <w:rFonts w:ascii="Arial" w:cs="Arial" w:eastAsia="Arial" w:hAnsi="Arial"/>
          <w:sz w:val="18"/>
          <w:szCs w:val="18"/>
          <w:color w:val="auto"/>
        </w:rPr>
        <w:t>Telecopy:</w:t>
      </w:r>
      <w:r>
        <w:rPr>
          <w:sz w:val="20"/>
          <w:szCs w:val="20"/>
          <w:color w:val="auto"/>
        </w:rPr>
        <w:tab/>
      </w:r>
      <w:r>
        <w:rPr>
          <w:rFonts w:ascii="Arial" w:cs="Arial" w:eastAsia="Arial" w:hAnsi="Arial"/>
          <w:sz w:val="16"/>
          <w:szCs w:val="16"/>
          <w:color w:val="auto"/>
        </w:rPr>
        <w:t>(516) 822-1050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Attention: James F. O’Brien, Esq.</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such other address or to the attention of such other Person as the recipient Party will have specified by prior written notice to the sending Party. Any notice under this Agreement will be deemed to have been given when so delivered or sent.</w:t>
      </w:r>
    </w:p>
    <w:p>
      <w:pPr>
        <w:spacing w:after="0" w:line="170"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3.5 Severability. Subject to the express provisions of Section 1.10 relating to certain specified changes,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6" w:name="page107"/>
    <w:bookmarkEnd w:id="106"/>
    <w:p>
      <w:pPr>
        <w:jc w:val="both"/>
        <w:ind w:firstLine="713"/>
        <w:spacing w:after="0" w:line="302" w:lineRule="auto"/>
        <w:rPr>
          <w:sz w:val="20"/>
          <w:szCs w:val="20"/>
          <w:color w:val="auto"/>
        </w:rPr>
      </w:pPr>
      <w:r>
        <w:rPr>
          <w:rFonts w:ascii="Arial" w:cs="Arial" w:eastAsia="Arial" w:hAnsi="Arial"/>
          <w:sz w:val="16"/>
          <w:szCs w:val="16"/>
          <w:color w:val="auto"/>
        </w:rPr>
        <w:t>3.6 Complete Agreement. This Agreement embodies the complete agreement and understanding among the Parties with regard to the subject matter hereof and supersedes and preempts any prior understandings, agreements or representations by or among the Parties, written or oral, which may have related to the subject matter hereof in any way. To the extent that this Agreement provides greater benefits to the Executive or fewer obligations of the Executive than available or set forth under the Company’s employee handbook or other corporate policies, then this Agreement shall prevail.</w:t>
      </w:r>
    </w:p>
    <w:p>
      <w:pPr>
        <w:spacing w:after="0" w:line="154" w:lineRule="exact"/>
        <w:rPr>
          <w:sz w:val="20"/>
          <w:szCs w:val="20"/>
          <w:color w:val="auto"/>
        </w:rPr>
      </w:pPr>
    </w:p>
    <w:p>
      <w:pPr>
        <w:ind w:right="60" w:firstLine="713"/>
        <w:spacing w:after="0" w:line="277" w:lineRule="auto"/>
        <w:rPr>
          <w:sz w:val="20"/>
          <w:szCs w:val="20"/>
          <w:color w:val="auto"/>
        </w:rPr>
      </w:pPr>
      <w:r>
        <w:rPr>
          <w:rFonts w:ascii="Arial" w:cs="Arial" w:eastAsia="Arial" w:hAnsi="Arial"/>
          <w:sz w:val="18"/>
          <w:szCs w:val="18"/>
          <w:color w:val="auto"/>
        </w:rPr>
        <w:t>3.7 Counterparts. This Agreement may be executed in separate counterparts, each of which is deemed to be an original and all of which taken together constitute one and the same agreement.</w:t>
      </w:r>
    </w:p>
    <w:p>
      <w:pPr>
        <w:spacing w:after="0" w:line="170"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3.8 Assignment. Without the Executive’s consent, the Company may not assign its rights and obligations under this Agreement except (i) to a “Successor” (as defined below) or (ii) to an entity that is formed and controlled by the Company or any of its Subsidiaries. This Agreement is personal to the Executive, and the Executive shall not have the right to assign the Executive’s interest in this Agreement, any rights under this Agreement or any duties imposed under this Agreement, nor shall the Executive have the right to pledge, hypothecate, transfer, assign or otherwise encumber the Executive’s right to receive any form of compensation hereunder without the prior written consent of the Board. As used in Sections 3.8 and 3.9 , “</w:t>
      </w:r>
      <w:r>
        <w:rPr>
          <w:rFonts w:ascii="Arial" w:cs="Arial" w:eastAsia="Arial" w:hAnsi="Arial"/>
          <w:sz w:val="18"/>
          <w:szCs w:val="18"/>
          <w:i w:val="1"/>
          <w:iCs w:val="1"/>
          <w:color w:val="auto"/>
        </w:rPr>
        <w:t>Successor</w:t>
      </w:r>
      <w:r>
        <w:rPr>
          <w:rFonts w:ascii="Arial" w:cs="Arial" w:eastAsia="Arial" w:hAnsi="Arial"/>
          <w:sz w:val="18"/>
          <w:szCs w:val="18"/>
          <w:color w:val="auto"/>
        </w:rPr>
        <w:t>” shall include any Person that at any time, whether by purchase, merger or otherwise, directly or indirectly acquires all or substantially all of the assets of, or ownership interests in, the Company and its Subsidiaries.</w:t>
      </w:r>
    </w:p>
    <w:p>
      <w:pPr>
        <w:spacing w:after="0" w:line="18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3.9 Successors and Assigns. This Agreement is intended to bind and inure to the benefit of and be enforceable by the Company, the Executive, and their respective heirs, successors and permitted assigns.</w:t>
      </w:r>
    </w:p>
    <w:p>
      <w:pPr>
        <w:spacing w:after="0" w:line="170"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3.10 Choice of Law. This Agreement and the performance of the parties hereunder shall be governed by the internal laws (and not the law of conflicts) of the State of New York. Any claim or controversy arising out of or in connection with this Agreement, or the breach thereof, shall be adjudicated exclusively by the Supreme Court, New York County, State of New York, or by a federal court sitting in Manhattan in New York City, State of New York. The parties hereto agree to the personal jurisdiction of such courts and agree to accept process by regular mail in connection with any such dispute.</w:t>
      </w:r>
    </w:p>
    <w:p>
      <w:pPr>
        <w:spacing w:after="0" w:line="154"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3.11 Waiver of Jury Trial.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7"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3.12 Legal Fees and Court Costs. In the event that any action, suit or other proceeding in law or in equity is brought to enforce the provisions of this Agreement, and such action results in the award of a judgment for money damages or in the granting of any injunction in favor of the Company, all expenses (including reasonable attorneys’ fees) of the Company in such action, suit or other proceeding shall be paid by the Executive. In the event that any action, suit or other proceeding in law or in equity is brought to enforce the provisions of this Agreement, and such action results in the award of a judgment for money damages or in the granting of any injunction in favor of the Executive, all expenses (including reasonable attorneys’ fees and travel expenses) of the Executive in such action, suit or other proceeding shall be paid by the Company.</w:t>
      </w:r>
    </w:p>
    <w:p>
      <w:pPr>
        <w:spacing w:after="0" w:line="178" w:lineRule="exact"/>
        <w:rPr>
          <w:sz w:val="20"/>
          <w:szCs w:val="20"/>
          <w:color w:val="auto"/>
        </w:rPr>
      </w:pPr>
    </w:p>
    <w:p>
      <w:pPr>
        <w:ind w:right="100" w:firstLine="713"/>
        <w:spacing w:after="0" w:line="259" w:lineRule="auto"/>
        <w:rPr>
          <w:sz w:val="20"/>
          <w:szCs w:val="20"/>
          <w:color w:val="auto"/>
        </w:rPr>
      </w:pPr>
      <w:r>
        <w:rPr>
          <w:rFonts w:ascii="Arial" w:cs="Arial" w:eastAsia="Arial" w:hAnsi="Arial"/>
          <w:sz w:val="18"/>
          <w:szCs w:val="18"/>
          <w:color w:val="auto"/>
        </w:rPr>
        <w:t>3.13 Remedies. Each Party will be entitled to enforce its rights under this Agreement specifically, to recover damages and costs caused by any breach of any provision of this Agreement and to exercise all other rights existing in its favor. Subject to Section 3.12 , nothing herein shall prohibit any arbitrator or judicial authority from awarding attorneys’ fees or costs to a prevailing Party in any arbitration or other proceeding to the extent that such arbitrator or authority may lawfully do so.</w:t>
      </w:r>
    </w:p>
    <w:p>
      <w:pPr>
        <w:spacing w:after="0" w:line="187"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3.14 Amendment and Waiver. The provisions of this Agreement may be amended or waived only with the prior written consent of the Company and the Executive, and no course of conduct or failure or delay in enforcing the provisions of this Agreement will affect the validity, binding effect or enforceability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7" w:name="page108"/>
    <w:bookmarkEnd w:id="107"/>
    <w:p>
      <w:pPr>
        <w:jc w:val="both"/>
        <w:ind w:firstLine="713"/>
        <w:spacing w:after="0" w:line="264" w:lineRule="auto"/>
        <w:rPr>
          <w:sz w:val="20"/>
          <w:szCs w:val="20"/>
          <w:color w:val="auto"/>
        </w:rPr>
      </w:pPr>
      <w:r>
        <w:rPr>
          <w:rFonts w:ascii="Arial" w:cs="Arial" w:eastAsia="Arial" w:hAnsi="Arial"/>
          <w:sz w:val="18"/>
          <w:szCs w:val="18"/>
          <w:color w:val="auto"/>
        </w:rPr>
        <w:t>3.15 Third Party Beneficiaries. This Agreement will not confer any rights or remedies upon any Person other than the Parties and their respective successors and permitted assigns and other than, in the event of the Executive’s death, his estate, to which all of Executive’s rights and remedies set forth herein shall accrue.</w:t>
      </w:r>
    </w:p>
    <w:p>
      <w:pPr>
        <w:spacing w:after="0" w:line="181"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3.16 The Executive’s Representations. The Executive hereby represents and warrants to the Company that (a) the execution, delivery and performance of this Agreement by the Executive do not and shall not conflict with, breach, violate or cause a default under any contract, agreement, instrument, order, judgment or decree to which the Executive is a party or by which he is bound, (b) the Executive is not a party to or bound by any employment agreement, noncompete agreement or confidentiality agreement with any other Person (or other agreement with any other person containing a restriction on the Executive’s right to do business or obligating him to do business with any other Person on a priority or preferential basis), (c) upon the execution and delivery of this Agreement by the Company, this Agreement shall be the valid and binding obligation of the Executive, enforceable in accordance with its terms and (d) upon the execution and delivery of this Agreement by the Company, Executive shall not be in violation of clause (i) set forth in the definition of Cause and shall not be disabled.</w:t>
      </w:r>
    </w:p>
    <w:p>
      <w:pPr>
        <w:spacing w:after="0" w:line="192" w:lineRule="exact"/>
        <w:rPr>
          <w:sz w:val="20"/>
          <w:szCs w:val="20"/>
          <w:color w:val="auto"/>
        </w:rPr>
      </w:pPr>
    </w:p>
    <w:p>
      <w:pPr>
        <w:jc w:val="both"/>
        <w:ind w:firstLine="713"/>
        <w:spacing w:after="0" w:line="269" w:lineRule="auto"/>
        <w:rPr>
          <w:sz w:val="20"/>
          <w:szCs w:val="20"/>
          <w:color w:val="auto"/>
        </w:rPr>
      </w:pPr>
      <w:r>
        <w:rPr>
          <w:rFonts w:ascii="Arial" w:cs="Arial" w:eastAsia="Arial" w:hAnsi="Arial"/>
          <w:sz w:val="17"/>
          <w:szCs w:val="17"/>
          <w:color w:val="auto"/>
        </w:rPr>
        <w:t xml:space="preserve">3.17 Amendment to Comply with Section 409A of the Code. To the extent that this Agreement or any part thereof is deemed to be a nonqualified deferred compensation plan subject to Section 409A of the Code and the Treasury Regulations (including proposed regulations) and guidance promulgated thereunder, (a) the provisions of this Agreement shall be interpreted in a manner to the maximum extent possible to comply in good faith with Code Section 409A and (b) the parties hereto agree to amend this Agreement for purposes of complying with Code Section 409A promptly upon issuance of any Treasury regulations or guidance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 that any such amendment shall not materially change the present value of the benefits payable to the Executive hereunder or otherwise materially adversely affect the Executive, the Company, or any affiliate of the Company, without the consent of such party.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Executive’s taxable year following the taxable year in which the expense was incurred.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PAGE]</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color w:val="auto"/>
        </w:rPr>
        <w:t>IN WITNESS WHEREOF, the Parties have executed this Employment Agreement as of the date first written above.</w:t>
      </w:r>
    </w:p>
    <w:p>
      <w:pPr>
        <w:spacing w:after="0" w:line="244"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8"/>
          <w:szCs w:val="18"/>
          <w:color w:val="auto"/>
        </w:rPr>
        <w:t>By:</w:t>
        <w:tab/>
        <w:t>/s/ James F Haran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-130810</wp:posOffset>
            </wp:positionV>
            <wp:extent cx="29673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020"/>
        <w:spacing w:after="0"/>
        <w:tabs>
          <w:tab w:leader="none" w:pos="658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-130810</wp:posOffset>
            </wp:positionV>
            <wp:extent cx="29673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6735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563245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99"/>
          </w:cols>
          <w:pgMar w:left="960" w:top="881" w:right="1440"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11"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I, Robert W. D’Loren, on behalf of myself and my heirs, successors and assigns, in consideration of and subject to the performance by XCel Brands, Inc. a Delaware Corporation (together with its Subsidiaries, the “Company”), of its material obligations under the Employment Agreement (the “</w:t>
      </w:r>
      <w:r>
        <w:rPr>
          <w:rFonts w:ascii="Arial" w:cs="Arial" w:eastAsia="Arial" w:hAnsi="Arial"/>
          <w:sz w:val="18"/>
          <w:szCs w:val="18"/>
          <w:i w:val="1"/>
          <w:iCs w:val="1"/>
          <w:color w:val="auto"/>
        </w:rPr>
        <w:t>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dated as of the Effective Date (as defined in the Employment Agreement) and Sections 3, 4, 7, 8, 10 and 12 below, do hereby release and forever</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as of the date hereof the Company and its Subsidiaries, all present and former directors, officers, agents, representatives, employees, successors and assigns of the Company and its Subsidiaries, and all direct or indirect owners of each of foregoing (collectively, the “</w:t>
      </w:r>
      <w:r>
        <w:rPr>
          <w:rFonts w:ascii="Arial" w:cs="Arial" w:eastAsia="Arial" w:hAnsi="Arial"/>
          <w:sz w:val="18"/>
          <w:szCs w:val="18"/>
          <w:i w:val="1"/>
          <w:iCs w:val="1"/>
          <w:color w:val="auto"/>
        </w:rPr>
        <w:t>Released Parties</w:t>
      </w:r>
      <w:r>
        <w:rPr>
          <w:rFonts w:ascii="Arial" w:cs="Arial" w:eastAsia="Arial" w:hAnsi="Arial"/>
          <w:sz w:val="18"/>
          <w:szCs w:val="18"/>
          <w:color w:val="auto"/>
        </w:rPr>
        <w:t>”) to the extent provided below.</w:t>
      </w:r>
    </w:p>
    <w:p>
      <w:pPr>
        <w:spacing w:after="0" w:line="193" w:lineRule="exact"/>
        <w:rPr>
          <w:sz w:val="20"/>
          <w:szCs w:val="20"/>
          <w:color w:val="auto"/>
        </w:rPr>
      </w:pPr>
    </w:p>
    <w:p>
      <w:pPr>
        <w:jc w:val="both"/>
        <w:ind w:firstLine="721"/>
        <w:spacing w:after="0" w:line="297" w:lineRule="auto"/>
        <w:tabs>
          <w:tab w:leader="none" w:pos="14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I understand that certain of the payments or benefits paid or granted to me under Section 1.4(b) and Section 1.4(c) of the Employment Agreement represent, in part, consideration for signing this Mutual General Release and are not salary, wages or benefits to which I was already entitled. I understand and agree that I will not receive the payments and benefits specified in Section 1.4(b) or Section 1.4(c) of the Employment Agreement (other than for any other unpaid compensation, benefits and expenses to which I am entitled thereunder for employment prior to termination) unless I execute this Mutual General Release and do not revoke this Mutual General Release within the time period permitted hereafter or breach this Mutual General Release.</w:t>
      </w:r>
    </w:p>
    <w:p>
      <w:pPr>
        <w:spacing w:after="0" w:line="158" w:lineRule="exact"/>
        <w:rPr>
          <w:rFonts w:ascii="Arial" w:cs="Arial" w:eastAsia="Arial" w:hAnsi="Arial"/>
          <w:sz w:val="16"/>
          <w:szCs w:val="16"/>
          <w:color w:val="auto"/>
        </w:rPr>
      </w:pPr>
    </w:p>
    <w:p>
      <w:pPr>
        <w:ind w:right="40" w:firstLine="721"/>
        <w:spacing w:after="0" w:line="268" w:lineRule="auto"/>
        <w:tabs>
          <w:tab w:leader="none" w:pos="1343" w:val="left"/>
        </w:tabs>
        <w:numPr>
          <w:ilvl w:val="0"/>
          <w:numId w:val="90"/>
        </w:numPr>
        <w:rPr>
          <w:rFonts w:ascii="Arial" w:cs="Arial" w:eastAsia="Arial" w:hAnsi="Arial"/>
          <w:sz w:val="17"/>
          <w:szCs w:val="17"/>
          <w:color w:val="auto"/>
        </w:rPr>
      </w:pPr>
      <w:r>
        <w:rPr>
          <w:rFonts w:ascii="Arial" w:cs="Arial" w:eastAsia="Arial" w:hAnsi="Arial"/>
          <w:sz w:val="17"/>
          <w:szCs w:val="17"/>
          <w:color w:val="auto"/>
        </w:rPr>
        <w:t>Except as provided in paragraph 6 below, and except for compensation and benefits and equity ownership in the Company I am entitled to under the terms of the Employment Agreement, I knowingly and voluntarily release and forever discharge the Released Parties from any and all claims,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of this Mutual General Release) and whether known or unknown, suspected, or claimed against the Released Parties which I, my spouse, or any of my heirs, executors, administrators or assigns, may have,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(except as provided in paragraph 6 below);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“Claims”).</w:t>
      </w:r>
    </w:p>
    <w:p>
      <w:pPr>
        <w:spacing w:after="0" w:line="183" w:lineRule="exact"/>
        <w:rPr>
          <w:rFonts w:ascii="Arial" w:cs="Arial" w:eastAsia="Arial" w:hAnsi="Arial"/>
          <w:sz w:val="17"/>
          <w:szCs w:val="17"/>
          <w:color w:val="auto"/>
        </w:rPr>
      </w:pPr>
    </w:p>
    <w:p>
      <w:pPr>
        <w:ind w:firstLine="721"/>
        <w:spacing w:after="0" w:line="277" w:lineRule="auto"/>
        <w:tabs>
          <w:tab w:leader="none" w:pos="1534"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Release is mutual, and the Company hereby expressly releases Robert W. D’Loren, his successors, assigns, heirs, executors and administrators (“D’Loren Parties”) from all claims and to the same extent as described in the preceding Section 2 .</w:t>
      </w:r>
    </w:p>
    <w:p>
      <w:pPr>
        <w:spacing w:after="0" w:line="170" w:lineRule="exact"/>
        <w:rPr>
          <w:rFonts w:ascii="Arial" w:cs="Arial" w:eastAsia="Arial" w:hAnsi="Arial"/>
          <w:sz w:val="18"/>
          <w:szCs w:val="18"/>
          <w:color w:val="auto"/>
        </w:rPr>
      </w:pPr>
    </w:p>
    <w:p>
      <w:pPr>
        <w:ind w:right="20" w:firstLine="721"/>
        <w:spacing w:after="0" w:line="277" w:lineRule="auto"/>
        <w:tabs>
          <w:tab w:leader="none" w:pos="13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Parties represent and acknowledge that they have not assigned or transferred or purported to assign or transfer, to any person or entity, any right, claim, demand, cause of action, or other matter mentioned or implied by this Mutual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0" w:name="page111"/>
    <w:bookmarkEnd w:id="110"/>
    <w:p>
      <w:pPr>
        <w:jc w:val="both"/>
        <w:ind w:left="-721" w:firstLine="721"/>
        <w:spacing w:after="0" w:line="269" w:lineRule="auto"/>
        <w:tabs>
          <w:tab w:leader="none" w:pos="736" w:val="left"/>
        </w:tabs>
        <w:numPr>
          <w:ilvl w:val="0"/>
          <w:numId w:val="91"/>
        </w:numPr>
        <w:rPr>
          <w:rFonts w:ascii="Arial" w:cs="Arial" w:eastAsia="Arial" w:hAnsi="Arial"/>
          <w:sz w:val="17"/>
          <w:szCs w:val="17"/>
          <w:color w:val="auto"/>
        </w:rPr>
      </w:pPr>
      <w:r>
        <w:rPr>
          <w:rFonts w:ascii="Arial" w:cs="Arial" w:eastAsia="Arial" w:hAnsi="Arial"/>
          <w:sz w:val="17"/>
          <w:szCs w:val="17"/>
          <w:color w:val="auto"/>
        </w:rPr>
        <w:t>I represent, warrant and covenant to each of the Released Parties that at no time prior to or contemporaneous with my execution of this Mutual General Release have I (i) knowingly engaged in any wrongful conduct against, on behalf of or as the representative or agent of the Company; (ii) breached any provision of the Employment Agreement; or (iii) violated any state, federal, local or other law, including any securities laws or regulations, including the regulations of FINRA, or any exchange, inter-dealer quotation system or the Over-the-Counter Bulletin Board or other trading venue on which the Company’s securities are traded. Each Party represents, warrants and covenants to each of the other Parties that at no time prior to or contemporaneous with his or its execution of this Mutual General Release has any Party filed or caused or knowingly permitted the filing or maintenance, in any state, federal or foreign court, or before any local, state, federal or foreign administrative agency or other tribunal, any charge, claim or action of any kind, nature and character whatsoever (“</w:t>
      </w:r>
      <w:r>
        <w:rPr>
          <w:rFonts w:ascii="Arial" w:cs="Arial" w:eastAsia="Arial" w:hAnsi="Arial"/>
          <w:sz w:val="17"/>
          <w:szCs w:val="17"/>
          <w:i w:val="1"/>
          <w:iCs w:val="1"/>
          <w:color w:val="auto"/>
        </w:rPr>
        <w:t>Claim</w:t>
      </w:r>
      <w:r>
        <w:rPr>
          <w:rFonts w:ascii="Arial" w:cs="Arial" w:eastAsia="Arial" w:hAnsi="Arial"/>
          <w:sz w:val="17"/>
          <w:szCs w:val="17"/>
          <w:color w:val="auto"/>
        </w:rPr>
        <w:t>”), known or unknown, suspected or unsuspected, that is pending on the date hereof against the other Parties which is based in whole or in part on any matter referred to in Sections 2 and 3 above; and, subject to each Party’s performance under this Mutual General Release, to the maximum extent permitted by law each Party shall be prohibited from filing or maintaining, or causing or knowingly permitting the filing or maintaining, of any such Claim in any such forum.</w:t>
      </w:r>
    </w:p>
    <w:p>
      <w:pPr>
        <w:spacing w:after="0" w:line="182" w:lineRule="exact"/>
        <w:rPr>
          <w:rFonts w:ascii="Arial" w:cs="Arial" w:eastAsia="Arial" w:hAnsi="Arial"/>
          <w:sz w:val="17"/>
          <w:szCs w:val="17"/>
          <w:color w:val="auto"/>
        </w:rPr>
      </w:pPr>
    </w:p>
    <w:p>
      <w:pPr>
        <w:jc w:val="both"/>
        <w:ind w:left="-721" w:firstLine="721"/>
        <w:spacing w:after="0" w:line="259" w:lineRule="auto"/>
        <w:tabs>
          <w:tab w:leader="none" w:pos="71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agree that this Mutual General Release does not waive or release any rights or claims that I may have under the Age Discrimination in Employment Act of 1967 which arise after the date I execute this Mutual General Release. I acknowledge and agree that my separation from employment with the Company in compliance with the terms of the Employment Agreement shall not serve as the basis for any claim or action (including, without limitation, any claim under the Age Discrimination in Employment Act of 1967).</w:t>
      </w:r>
    </w:p>
    <w:p>
      <w:pPr>
        <w:spacing w:after="0" w:line="186" w:lineRule="exact"/>
        <w:rPr>
          <w:rFonts w:ascii="Arial" w:cs="Arial" w:eastAsia="Arial" w:hAnsi="Arial"/>
          <w:sz w:val="18"/>
          <w:szCs w:val="18"/>
          <w:color w:val="auto"/>
        </w:rPr>
      </w:pPr>
    </w:p>
    <w:p>
      <w:pPr>
        <w:jc w:val="both"/>
        <w:ind w:left="-721" w:firstLine="721"/>
        <w:spacing w:after="0" w:line="290" w:lineRule="auto"/>
        <w:tabs>
          <w:tab w:leader="none" w:pos="684"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signing this Mutual General Release, the Parties acknowledge and intend that it shall be effective as a bar to each and every one of the Claims hereinabove mentioned or implied. The Parties expressly consent that this Mutual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The Parties acknowledge and agree that this waiver is an essential and material term of this Mutual General Release and that without such waiver the Parties would not have agreed to the terms of the Employment Agreement. The Parties further agree that in the event a claim is brought in violation of this Mutual General Release, this Mutual General Release shall serve as a complete defense to such Claims. I further agree that I am not aware of any pending charge or complaint of the type described in paragraph 2 as of the execution of this General Release.</w:t>
      </w:r>
    </w:p>
    <w:p>
      <w:pPr>
        <w:spacing w:after="0" w:line="166" w:lineRule="exact"/>
        <w:rPr>
          <w:rFonts w:ascii="Arial" w:cs="Arial" w:eastAsia="Arial" w:hAnsi="Arial"/>
          <w:sz w:val="16"/>
          <w:szCs w:val="16"/>
          <w:color w:val="auto"/>
        </w:rPr>
      </w:pPr>
    </w:p>
    <w:p>
      <w:pPr>
        <w:ind w:left="-721" w:firstLine="721"/>
        <w:spacing w:after="0" w:line="308" w:lineRule="auto"/>
        <w:tabs>
          <w:tab w:leader="none" w:pos="628"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Parties agree that neither this Mutual General Release, nor the furnishing of the consideration for this Mutual General Release, shall be deemed or construed at any time to be an admission by any Released Party or the Executive of any improper or unlawful conduct.</w:t>
      </w:r>
    </w:p>
    <w:p>
      <w:pPr>
        <w:spacing w:after="0" w:line="146" w:lineRule="exact"/>
        <w:rPr>
          <w:rFonts w:ascii="Arial" w:cs="Arial" w:eastAsia="Arial" w:hAnsi="Arial"/>
          <w:sz w:val="17"/>
          <w:szCs w:val="17"/>
          <w:color w:val="auto"/>
        </w:rPr>
      </w:pPr>
    </w:p>
    <w:p>
      <w:pPr>
        <w:ind w:left="-721" w:firstLine="721"/>
        <w:spacing w:after="0" w:line="277" w:lineRule="auto"/>
        <w:tabs>
          <w:tab w:leader="none" w:pos="654"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agree that I will forfeit all cash amounts payable by the Company pursuant to the Employment Agreement that would not have otherwise been paid but for my signing this Mutual General Release if I challenge the validity of this Mutual General Release.</w:t>
      </w:r>
    </w:p>
    <w:p>
      <w:pPr>
        <w:spacing w:after="0" w:line="170" w:lineRule="exact"/>
        <w:rPr>
          <w:rFonts w:ascii="Arial" w:cs="Arial" w:eastAsia="Arial" w:hAnsi="Arial"/>
          <w:sz w:val="18"/>
          <w:szCs w:val="18"/>
          <w:color w:val="auto"/>
        </w:rPr>
      </w:pPr>
    </w:p>
    <w:p>
      <w:pPr>
        <w:jc w:val="both"/>
        <w:ind w:left="-721" w:firstLine="721"/>
        <w:spacing w:after="0" w:line="279" w:lineRule="auto"/>
        <w:tabs>
          <w:tab w:leader="none" w:pos="689"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Parties agree that this Mutual General Release is confidential and agree not to disclose any information regarding the terms of this Mutual General Release to any third party, except any tax, legal or other counsel consulted regarding the meaning or effect hereof or as required by law and except that the Company may disclose this Mutual General Release to its affiliates and their representatives. The Executive may also disclose information contained herein to his immediate family. The Parties will instruct each of the foregoing not to disclose the same to anyone.</w:t>
      </w:r>
    </w:p>
    <w:p>
      <w:pPr>
        <w:spacing w:after="0" w:line="171" w:lineRule="exact"/>
        <w:rPr>
          <w:rFonts w:ascii="Arial" w:cs="Arial" w:eastAsia="Arial" w:hAnsi="Arial"/>
          <w:sz w:val="17"/>
          <w:szCs w:val="17"/>
          <w:color w:val="auto"/>
        </w:rPr>
      </w:pPr>
    </w:p>
    <w:p>
      <w:pPr>
        <w:ind w:left="-721" w:right="20" w:firstLine="721"/>
        <w:spacing w:after="0" w:line="308" w:lineRule="auto"/>
        <w:tabs>
          <w:tab w:leader="none" w:pos="724"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non-disclosure provision in this Mutual General Release does not prohibit or restrict me (or my attorney) or the Company or its attorney from responding to any inquiry about this Mutual General Release or its underlying facts and circumstances by any governmental entity.</w:t>
      </w:r>
    </w:p>
    <w:p>
      <w:pPr>
        <w:spacing w:after="0" w:line="146" w:lineRule="exact"/>
        <w:rPr>
          <w:rFonts w:ascii="Arial" w:cs="Arial" w:eastAsia="Arial" w:hAnsi="Arial"/>
          <w:sz w:val="17"/>
          <w:szCs w:val="17"/>
          <w:color w:val="auto"/>
        </w:rPr>
      </w:pPr>
    </w:p>
    <w:p>
      <w:pPr>
        <w:ind w:left="-721" w:right="420" w:firstLine="721"/>
        <w:spacing w:after="0" w:line="277" w:lineRule="auto"/>
        <w:tabs>
          <w:tab w:leader="none" w:pos="57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Parties specifically acknowledge their continuing obligations to one another under the Employment Agreement, including without limitation under Section 1.6, Section 1.7, Section 1.8, Section 1.9 and Section 3.1 of the Employment Agreement.</w:t>
      </w:r>
    </w:p>
    <w:p>
      <w:pPr>
        <w:spacing w:after="0" w:line="170" w:lineRule="exact"/>
        <w:rPr>
          <w:rFonts w:ascii="Arial" w:cs="Arial" w:eastAsia="Arial" w:hAnsi="Arial"/>
          <w:sz w:val="18"/>
          <w:szCs w:val="18"/>
          <w:color w:val="auto"/>
        </w:rPr>
      </w:pPr>
    </w:p>
    <w:p>
      <w:pPr>
        <w:jc w:val="both"/>
        <w:ind w:left="-721" w:firstLine="721"/>
        <w:spacing w:after="0" w:line="30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Whenever possible, each provision of this Mutual General Release shall be interpreted in such manner as to be effective and valid under applicable law, but if any provision of this Mutual General Release is held to be invalid, illegal or unenforceable in any respect under any applicable law or rule in any jurisdiction, such invalidity, illegality or unenforceability shall not affect any other provision or any other jurisdiction, but this Mutual General Release shall be reformed, construed and enforced in such jurisdiction as if such invalid, illegal or unenforceable provision had never been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381635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9"/>
          </w:cols>
          <w:pgMar w:left="961" w:top="881" w:right="239" w:bottom="1440" w:gutter="0" w:footer="0" w:header="0"/>
        </w:sectPr>
      </w:pPr>
    </w:p>
    <w:bookmarkStart w:id="111" w:name="page112"/>
    <w:bookmarkEnd w:id="111"/>
    <w:p>
      <w:pPr>
        <w:ind w:left="1300" w:hanging="579"/>
        <w:spacing w:after="0"/>
        <w:tabs>
          <w:tab w:leader="none" w:pos="13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 given such terms in the Employment Agreement.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SIGNING THIS MUTUAL GENERAL RELEASE, I REPRESENT AND AGREE THAT:</w:t>
      </w:r>
    </w:p>
    <w:p>
      <w:pPr>
        <w:spacing w:after="0" w:line="23" w:lineRule="exact"/>
        <w:rPr>
          <w:sz w:val="20"/>
          <w:szCs w:val="20"/>
          <w:color w:val="auto"/>
        </w:rPr>
      </w:pPr>
    </w:p>
    <w:p>
      <w:pPr>
        <w:ind w:left="2060" w:hanging="626"/>
        <w:spacing w:after="0"/>
        <w:tabs>
          <w:tab w:leader="none" w:pos="2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9" w:lineRule="exact"/>
        <w:rPr>
          <w:rFonts w:ascii="Arial" w:cs="Arial" w:eastAsia="Arial" w:hAnsi="Arial"/>
          <w:sz w:val="18"/>
          <w:szCs w:val="18"/>
          <w:color w:val="auto"/>
        </w:rPr>
      </w:pPr>
    </w:p>
    <w:p>
      <w:pPr>
        <w:jc w:val="both"/>
        <w:ind w:left="720" w:firstLine="714"/>
        <w:spacing w:after="0" w:line="250" w:lineRule="auto"/>
        <w:tabs>
          <w:tab w:leader="none" w:pos="214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 w:lineRule="exact"/>
        <w:rPr>
          <w:rFonts w:ascii="Arial" w:cs="Arial" w:eastAsia="Arial" w:hAnsi="Arial"/>
          <w:sz w:val="18"/>
          <w:szCs w:val="18"/>
          <w:color w:val="auto"/>
        </w:rPr>
      </w:pPr>
    </w:p>
    <w:p>
      <w:pPr>
        <w:ind w:left="2060" w:hanging="626"/>
        <w:spacing w:after="0"/>
        <w:tabs>
          <w:tab w:leader="none" w:pos="2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9" w:lineRule="exact"/>
        <w:rPr>
          <w:rFonts w:ascii="Arial" w:cs="Arial" w:eastAsia="Arial" w:hAnsi="Arial"/>
          <w:sz w:val="18"/>
          <w:szCs w:val="18"/>
          <w:color w:val="auto"/>
        </w:rPr>
      </w:pPr>
    </w:p>
    <w:p>
      <w:pPr>
        <w:ind w:left="720" w:right="20" w:firstLine="714"/>
        <w:spacing w:after="0" w:line="250" w:lineRule="auto"/>
        <w:tabs>
          <w:tab w:leader="none" w:pos="21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BEEN ADVISED TO CONSULT WITH AN ATTORNEY BEFORE EXECUTING IT AND I HAVE DONE SO OR, AFTER CAREFUL READING AND CONSIDERATION, I HAVE CHOSEN NOT TO DO SO OF MY OWN VOLITION;</w:t>
      </w:r>
    </w:p>
    <w:p>
      <w:pPr>
        <w:jc w:val="both"/>
        <w:ind w:left="720" w:firstLine="714"/>
        <w:spacing w:after="0" w:line="265" w:lineRule="auto"/>
        <w:tabs>
          <w:tab w:leader="none" w:pos="215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HAVE HAD AT LEAST 21 DAYS FROM THE DATE OF MY RECEIPT OF THIS RELEASE, SUBSTANTIALLY IN ITS FINAL FORM ON _______________ __, _____, TO CONSIDER IT, AND THE CHANGES MADE SINCE THE _______________ __, _____</w:t>
      </w:r>
    </w:p>
    <w:p>
      <w:pPr>
        <w:ind w:left="720"/>
        <w:spacing w:after="0"/>
        <w:rPr>
          <w:rFonts w:ascii="Arial" w:cs="Arial" w:eastAsia="Arial" w:hAnsi="Arial"/>
          <w:sz w:val="17"/>
          <w:szCs w:val="17"/>
          <w:color w:val="auto"/>
        </w:rPr>
      </w:pPr>
      <w:r>
        <w:rPr>
          <w:rFonts w:ascii="Arial" w:cs="Arial" w:eastAsia="Arial" w:hAnsi="Arial"/>
          <w:sz w:val="18"/>
          <w:szCs w:val="18"/>
          <w:color w:val="auto"/>
        </w:rPr>
        <w:t>VERSION OF THIS RELEASE ARE NOT MATERIAL AND WILL NOT RESTART THE REQUIRED 21-DAY PERIOD;</w:t>
      </w:r>
    </w:p>
    <w:p>
      <w:pPr>
        <w:spacing w:after="0" w:line="9" w:lineRule="exact"/>
        <w:rPr>
          <w:rFonts w:ascii="Arial" w:cs="Arial" w:eastAsia="Arial" w:hAnsi="Arial"/>
          <w:sz w:val="17"/>
          <w:szCs w:val="17"/>
          <w:color w:val="auto"/>
        </w:rPr>
      </w:pPr>
    </w:p>
    <w:p>
      <w:pPr>
        <w:ind w:left="720" w:right="20" w:firstLine="714"/>
        <w:spacing w:after="0" w:line="250" w:lineRule="auto"/>
        <w:tabs>
          <w:tab w:leader="none" w:pos="21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CHANGES TO THE AGREEMENT SINCE _______________ ___, _____ EITHER ARE NOT MATERIAL OR WERE MADE AT MY REQUEST.</w:t>
      </w:r>
    </w:p>
    <w:p>
      <w:pPr>
        <w:ind w:left="720" w:firstLine="714"/>
        <w:spacing w:after="0" w:line="265" w:lineRule="auto"/>
        <w:tabs>
          <w:tab w:leader="none" w:pos="2127" w:val="left"/>
        </w:tabs>
        <w:numPr>
          <w:ilvl w:val="0"/>
          <w:numId w:val="93"/>
        </w:numPr>
        <w:rPr>
          <w:rFonts w:ascii="Arial" w:cs="Arial" w:eastAsia="Arial" w:hAnsi="Arial"/>
          <w:sz w:val="17"/>
          <w:szCs w:val="17"/>
          <w:color w:val="auto"/>
        </w:rPr>
      </w:pPr>
      <w:r>
        <w:rPr>
          <w:rFonts w:ascii="Arial" w:cs="Arial" w:eastAsia="Arial" w:hAnsi="Arial"/>
          <w:sz w:val="17"/>
          <w:szCs w:val="17"/>
          <w:color w:val="auto"/>
        </w:rPr>
        <w:t>I UNDERSTAND THAT I HAVE SEVEN (7) DAYS AFTER THE EXECUTION OF THIS RELEASE TO REVOKE IT AND THAT THIS RELEASE SHALL NOT BECOME EFFECTIVE OR ENFORCEABLE UNTIL THE REVOCATION PERIOD HAS EXPIRED;</w:t>
      </w:r>
    </w:p>
    <w:p>
      <w:pPr>
        <w:ind w:left="720" w:firstLine="714"/>
        <w:spacing w:after="0" w:line="250" w:lineRule="auto"/>
        <w:tabs>
          <w:tab w:leader="none" w:pos="21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SIGNED THIS MUTUAL GENERAL RELEASE KNOWINGLY AND VOLUNTARILY AND WITH THE ADVICE OF ANY COUNSEL RETAINED TO ADVISE ME WITH RESPECT TO IT; AND</w:t>
      </w:r>
    </w:p>
    <w:p>
      <w:pPr>
        <w:jc w:val="both"/>
        <w:ind w:left="720" w:firstLine="714"/>
        <w:spacing w:after="0" w:line="255" w:lineRule="auto"/>
        <w:tabs>
          <w:tab w:leader="none" w:pos="226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AGREE THAT THE PROVISIONS OF THIS MUTUAL GENERAL RELEASE MAY NOT BE AMENDED, WAIVED, CHANGED OR MODIFIED EXCEPT BY AN INSTRUMENT IN WRITING SIGNED BY AN AUTHORIZED REPRESENTATIVE OF THE COMPANY AND BY 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___________ __, ______</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Robert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Name: James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31902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Title: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9"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THIS AMENDED AND RESTATED EMPLOYMENT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made as of February __, 2012 by and between XCel Brands,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Giuseppe Falco (the “</w:t>
      </w:r>
      <w:r>
        <w:rPr>
          <w:rFonts w:ascii="Arial" w:cs="Arial" w:eastAsia="Arial" w:hAnsi="Arial"/>
          <w:sz w:val="18"/>
          <w:szCs w:val="18"/>
          <w:i w:val="1"/>
          <w:iCs w:val="1"/>
          <w:color w:val="auto"/>
        </w:rPr>
        <w:t>Executive</w:t>
      </w:r>
      <w:r>
        <w:rPr>
          <w:rFonts w:ascii="Arial" w:cs="Arial" w:eastAsia="Arial" w:hAnsi="Arial"/>
          <w:sz w:val="18"/>
          <w:szCs w:val="18"/>
          <w:color w:val="auto"/>
        </w:rPr>
        <w:t>”), each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i w:val="1"/>
          <w:iCs w:val="1"/>
          <w:color w:val="auto"/>
        </w:rPr>
        <w:t>Parties</w:t>
      </w:r>
      <w:r>
        <w:rPr>
          <w:rFonts w:ascii="Arial" w:cs="Arial" w:eastAsia="Arial" w:hAnsi="Arial"/>
          <w:sz w:val="18"/>
          <w:szCs w:val="18"/>
          <w:color w:val="auto"/>
        </w:rPr>
        <w:t>.” This Agreement amends and restates that certain employment agreement dated as of August 1, 2011, by and between the Company and the Executive. Unless otherwise indicated, capitalized terms used herein are defined in Section 2.1.</w:t>
      </w:r>
    </w:p>
    <w:p>
      <w:pPr>
        <w:spacing w:after="0" w:line="18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WHEREAS, the Company has determined that it is in the best interests of the Company and its shareholders to enter into an employment agreement with the Executive and the Executive is willing to serve as an employee of the Company.</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NOW, THEREFORE, in consideration of the mutual covenants and agreements set forth herein, it is agreed by and between the Executive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TERMS</w:t>
      </w:r>
    </w:p>
    <w:p>
      <w:pPr>
        <w:spacing w:after="0" w:line="211" w:lineRule="exact"/>
        <w:rPr>
          <w:sz w:val="20"/>
          <w:szCs w:val="20"/>
          <w:color w:val="auto"/>
        </w:rPr>
      </w:pPr>
    </w:p>
    <w:p>
      <w:pPr>
        <w:jc w:val="both"/>
        <w:ind w:firstLine="713"/>
        <w:spacing w:after="0" w:line="279" w:lineRule="auto"/>
        <w:rPr>
          <w:sz w:val="20"/>
          <w:szCs w:val="20"/>
          <w:color w:val="auto"/>
        </w:rPr>
      </w:pPr>
      <w:r>
        <w:rPr>
          <w:rFonts w:ascii="Arial" w:cs="Arial" w:eastAsia="Arial" w:hAnsi="Arial"/>
          <w:sz w:val="17"/>
          <w:szCs w:val="17"/>
          <w:color w:val="auto"/>
        </w:rPr>
        <w:t>1.1 Employment. The Company will employ the Executive, and the Executive accepts employment with the Company, upon the terms and conditions set forth in this Agreement for the period beginning on the Effective Date and ending as provided in Section 1.4(a) hereof (the “</w:t>
      </w:r>
      <w:r>
        <w:rPr>
          <w:rFonts w:ascii="Arial" w:cs="Arial" w:eastAsia="Arial" w:hAnsi="Arial"/>
          <w:sz w:val="17"/>
          <w:szCs w:val="17"/>
          <w:i w:val="1"/>
          <w:iCs w:val="1"/>
          <w:color w:val="auto"/>
        </w:rPr>
        <w:t>Employment</w:t>
      </w:r>
      <w:r>
        <w:rPr>
          <w:rFonts w:ascii="Arial" w:cs="Arial" w:eastAsia="Arial" w:hAnsi="Arial"/>
          <w:sz w:val="17"/>
          <w:szCs w:val="17"/>
          <w:color w:val="auto"/>
        </w:rPr>
        <w:t xml:space="preserve"> </w:t>
      </w:r>
      <w:r>
        <w:rPr>
          <w:rFonts w:ascii="Arial" w:cs="Arial" w:eastAsia="Arial" w:hAnsi="Arial"/>
          <w:sz w:val="17"/>
          <w:szCs w:val="17"/>
          <w:i w:val="1"/>
          <w:iCs w:val="1"/>
          <w:color w:val="auto"/>
        </w:rPr>
        <w:t>Period</w:t>
      </w:r>
      <w:r>
        <w:rPr>
          <w:rFonts w:ascii="Arial" w:cs="Arial" w:eastAsia="Arial" w:hAnsi="Arial"/>
          <w:sz w:val="17"/>
          <w:szCs w:val="17"/>
          <w:color w:val="auto"/>
        </w:rPr>
        <w:t>”). Notwithstanding anything to the contrary contained in this Agreement, if the Effective Date does not occur on or prior to October 1, 2011, then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shall be deemed terminated; provided, however, that the provisions contained in Section 1.5 shall remain in full force and effect.</w:t>
      </w:r>
    </w:p>
    <w:p>
      <w:pPr>
        <w:spacing w:after="0" w:line="171"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Position and Duties.</w:t>
      </w:r>
    </w:p>
    <w:p>
      <w:pPr>
        <w:spacing w:after="0" w:line="225" w:lineRule="exact"/>
        <w:rPr>
          <w:sz w:val="20"/>
          <w:szCs w:val="20"/>
          <w:color w:val="auto"/>
        </w:rPr>
      </w:pPr>
    </w:p>
    <w:p>
      <w:pPr>
        <w:jc w:val="both"/>
        <w:ind w:firstLine="721"/>
        <w:spacing w:after="0" w:line="257" w:lineRule="auto"/>
        <w:tabs>
          <w:tab w:leader="none" w:pos="1477" w:val="left"/>
        </w:tabs>
        <w:numPr>
          <w:ilvl w:val="0"/>
          <w:numId w:val="95"/>
        </w:numPr>
        <w:rPr>
          <w:rFonts w:ascii="Arial" w:cs="Arial" w:eastAsia="Arial" w:hAnsi="Arial"/>
          <w:sz w:val="18"/>
          <w:szCs w:val="18"/>
          <w:color w:val="auto"/>
        </w:rPr>
      </w:pPr>
      <w:r>
        <w:rPr>
          <w:rFonts w:ascii="Arial" w:cs="Arial" w:eastAsia="Arial" w:hAnsi="Arial"/>
          <w:sz w:val="18"/>
          <w:szCs w:val="18"/>
          <w:color w:val="auto"/>
        </w:rPr>
        <w:t>Generally. The Executive shall serve as the President, Chief Operating Officer of the Isaac Mizrahi Brand (“</w:t>
      </w:r>
      <w:r>
        <w:rPr>
          <w:rFonts w:ascii="Arial" w:cs="Arial" w:eastAsia="Arial" w:hAnsi="Arial"/>
          <w:sz w:val="18"/>
          <w:szCs w:val="18"/>
          <w:i w:val="1"/>
          <w:iCs w:val="1"/>
          <w:color w:val="auto"/>
        </w:rPr>
        <w:t>IMB</w:t>
      </w:r>
      <w:r>
        <w:rPr>
          <w:rFonts w:ascii="Arial" w:cs="Arial" w:eastAsia="Arial" w:hAnsi="Arial"/>
          <w:sz w:val="18"/>
          <w:szCs w:val="18"/>
          <w:color w:val="auto"/>
        </w:rPr>
        <w:t>”) and in such capacity shall be responsible for the general management of IMB , shall perform such duties as are customarily performed by an officer with similar title and responsibilities of a company of a similar size and shall have such power and authority as shall reasonably be required to enable him to perform his duties hereunder; provided, however, that in exercising such power and authority and performing such duties, he shall at all times be subject to the authority, control and direction of the Chief Executive Officer of the Company.</w:t>
      </w:r>
    </w:p>
    <w:p>
      <w:pPr>
        <w:spacing w:after="0" w:line="188" w:lineRule="exact"/>
        <w:rPr>
          <w:rFonts w:ascii="Arial" w:cs="Arial" w:eastAsia="Arial" w:hAnsi="Arial"/>
          <w:sz w:val="18"/>
          <w:szCs w:val="18"/>
          <w:color w:val="auto"/>
        </w:rPr>
      </w:pPr>
    </w:p>
    <w:p>
      <w:pPr>
        <w:jc w:val="both"/>
        <w:ind w:firstLine="721"/>
        <w:spacing w:after="0" w:line="270" w:lineRule="auto"/>
        <w:tabs>
          <w:tab w:leader="none" w:pos="1499" w:val="left"/>
        </w:tabs>
        <w:numPr>
          <w:ilvl w:val="0"/>
          <w:numId w:val="95"/>
        </w:numPr>
        <w:rPr>
          <w:rFonts w:ascii="Arial" w:cs="Arial" w:eastAsia="Arial" w:hAnsi="Arial"/>
          <w:sz w:val="17"/>
          <w:szCs w:val="17"/>
          <w:color w:val="auto"/>
        </w:rPr>
      </w:pPr>
      <w:r>
        <w:rPr>
          <w:rFonts w:ascii="Arial" w:cs="Arial" w:eastAsia="Arial" w:hAnsi="Arial"/>
          <w:sz w:val="17"/>
          <w:szCs w:val="17"/>
          <w:color w:val="auto"/>
        </w:rPr>
        <w:t>Duties and Responsibilities. The Executive shall report directly to Robert D’Loren, the Chief Executive Officer of the Company, or his successor, and shall devote his full business time and attention to the business and affairs of the Company and its Subsidiaries. The Executive shall have such duties, responsibility and authority as are customary and consistent with his position. The Executive shall perform his duties and responsibilities in a diligent, trustworthy, businesslike and efficient manner and shall use his best efforts during the Employment Period to protect, encourage and promote the best interests of the Company and its stockholders. The Executive shall not engage in any other business activities that could reasonably be expected to conflict with the Executive’s duties, responsibilities and obligations hereunder. Notwithstanding the foregoing, nothing herein shall prohibit Executive from (i) serving on corporate, civic or charitable boards or committees, (ii) delivering lectures or fulfilling speaking engagements and (iii) managing personal investments, so long as such activities do not materially interfere with the performance of Executive’s responsibilities hereunder. During the Employment Period, the Executive shall promptly bring to the Company or its Subsidiaries, as applicable, all investment or business opportunities relating to the Business of which the Executive becomes aware.</w:t>
      </w:r>
    </w:p>
    <w:p>
      <w:pPr>
        <w:spacing w:after="0" w:line="177" w:lineRule="exact"/>
        <w:rPr>
          <w:rFonts w:ascii="Arial" w:cs="Arial" w:eastAsia="Arial" w:hAnsi="Arial"/>
          <w:sz w:val="17"/>
          <w:szCs w:val="17"/>
          <w:color w:val="auto"/>
        </w:rPr>
      </w:pPr>
    </w:p>
    <w:p>
      <w:pPr>
        <w:jc w:val="both"/>
        <w:ind w:firstLine="721"/>
        <w:spacing w:after="0" w:line="264" w:lineRule="auto"/>
        <w:tabs>
          <w:tab w:leader="none" w:pos="1437"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Principal Office. The principal place of performance by the Executive of his duties hereunder shall be the Company’s principal executive offices in the New York Metropolitan area, although the Executive may be required to travel outside of the area where the Company’s principal executive offices are located in connection with the performance of Executive’s duties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spacing w:after="0"/>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Compensation.</w:t>
      </w:r>
    </w:p>
    <w:p>
      <w:pPr>
        <w:spacing w:after="0" w:line="225" w:lineRule="exact"/>
        <w:rPr>
          <w:sz w:val="20"/>
          <w:szCs w:val="20"/>
          <w:color w:val="auto"/>
        </w:rPr>
      </w:pPr>
    </w:p>
    <w:p>
      <w:pPr>
        <w:jc w:val="both"/>
        <w:ind w:left="-720" w:firstLine="721"/>
        <w:spacing w:after="0" w:line="297" w:lineRule="auto"/>
        <w:tabs>
          <w:tab w:leader="none" w:pos="694"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 Salary. The Executive’s base salary shall be $350,000 per annum (the “</w:t>
      </w:r>
      <w:r>
        <w:rPr>
          <w:rFonts w:ascii="Arial" w:cs="Arial" w:eastAsia="Arial" w:hAnsi="Arial"/>
          <w:sz w:val="16"/>
          <w:szCs w:val="16"/>
          <w:i w:val="1"/>
          <w:iCs w:val="1"/>
          <w:color w:val="auto"/>
        </w:rPr>
        <w:t>Base Salary</w:t>
      </w:r>
      <w:r>
        <w:rPr>
          <w:rFonts w:ascii="Arial" w:cs="Arial" w:eastAsia="Arial" w:hAnsi="Arial"/>
          <w:sz w:val="16"/>
          <w:szCs w:val="16"/>
          <w:color w:val="auto"/>
        </w:rPr>
        <w:t>”). The Base Salary payable for Fiscal Year 2011 shall be prorated based on the number of days from and including the Effective Date through and including December 31, 2011. The Base Salary will be payable to the Executive by the Company in regular installments in accordance with the Company’s general payroll practices. The Executive shall receive such increases (but not decreases) in his Base Salary as the Board of Directors, or the compensation committee of the Board of Directors, may approve in its sole discretion from time to time; provided that the Executive’s Base Salary will be reviewed for potential upward adjustment not less often than annually.</w:t>
      </w:r>
    </w:p>
    <w:p>
      <w:pPr>
        <w:spacing w:after="0" w:line="158" w:lineRule="exact"/>
        <w:rPr>
          <w:rFonts w:ascii="Arial" w:cs="Arial" w:eastAsia="Arial" w:hAnsi="Arial"/>
          <w:sz w:val="16"/>
          <w:szCs w:val="16"/>
          <w:color w:val="auto"/>
        </w:rPr>
      </w:pPr>
    </w:p>
    <w:p>
      <w:pPr>
        <w:jc w:val="both"/>
        <w:ind w:left="-720" w:firstLine="721"/>
        <w:spacing w:after="0" w:line="255" w:lineRule="auto"/>
        <w:tabs>
          <w:tab w:leader="none" w:pos="698"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Cash Bonuses. Executive shall be entitled to a cash bonus of up to $50,000 per annum (“Cash Bonus”) based upon the following: one half of one percent (0.5%) of all Isaac Mizrahi Live net sales in excess of $60 million on QVC as reported by QVC to the Company. The Cash Bonus shall be awarded to Executive on the date that is the earlier of (i) the 90th day following the end of the fiscal year to which the Cash Bonus relates and (ii) the first business day following the date the Company’s annual report on Form 10-K for the fiscal year to which the Cash Bonus relates is filed with the Securities and Exchange Commission. Executive shall be eligible to receive a pro rata portion of the Cash Bonus if Executive’s employment is less than a full year or ceases prior to the end of the calendar year for which a Cash Bonus has not yet been paid. The Executive is eligible to receive additional cash bonuses at the discretion of the Company’s compensation committee.</w:t>
      </w:r>
    </w:p>
    <w:p>
      <w:pPr>
        <w:spacing w:after="0" w:line="189" w:lineRule="exact"/>
        <w:rPr>
          <w:rFonts w:ascii="Arial" w:cs="Arial" w:eastAsia="Arial" w:hAnsi="Arial"/>
          <w:sz w:val="18"/>
          <w:szCs w:val="18"/>
          <w:color w:val="auto"/>
        </w:rPr>
      </w:pPr>
    </w:p>
    <w:p>
      <w:pPr>
        <w:ind w:left="-720" w:firstLine="721"/>
        <w:spacing w:after="0" w:line="277" w:lineRule="auto"/>
        <w:tabs>
          <w:tab w:leader="none" w:pos="823"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Withholding. All payments made under this Agreement (including Base Salary, Cash Bonuses, and other amounts) shall be subject to withholding for income taxes, payroll taxes and other legally required deductions.</w:t>
      </w:r>
    </w:p>
    <w:p>
      <w:pPr>
        <w:spacing w:after="0" w:line="170" w:lineRule="exact"/>
        <w:rPr>
          <w:rFonts w:ascii="Arial" w:cs="Arial" w:eastAsia="Arial" w:hAnsi="Arial"/>
          <w:sz w:val="18"/>
          <w:szCs w:val="18"/>
          <w:color w:val="auto"/>
        </w:rPr>
      </w:pPr>
    </w:p>
    <w:p>
      <w:pPr>
        <w:jc w:val="both"/>
        <w:ind w:left="-720" w:firstLine="721"/>
        <w:spacing w:after="0" w:line="297" w:lineRule="auto"/>
        <w:tabs>
          <w:tab w:leader="none" w:pos="735" w:val="left"/>
        </w:tabs>
        <w:numPr>
          <w:ilvl w:val="0"/>
          <w:numId w:val="96"/>
        </w:numPr>
        <w:rPr>
          <w:rFonts w:ascii="Arial" w:cs="Arial" w:eastAsia="Arial" w:hAnsi="Arial"/>
          <w:sz w:val="16"/>
          <w:szCs w:val="16"/>
          <w:color w:val="auto"/>
        </w:rPr>
      </w:pPr>
      <w:r>
        <w:rPr>
          <w:rFonts w:ascii="Arial" w:cs="Arial" w:eastAsia="Arial" w:hAnsi="Arial"/>
          <w:sz w:val="16"/>
          <w:szCs w:val="16"/>
          <w:color w:val="auto"/>
        </w:rPr>
        <w:t>Expenses. The Company will reimburse the Executive for all reasonable expenses incurred by him in the course of performing his duties under this Agreement that are consistent with the Company’s policies in effect at that time with respect to travel, entertainment and other business expenses, subject to the Company’s requirements with respect to reporting and documentation of such expenses. All expense reimbursement payments pursuant to this Section 1.3(d) shall be made within thirty (30) days after the date that the Executive notifies the Company of such expense; provided, however, that the Executive shall notify the Company of such expenses no later than six (6) months after the end of the calendar year in which such expenses were incurred.</w:t>
      </w:r>
    </w:p>
    <w:p>
      <w:pPr>
        <w:spacing w:after="0" w:line="158" w:lineRule="exact"/>
        <w:rPr>
          <w:rFonts w:ascii="Arial" w:cs="Arial" w:eastAsia="Arial" w:hAnsi="Arial"/>
          <w:sz w:val="16"/>
          <w:szCs w:val="16"/>
          <w:color w:val="auto"/>
        </w:rPr>
      </w:pPr>
    </w:p>
    <w:p>
      <w:pPr>
        <w:jc w:val="both"/>
        <w:ind w:left="-720" w:firstLine="721"/>
        <w:spacing w:after="0" w:line="264" w:lineRule="auto"/>
        <w:tabs>
          <w:tab w:leader="none" w:pos="685" w:val="left"/>
        </w:tabs>
        <w:numPr>
          <w:ilvl w:val="0"/>
          <w:numId w:val="96"/>
        </w:numPr>
        <w:rPr>
          <w:rFonts w:ascii="Arial" w:cs="Arial" w:eastAsia="Arial" w:hAnsi="Arial"/>
          <w:sz w:val="18"/>
          <w:szCs w:val="18"/>
          <w:color w:val="auto"/>
        </w:rPr>
      </w:pPr>
      <w:r>
        <w:rPr>
          <w:rFonts w:ascii="Arial" w:cs="Arial" w:eastAsia="Arial" w:hAnsi="Arial"/>
          <w:sz w:val="18"/>
          <w:szCs w:val="18"/>
          <w:color w:val="auto"/>
        </w:rPr>
        <w:t>Vacation; Holiday Pay and Sick Leave. The Executive shall be entitled to four (4) weeks’ paid vacation in each calendar year, which if not taken during any year may be carried forward to any subsequent year. Executive shall receive holiday pay and paid sick leave as provided to other executive employees of the Company.</w:t>
      </w:r>
    </w:p>
    <w:p>
      <w:pPr>
        <w:spacing w:after="0" w:line="181" w:lineRule="exact"/>
        <w:rPr>
          <w:rFonts w:ascii="Arial" w:cs="Arial" w:eastAsia="Arial" w:hAnsi="Arial"/>
          <w:sz w:val="18"/>
          <w:szCs w:val="18"/>
          <w:color w:val="auto"/>
        </w:rPr>
      </w:pPr>
    </w:p>
    <w:p>
      <w:pPr>
        <w:jc w:val="both"/>
        <w:ind w:left="-720" w:firstLine="721"/>
        <w:spacing w:after="0" w:line="255" w:lineRule="auto"/>
        <w:tabs>
          <w:tab w:leader="none" w:pos="816"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Additional Benefits. During the Employment Period, the Executive shall be entitled to participate (for himself and, as applicable, his dependents) in the group medical, life, 401(k) and other insurance programs, employee benefit plans and perquisites which may be adopted by the Board, or the compensation committee of the Board, from time to time, for participation by the Company’s senior management or executives, as well as dental, life and disability insurance coverage, with payment of, or reimbursement for, such insurance premiums by the Company, subject to, in all cases, the terms and conditions established by the Board with respect to such plans (collectively, the “</w:t>
      </w:r>
      <w:r>
        <w:rPr>
          <w:rFonts w:ascii="Arial" w:cs="Arial" w:eastAsia="Arial" w:hAnsi="Arial"/>
          <w:sz w:val="18"/>
          <w:szCs w:val="18"/>
          <w:i w:val="1"/>
          <w:iCs w:val="1"/>
          <w:color w:val="auto"/>
        </w:rPr>
        <w:t>Benefits</w:t>
      </w:r>
      <w:r>
        <w:rPr>
          <w:rFonts w:ascii="Arial" w:cs="Arial" w:eastAsia="Arial" w:hAnsi="Arial"/>
          <w:sz w:val="18"/>
          <w:szCs w:val="18"/>
          <w:color w:val="auto"/>
        </w:rPr>
        <w:t>”); provided, however, that the Board, in its reasonable discretion, may revise the terms of any Benefits so long as such revision does not have a disproportionately negative impact on the Executive vis-à-vis other Company employees, to the extent applicable.</w:t>
      </w:r>
    </w:p>
    <w:p>
      <w:pPr>
        <w:spacing w:after="0" w:line="189" w:lineRule="exact"/>
        <w:rPr>
          <w:rFonts w:ascii="Arial" w:cs="Arial" w:eastAsia="Arial" w:hAnsi="Arial"/>
          <w:sz w:val="18"/>
          <w:szCs w:val="18"/>
          <w:color w:val="auto"/>
        </w:rPr>
      </w:pPr>
    </w:p>
    <w:p>
      <w:pPr>
        <w:jc w:val="both"/>
        <w:ind w:left="-720" w:firstLine="721"/>
        <w:spacing w:after="0" w:line="259" w:lineRule="auto"/>
        <w:tabs>
          <w:tab w:leader="none" w:pos="73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Indemnification. The Executive shall be entitled to indemnification by the Company in the same circumstances and to the same extent as the other executive officers and directors of the Company, which indemnification shall in no event be less favorable to the Executive than the fullest scope of indemnification permitted by applicable Delaware law (or any such greater scope of indemnification provided by agreement or by the terms of the Company’s Certificate of Incorporation or By-Laws to any executive officer or director of the Company).</w:t>
      </w:r>
    </w:p>
    <w:p>
      <w:pPr>
        <w:spacing w:after="0" w:line="186" w:lineRule="exact"/>
        <w:rPr>
          <w:rFonts w:ascii="Arial" w:cs="Arial" w:eastAsia="Arial" w:hAnsi="Arial"/>
          <w:sz w:val="18"/>
          <w:szCs w:val="18"/>
          <w:color w:val="auto"/>
        </w:rPr>
      </w:pPr>
    </w:p>
    <w:p>
      <w:pPr>
        <w:jc w:val="both"/>
        <w:ind w:left="-720" w:firstLine="721"/>
        <w:spacing w:after="0" w:line="259" w:lineRule="auto"/>
        <w:tabs>
          <w:tab w:leader="none" w:pos="747"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Stock Options. In the event that the Company elects from time to time during the Employment Period to award to its senior management or executives, generally, options to purchase shares of the Company’s stock pursuant to any stock option plan or similar program, the Executive shall be entitled to participate in any such stock option plan or similar program on a basis consistent with the participation of other senior management or executives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401955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881" w:right="239" w:bottom="1440" w:gutter="0" w:footer="0" w:header="0"/>
        </w:sectPr>
      </w:pPr>
    </w:p>
    <w:bookmarkStart w:id="114" w:name="page115"/>
    <w:bookmarkEnd w:id="114"/>
    <w:p>
      <w:pPr>
        <w:jc w:val="both"/>
        <w:ind w:left="-8" w:firstLine="721"/>
        <w:spacing w:after="0" w:line="255" w:lineRule="auto"/>
        <w:tabs>
          <w:tab w:leader="none" w:pos="163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Warrant. On the Closing Date, the Executive shall receive warrants (the “</w:t>
      </w:r>
      <w:r>
        <w:rPr>
          <w:rFonts w:ascii="Arial" w:cs="Arial" w:eastAsia="Arial" w:hAnsi="Arial"/>
          <w:sz w:val="18"/>
          <w:szCs w:val="18"/>
          <w:i w:val="1"/>
          <w:iCs w:val="1"/>
          <w:color w:val="auto"/>
        </w:rPr>
        <w:t>Warrant Grant</w:t>
      </w:r>
      <w:r>
        <w:rPr>
          <w:rFonts w:ascii="Arial" w:cs="Arial" w:eastAsia="Arial" w:hAnsi="Arial"/>
          <w:sz w:val="18"/>
          <w:szCs w:val="18"/>
          <w:color w:val="auto"/>
        </w:rPr>
        <w:t>”) a warrant to purchase 100,000 shares of Company’s common stock, with an exercise price per share equal to the price per share of common stock (without allocating any value to any warrants, if any, sold with the common stock) sold in the private placement anticipated to close on or about the same day as the Closing Date and a 10-year term (the “</w:t>
      </w:r>
      <w:r>
        <w:rPr>
          <w:rFonts w:ascii="Arial" w:cs="Arial" w:eastAsia="Arial" w:hAnsi="Arial"/>
          <w:sz w:val="18"/>
          <w:szCs w:val="18"/>
          <w:i w:val="1"/>
          <w:iCs w:val="1"/>
          <w:color w:val="auto"/>
        </w:rPr>
        <w:t>Warrant</w:t>
      </w:r>
      <w:r>
        <w:rPr>
          <w:rFonts w:ascii="Arial" w:cs="Arial" w:eastAsia="Arial" w:hAnsi="Arial"/>
          <w:sz w:val="18"/>
          <w:szCs w:val="18"/>
          <w:color w:val="auto"/>
        </w:rPr>
        <w:t>”). The Warrant shall vest equally over two years; 50,000 shares shall vest on the first anniversary of the Closing Date, and 50,000 shares shall vest on the second anniversary of the Closing Date. The shares of the Company’s Common Stock underlying the Warrant shall have customary piggy back registration and cashless exercise rights.</w:t>
      </w:r>
    </w:p>
    <w:p>
      <w:pPr>
        <w:spacing w:after="0" w:line="193" w:lineRule="exact"/>
        <w:rPr>
          <w:sz w:val="20"/>
          <w:szCs w:val="20"/>
          <w:color w:val="auto"/>
        </w:rPr>
      </w:pPr>
    </w:p>
    <w:p>
      <w:pPr>
        <w:ind w:left="712"/>
        <w:spacing w:after="0"/>
        <w:tabs>
          <w:tab w:leader="none" w:pos="133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Term and Termination.</w:t>
      </w:r>
    </w:p>
    <w:p>
      <w:pPr>
        <w:spacing w:after="0" w:line="225" w:lineRule="exact"/>
        <w:rPr>
          <w:sz w:val="20"/>
          <w:szCs w:val="20"/>
          <w:color w:val="auto"/>
        </w:rPr>
      </w:pPr>
    </w:p>
    <w:p>
      <w:pPr>
        <w:jc w:val="both"/>
        <w:ind w:left="-8" w:firstLine="721"/>
        <w:spacing w:after="0" w:line="253" w:lineRule="auto"/>
        <w:tabs>
          <w:tab w:leader="none" w:pos="1572" w:val="left"/>
        </w:tabs>
        <w:numPr>
          <w:ilvl w:val="1"/>
          <w:numId w:val="98"/>
        </w:numPr>
        <w:rPr>
          <w:rFonts w:ascii="Arial" w:cs="Arial" w:eastAsia="Arial" w:hAnsi="Arial"/>
          <w:sz w:val="18"/>
          <w:szCs w:val="18"/>
          <w:color w:val="auto"/>
        </w:rPr>
      </w:pPr>
      <w:r>
        <w:rPr>
          <w:rFonts w:ascii="Arial" w:cs="Arial" w:eastAsia="Arial" w:hAnsi="Arial"/>
          <w:sz w:val="18"/>
          <w:szCs w:val="18"/>
          <w:color w:val="auto"/>
        </w:rPr>
        <w:t>Duration. The Employment Period shall commence on the Effective Date and the initial term shall terminate two (2) years from the Effective Date (the “</w:t>
      </w:r>
      <w:r>
        <w:rPr>
          <w:rFonts w:ascii="Arial" w:cs="Arial" w:eastAsia="Arial" w:hAnsi="Arial"/>
          <w:sz w:val="18"/>
          <w:szCs w:val="18"/>
          <w:i w:val="1"/>
          <w:iCs w:val="1"/>
          <w:color w:val="auto"/>
        </w:rPr>
        <w:t>Initial Term</w:t>
      </w:r>
      <w:r>
        <w:rPr>
          <w:rFonts w:ascii="Arial" w:cs="Arial" w:eastAsia="Arial" w:hAnsi="Arial"/>
          <w:sz w:val="18"/>
          <w:szCs w:val="18"/>
          <w:color w:val="auto"/>
        </w:rPr>
        <w:t>”), unless earlier terminated by the Company or the Executive as set forth in this Section 1.4 . The Term shall renew automatically for an additional one-year period, unless either party gives the other party written notice of its intention not to renew the Agreement no later than 30 days prior to the expiration of the then current Term (the “</w:t>
      </w:r>
      <w:r>
        <w:rPr>
          <w:rFonts w:ascii="Arial" w:cs="Arial" w:eastAsia="Arial" w:hAnsi="Arial"/>
          <w:sz w:val="18"/>
          <w:szCs w:val="18"/>
          <w:i w:val="1"/>
          <w:iCs w:val="1"/>
          <w:color w:val="auto"/>
        </w:rPr>
        <w:t>Term</w:t>
      </w:r>
      <w:r>
        <w:rPr>
          <w:rFonts w:ascii="Arial" w:cs="Arial" w:eastAsia="Arial" w:hAnsi="Arial"/>
          <w:sz w:val="18"/>
          <w:szCs w:val="18"/>
          <w:color w:val="auto"/>
        </w:rPr>
        <w:t>”). At the end of the three-year Term, the parties shall negotiate in good faith any extension and the terms and conditions thereof. The Employment Period shall be terminated prior to the then-applicable expiration of the Term upon the first to occur of (i) termination of the Executive’s employment by the Company for Cause, (ii) termination of the Executive’s employment by the Company without Cause, (iii) the Executive’s resignation with Good Reason, (iv) the Executive’s resignation other than for Good Reason, or (v) the Executive’s death or Disability. The Executive shall not terminate the Employment Period, with or without Good Reason, unless he gives the Company written notice that he intends to terminate the Employment Period at least 90 days prior to the Executive’s proposed Termination Date. As a condition to Executive receiving any payments or benefits under Section 1.4(b), the Executive shall execute and deliver to the Company the General Release in the form attached hereto as Exhibit A.</w:t>
      </w:r>
    </w:p>
    <w:p>
      <w:pPr>
        <w:spacing w:after="0" w:line="192" w:lineRule="exact"/>
        <w:rPr>
          <w:rFonts w:ascii="Arial" w:cs="Arial" w:eastAsia="Arial" w:hAnsi="Arial"/>
          <w:sz w:val="18"/>
          <w:szCs w:val="18"/>
          <w:color w:val="auto"/>
        </w:rPr>
      </w:pPr>
    </w:p>
    <w:p>
      <w:pPr>
        <w:jc w:val="both"/>
        <w:ind w:left="-8" w:firstLine="721"/>
        <w:spacing w:after="0" w:line="284" w:lineRule="auto"/>
        <w:tabs>
          <w:tab w:leader="none" w:pos="1544" w:val="left"/>
        </w:tabs>
        <w:numPr>
          <w:ilvl w:val="1"/>
          <w:numId w:val="98"/>
        </w:numPr>
        <w:rPr>
          <w:rFonts w:ascii="Arial" w:cs="Arial" w:eastAsia="Arial" w:hAnsi="Arial"/>
          <w:sz w:val="16"/>
          <w:szCs w:val="16"/>
          <w:color w:val="auto"/>
        </w:rPr>
      </w:pPr>
      <w:r>
        <w:rPr>
          <w:rFonts w:ascii="Arial" w:cs="Arial" w:eastAsia="Arial" w:hAnsi="Arial"/>
          <w:sz w:val="16"/>
          <w:szCs w:val="16"/>
          <w:color w:val="auto"/>
        </w:rPr>
        <w:t>Severance Upon Termination Without Cause, Upon Resignation by the Executive For Good Reason or Failure to Renew Term. If the Employment Period is terminated by the Company without Cause or if the Executive resigns for Good Reason, or if the Company fails to renew the Term (in which case termination of the Executive’s employment shall be effective at the expiration of the then-current Term), then the Executive will be entitled to receive (1) any unpaid Base Salary through and including the Termination Date and any other amounts, including any amounts due for Cash Bonus, or other entitlements then due and owing to the Executive as of the Termination Date; (2) an amount equal to the Executive’s Base Salary (at the rate in effect on the date the Executive’s employment is terminated) for a 6 month period following the Executive’s termination of employment as described in this Section 1.4(b)</w:t>
      </w:r>
    </w:p>
    <w:p>
      <w:pPr>
        <w:spacing w:after="0" w:line="4" w:lineRule="exact"/>
        <w:rPr>
          <w:rFonts w:ascii="Arial" w:cs="Arial" w:eastAsia="Arial" w:hAnsi="Arial"/>
          <w:sz w:val="16"/>
          <w:szCs w:val="16"/>
          <w:color w:val="auto"/>
        </w:rPr>
      </w:pPr>
    </w:p>
    <w:p>
      <w:pPr>
        <w:jc w:val="both"/>
        <w:ind w:left="-8" w:firstLine="8"/>
        <w:spacing w:after="0" w:line="285" w:lineRule="auto"/>
        <w:tabs>
          <w:tab w:leader="none" w:pos="86"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payable in a lump sum on the date that is six months following the Executive’s “separation from service” (within the meaning of Section 409A of the Code) occurring in connection with such termination (provided, however, that an amount that qualifies for involuntary separation pay exception (within the meaning of Code Section 409A and Final Treasury Regulations Section 1.409A-1(b)(9)(iii)(A)) and is otherwise permissible under Section 409A and the Final Treasury Regulations, shall not be subject to such six-month delay and shall be paid to Executive in a lump sum within thirty (30) days of the Executive’s “separation from service”) and (3) continue to participate in the Company’s group medical plan on the same basis as he previously participated or receive payment of, or reimbursement for, COBRA premiums (or, if COBRA coverage is not available, reimbursement of premiums paid for other medical insurance in an amount not to exceed the COBRA premium) for a six-month period following the Executive’s termination of employment;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Executive is provided with health insurance coverage by a successor employer, any such coverage by the Company shall cease (each of (1), (2) and (3) referred to as the “</w:t>
      </w:r>
      <w:r>
        <w:rPr>
          <w:rFonts w:ascii="Arial" w:cs="Arial" w:eastAsia="Arial" w:hAnsi="Arial"/>
          <w:sz w:val="16"/>
          <w:szCs w:val="16"/>
          <w:i w:val="1"/>
          <w:iCs w:val="1"/>
          <w:color w:val="auto"/>
        </w:rPr>
        <w:t>Severance Payment</w:t>
      </w:r>
      <w:r>
        <w:rPr>
          <w:rFonts w:ascii="Arial" w:cs="Arial" w:eastAsia="Arial" w:hAnsi="Arial"/>
          <w:sz w:val="16"/>
          <w:szCs w:val="16"/>
          <w:color w:val="auto"/>
        </w:rPr>
        <w:t>”). The Executive also shall be entitled to receive payment for all reimbursable expenses or other entitlements then due and owing to the Executive as of the Termination Date. If the Executive breaches his obligations under Section 1.6, 1.7, 1.8 or 1.9 of this Agreement, the Company’s obligation to make any Severance Payments and provide any Benefits shall cease as of the date of such breach; provided, that if the Executive cures such breach within 10 days of receiving written notice from the Company of such breach (which notice the Company shall provide promptly to the Executive after learning of such breach), the Company shall promptly pay all Severance Payments not made during such period of dispute and resume making Severance Payments and providing Benefits promptly following such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390525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15" w:name="page116"/>
    <w:bookmarkEnd w:id="115"/>
    <w:p>
      <w:pPr>
        <w:jc w:val="both"/>
        <w:ind w:left="-720" w:firstLine="721"/>
        <w:spacing w:after="0" w:line="271" w:lineRule="auto"/>
        <w:tabs>
          <w:tab w:leader="none" w:pos="863" w:val="left"/>
        </w:tabs>
        <w:numPr>
          <w:ilvl w:val="0"/>
          <w:numId w:val="99"/>
        </w:numPr>
        <w:rPr>
          <w:rFonts w:ascii="Arial" w:cs="Arial" w:eastAsia="Arial" w:hAnsi="Arial"/>
          <w:sz w:val="17"/>
          <w:szCs w:val="17"/>
          <w:color w:val="auto"/>
        </w:rPr>
      </w:pPr>
      <w:r>
        <w:rPr>
          <w:rFonts w:ascii="Arial" w:cs="Arial" w:eastAsia="Arial" w:hAnsi="Arial"/>
          <w:sz w:val="17"/>
          <w:szCs w:val="17"/>
          <w:color w:val="auto"/>
        </w:rPr>
        <w:t>Death and Disability. In the event of the death or Disability of the Executive, the Company shall pay the Executive his Base Salary through the Termination Date, at the rate then in effect, and all expenses or accrued Benefits arising prior to such termination which are payable to the Executive pursuant to this Agreement through the Termination Date. Executive or his estate shall also receive the pro-rata portion of the Cash Bonus for the year in which his employment hereunder terminates, calculated based on the number of months Executive worked during that year (including the month in which the termination occurs). Any other rights and benefits the Executive may have under employee benefit plans and programs of the Company generally in the event of the Executive’s Disability shall be determined in accordance with the terms of such plans and programs. In the event of Executive’s death, any rights and benefits that the Executive’s estate or any other person may have under employee benefit plans and programs of the Company generally in the event of the Executive’s death shall be determined in accordance with the terms of such plans and programs.</w:t>
      </w:r>
    </w:p>
    <w:p>
      <w:pPr>
        <w:spacing w:after="0" w:line="178" w:lineRule="exact"/>
        <w:rPr>
          <w:rFonts w:ascii="Arial" w:cs="Arial" w:eastAsia="Arial" w:hAnsi="Arial"/>
          <w:sz w:val="17"/>
          <w:szCs w:val="17"/>
          <w:color w:val="auto"/>
        </w:rPr>
      </w:pPr>
    </w:p>
    <w:p>
      <w:pPr>
        <w:jc w:val="both"/>
        <w:ind w:left="-720" w:firstLine="721"/>
        <w:spacing w:after="0" w:line="279" w:lineRule="auto"/>
        <w:tabs>
          <w:tab w:leader="none" w:pos="732" w:val="left"/>
        </w:tabs>
        <w:numPr>
          <w:ilvl w:val="0"/>
          <w:numId w:val="99"/>
        </w:numPr>
        <w:rPr>
          <w:rFonts w:ascii="Arial" w:cs="Arial" w:eastAsia="Arial" w:hAnsi="Arial"/>
          <w:sz w:val="17"/>
          <w:szCs w:val="17"/>
          <w:color w:val="auto"/>
        </w:rPr>
      </w:pPr>
      <w:r>
        <w:rPr>
          <w:rFonts w:ascii="Arial" w:cs="Arial" w:eastAsia="Arial" w:hAnsi="Arial"/>
          <w:sz w:val="17"/>
          <w:szCs w:val="17"/>
          <w:color w:val="auto"/>
        </w:rPr>
        <w:t>Salary and Other Payments Through Termination. If the Executive’s employment with the Company is terminated during the Term (i) by the Company for Cause or (ii) by the Executive other than for Good Reason, the Executive will be entitled to receive his Base Salary through the Termination Date, but will not be entitled to receive any Severance Payments or Benefits after the Termination Date. The Executive shall be entitled to receive payment for all reimbursable expenses or other entitlements then due and owing to the Executive as of the Termination Date.</w:t>
      </w:r>
    </w:p>
    <w:p>
      <w:pPr>
        <w:spacing w:after="0" w:line="171" w:lineRule="exact"/>
        <w:rPr>
          <w:rFonts w:ascii="Arial" w:cs="Arial" w:eastAsia="Arial" w:hAnsi="Arial"/>
          <w:sz w:val="17"/>
          <w:szCs w:val="17"/>
          <w:color w:val="auto"/>
        </w:rPr>
      </w:pPr>
    </w:p>
    <w:p>
      <w:pPr>
        <w:ind w:left="-720" w:right="20" w:firstLine="721"/>
        <w:spacing w:after="0" w:line="342" w:lineRule="auto"/>
        <w:tabs>
          <w:tab w:leader="none" w:pos="811" w:val="left"/>
        </w:tabs>
        <w:numPr>
          <w:ilvl w:val="0"/>
          <w:numId w:val="99"/>
        </w:numPr>
        <w:rPr>
          <w:rFonts w:ascii="Arial" w:cs="Arial" w:eastAsia="Arial" w:hAnsi="Arial"/>
          <w:sz w:val="16"/>
          <w:szCs w:val="16"/>
          <w:color w:val="auto"/>
        </w:rPr>
      </w:pPr>
      <w:r>
        <w:rPr>
          <w:rFonts w:ascii="Arial" w:cs="Arial" w:eastAsia="Arial" w:hAnsi="Arial"/>
          <w:sz w:val="16"/>
          <w:szCs w:val="16"/>
          <w:color w:val="auto"/>
        </w:rPr>
        <w:t>Other Rights. Except as set forth in this Section 1.4 and Section 1.3, all of the Executive’s rights to receive Base Salary, Benefits and Cash Bonuses hereunder (if any) which accrue or become payable after the termination of the Employment Period shall cease upon such termination.</w:t>
      </w:r>
    </w:p>
    <w:p>
      <w:pPr>
        <w:spacing w:after="0" w:line="123" w:lineRule="exact"/>
        <w:rPr>
          <w:rFonts w:ascii="Arial" w:cs="Arial" w:eastAsia="Arial" w:hAnsi="Arial"/>
          <w:sz w:val="16"/>
          <w:szCs w:val="16"/>
          <w:color w:val="auto"/>
        </w:rPr>
      </w:pPr>
    </w:p>
    <w:p>
      <w:pPr>
        <w:jc w:val="both"/>
        <w:ind w:left="-720" w:firstLine="721"/>
        <w:spacing w:after="0" w:line="259" w:lineRule="auto"/>
        <w:tabs>
          <w:tab w:leader="none" w:pos="8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Continuing Benefits. Notwithstanding Section 1.4(e), termination pursuant to this Section 1.4 shall not modify or affect in any way whatsoever any vested right of the Executive to benefits payable under any retirement or pension plan or under any other employee benefit plan of the Company, and all such benefits shall continue, in accordance with, and subject to, the terms and conditions of such plans, to be payable in full to, or on account of, the Executive after such termination.</w:t>
      </w:r>
    </w:p>
    <w:p>
      <w:pPr>
        <w:spacing w:after="0" w:line="186" w:lineRule="exact"/>
        <w:rPr>
          <w:rFonts w:ascii="Arial" w:cs="Arial" w:eastAsia="Arial" w:hAnsi="Arial"/>
          <w:sz w:val="18"/>
          <w:szCs w:val="18"/>
          <w:color w:val="auto"/>
        </w:rPr>
      </w:pPr>
    </w:p>
    <w:p>
      <w:pPr>
        <w:ind w:left="-720" w:firstLine="721"/>
        <w:spacing w:after="0" w:line="277" w:lineRule="auto"/>
        <w:tabs>
          <w:tab w:leader="none" w:pos="8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Duty of Mitigation. The Executive shall not be required to mitigate the amount of any payment provided for in this Article I by seeking other employment or otherwise.</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Confidential Information.</w:t>
      </w:r>
    </w:p>
    <w:p>
      <w:pPr>
        <w:spacing w:after="0" w:line="225" w:lineRule="exact"/>
        <w:rPr>
          <w:sz w:val="20"/>
          <w:szCs w:val="20"/>
          <w:color w:val="auto"/>
        </w:rPr>
      </w:pPr>
    </w:p>
    <w:p>
      <w:pPr>
        <w:jc w:val="both"/>
        <w:ind w:left="-720" w:firstLine="721"/>
        <w:spacing w:after="0" w:line="288" w:lineRule="auto"/>
        <w:tabs>
          <w:tab w:leader="none" w:pos="76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Executive shall not disclose or, directly or indirectly, use at any time, during the Employment Period or thereafter, any Confidential Information (as defined below) of which the Executive is or becomes aware, whether or not such information is developed by him, alone or with others, except to the extent that (i) such disclosure or use is required by the Executive’s performance of the duties assigned to the Executive by the Board of Directors, (ii) the Executive is required by subpoena or similar process to disclose or discuss any Confidential Information, provided, that in such case, the Executive shall promptly inform the Company in writing of such event, shall cooperate with the Company in attempting to obtain a protective order or to otherwise limit or restrict such disclosure to the greatest extent possible, and shall disclose only that portion of the Confidential Information as is strictly required, or (iii) such Confidential Information is or becomes generally known to and available for use by the public, other than as a result of any action or inaction directly or indirectly by the Executive. At the Company’s expense, the Executive shall take all appropriate steps to safeguard Confidential Information and to protect it against disclosure, misuse, espionage, loss and theft. The Executive acknowledges that the Confidential Information obtained by him during the course of his employment with the Company is the sole and exclusive property of the Company and its Subsidiaries, as applicable.</w:t>
      </w:r>
    </w:p>
    <w:p>
      <w:pPr>
        <w:spacing w:after="0" w:line="169" w:lineRule="exact"/>
        <w:rPr>
          <w:rFonts w:ascii="Arial" w:cs="Arial" w:eastAsia="Arial" w:hAnsi="Arial"/>
          <w:sz w:val="16"/>
          <w:szCs w:val="16"/>
          <w:color w:val="auto"/>
        </w:rPr>
      </w:pPr>
    </w:p>
    <w:p>
      <w:pPr>
        <w:jc w:val="both"/>
        <w:ind w:left="-720" w:firstLine="721"/>
        <w:spacing w:after="0" w:line="272" w:lineRule="auto"/>
        <w:tabs>
          <w:tab w:leader="none" w:pos="79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Executive understands that the Company and its Subsidiaries will receive from third parties confidential or proprietary information (“</w:t>
      </w:r>
      <w:r>
        <w:rPr>
          <w:rFonts w:ascii="Arial" w:cs="Arial" w:eastAsia="Arial" w:hAnsi="Arial"/>
          <w:sz w:val="17"/>
          <w:szCs w:val="17"/>
          <w:i w:val="1"/>
          <w:iCs w:val="1"/>
          <w:color w:val="auto"/>
        </w:rPr>
        <w:t>Third Party Information</w:t>
      </w:r>
      <w:r>
        <w:rPr>
          <w:rFonts w:ascii="Arial" w:cs="Arial" w:eastAsia="Arial" w:hAnsi="Arial"/>
          <w:sz w:val="17"/>
          <w:szCs w:val="17"/>
          <w:color w:val="auto"/>
        </w:rPr>
        <w:t>”) subject to a duty on the part of the Company and its Subsidiaries to maintain the confidentiality of such information and to use it only for certain limited purposes. During the Employment Period and in the period specified in such confidentiality agreements, and without in any way limiting the provisions of Section 1.5(a) above, the Executive will hold Third Party Information in confidence, consistent with the obligations applicable to Confidential Information of the Company generally, and will not disclose to anyone (other than personnel and agents of the Company or its Subsidiaries who need to know such information in connection with their work for the Company or its Subsidiaries) or use, except in connection with his work for the Company or its Subsidiaries, Third Party Information unless expressly authorized by the Board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396240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881" w:right="239" w:bottom="1440" w:gutter="0" w:footer="0" w:header="0"/>
        </w:sectPr>
      </w:pPr>
    </w:p>
    <w:bookmarkStart w:id="116" w:name="page117"/>
    <w:bookmarkEnd w:id="116"/>
    <w:p>
      <w:pPr>
        <w:jc w:val="both"/>
        <w:ind w:firstLine="721"/>
        <w:spacing w:after="0" w:line="270" w:lineRule="auto"/>
        <w:tabs>
          <w:tab w:leader="none" w:pos="148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 used in this Agreement, the term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means information that is not generally known to the public and that is related in any way to the actual or anticipated business of the Company, its Subsidiaries, its Affiliates or any of their respective predecessors in interest, including but not limited to (i) business development, growth and other strategic business plans, (ii) properties available for acquisition, financing development or sale, (iii) accounting and business methods, (iv) services or products and the marketing of such services and products, (v) fees, costs and pricing structures, (vi) designs, (vii) analysis, (viii) drawings, photographs and reports, (ix) computer software, including operating systems, applications and program listings, (x) flow charts, manuals and documentation, (xi) data bases, (xii) inventions, devices, new developments, methods and processes, whether patentable or unpatentable and whether or not reduced to practice, (xiii) copyrightable works, (xiv) all technology and trade secrets, (xv) confidential terms of material agreements and customer relationships, and (xvi) all similar and related information in whatever form or medium. Confidential Information also expressly excludes Executive’s general know-how and business contacts contained in Executive’s rolodex, be it electronic or otherwise, as of the Effective Date to the extent that the use of such information does not violate or breach the terms of Section 1.9.</w:t>
      </w:r>
    </w:p>
    <w:p>
      <w:pPr>
        <w:spacing w:after="0" w:line="178" w:lineRule="exact"/>
        <w:rPr>
          <w:sz w:val="20"/>
          <w:szCs w:val="20"/>
          <w:color w:val="auto"/>
        </w:rPr>
      </w:pPr>
    </w:p>
    <w:p>
      <w:pPr>
        <w:jc w:val="both"/>
        <w:ind w:firstLine="713"/>
        <w:spacing w:after="0" w:line="268" w:lineRule="auto"/>
        <w:rPr>
          <w:sz w:val="20"/>
          <w:szCs w:val="20"/>
          <w:color w:val="auto"/>
        </w:rPr>
      </w:pPr>
      <w:r>
        <w:rPr>
          <w:rFonts w:ascii="Arial" w:cs="Arial" w:eastAsia="Arial" w:hAnsi="Arial"/>
          <w:sz w:val="17"/>
          <w:szCs w:val="17"/>
          <w:color w:val="auto"/>
        </w:rPr>
        <w:t>1.6 Inventions and Patents. Executive acknowledges that all discoveries, concepts, ideas, inventions, innovations, improvements, developments, products, methods, processes, techniques, programs, designs, analyses, drawings, reports, patents, copyrightable works and mask works (whether or not including any Confidential Information) and all issuances, registrations or applications related thereto, all other proprietary information or intellectual property and all similar or related information (whether or not patentable) conceived, developed, contributed to, made, or reduced to practice by Executive (either alone or with others) while employed by Company or any of its Subsidiaries or Affiliates or any of their respective predecessors in interest (including prior to the date of this Agreement) and within the scope of the Executive’s employment and duties and responsibilities or using the materials, facilities or resources of the Company or any of its Subsidiaries or Affiliates or any of their respective predecessors in interest within the scope of the Executive’s employment and duties and responsibilities (collectively, “</w:t>
      </w:r>
      <w:r>
        <w:rPr>
          <w:rFonts w:ascii="Arial" w:cs="Arial" w:eastAsia="Arial" w:hAnsi="Arial"/>
          <w:sz w:val="17"/>
          <w:szCs w:val="17"/>
          <w:i w:val="1"/>
          <w:iCs w:val="1"/>
          <w:color w:val="auto"/>
        </w:rPr>
        <w:t>Company Works</w:t>
      </w:r>
      <w:r>
        <w:rPr>
          <w:rFonts w:ascii="Arial" w:cs="Arial" w:eastAsia="Arial" w:hAnsi="Arial"/>
          <w:sz w:val="17"/>
          <w:szCs w:val="17"/>
          <w:color w:val="auto"/>
        </w:rPr>
        <w:t>”) is the sole and exclusive property of the Company and its Subsidiaries. Executive hereby assigns all right, title and interest in and to all Company Works to the Company and its Subsidiaries and waives any moral rights he may have therein, without further obligation or consideration. Any copyrightable work prepared in whole or in part by the Executive will be deemed “a work made for hire” under Section 201(b) of the 1976 Copyright Act, and the Company and its Subsidiaries shall own all of the rights comprised in the copyright therein. The Executive shall promptly and fully disclose in writing all Company Works to the Company and shall cooperate with the Company and its Subsidiaries to protect, maintain and enforce the Company’s and its Subsidiaries’ interests in and rights to such Company Works (including, without limitation, providing reasonable assistance in securing patent protection and copyright registrations and executing all affidavits, assignments, powers-of-attorney and other documents as reasonably requested by the Company, whether such requests occur prior to or after termination of the Executive’s employment with the Company).</w:t>
      </w:r>
    </w:p>
    <w:p>
      <w:pPr>
        <w:spacing w:after="0" w:line="181"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1.7 Delivery of Materials Upon Termination of Employment. As requested by the Company from time to time and in any event upon the termination of the Executive’s employment with the Company , the Executive shall promptly deliver to the Company, or at the Company’s election, destroy, all copies and embodiments, in whatever form or medium, of all Confidential Information, Company Works and other property and assets of the Company and its Subsidiaries in the Executive’s possession or within his control (including, but not limited to, office keys, access cards, written records, notes, photographs, manuals, notebooks, documentation, program listings, flow charts, magnetic media, disks, diskettes, tapes computers and handheld devices (including all software, files and documents thereon) and any other materials containing any Confidential Information or Company Works) irrespective of the location or form of such material and, if requested by the Company, shall provide the Company with written confirmation that all such materials have been delivered to the Company or destroyed,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ind w:left="720"/>
        <w:spacing w:after="0"/>
        <w:tabs>
          <w:tab w:leader="none" w:pos="1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Non-Compete and Non-Solicitation Covenants.</w:t>
      </w:r>
    </w:p>
    <w:p>
      <w:pPr>
        <w:spacing w:after="0" w:line="225" w:lineRule="exact"/>
        <w:rPr>
          <w:sz w:val="20"/>
          <w:szCs w:val="20"/>
          <w:color w:val="auto"/>
        </w:rPr>
      </w:pPr>
    </w:p>
    <w:p>
      <w:pPr>
        <w:jc w:val="both"/>
        <w:ind w:firstLine="721"/>
        <w:spacing w:after="0" w:line="286" w:lineRule="auto"/>
        <w:tabs>
          <w:tab w:leader="none" w:pos="1496"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Executive acknowledges and agrees that the Executive’s services to the Company and its Subsidiaries are unique in nature and that the Company and its Subsidiaries would be irreparably damaged if the Executive were to provide similar services to any Person competing with the Company and its Subsidiaries or engaged in the Business. The Executive further acknowledges that, in the course of his employment with the Company, he will become familiar with the Company’s and its Subsidiaries’ trade secrets and with other Confidential Information. During the Noncompete Period, he shall not, directly or indirectly, whether for himself or for any other Person, permit his name to be used by or participate in any business or enterprise (including, without limitation, any division, group or franchise of a larger organization) that engages or proposes to engage in the Business in the Restricted Territories, other than the Company and its Subsidiaries or except as otherwise directed or authorized by the Board. For purposes of this Agreement, the term “participate in” shall include, without limitation, having any direct or indirect interest in any Person, whether as a sole proprietor, owner, stockholder, partner, member, joint venturer, creditor or otherwise, or rendering any direct or indirect service or assistance to any Person (whether as a director, officer, supervisor, employee, agent, consultant or otherwise). Nothing herein will prohibit the Executive from mere passive ownership of not more than five percent (5%) of the outstanding stock of any class of a publicly held corporation whose stock is traded on a national securities exchange or in the over-the-counter market. As used herein, the phrase “mere passive ownership” shall include voting or otherwise granting any consents or approvals required to be obtained from such Person as an owner of stock or other ownership interests in any entity pursuant to the charter or other organizational documents of such entity, but shall not include, without limitation, any involvement in the day-to-day operations of such entity.</w:t>
      </w:r>
    </w:p>
    <w:p>
      <w:pPr>
        <w:spacing w:after="0" w:line="171" w:lineRule="exact"/>
        <w:rPr>
          <w:rFonts w:ascii="Arial" w:cs="Arial" w:eastAsia="Arial" w:hAnsi="Arial"/>
          <w:sz w:val="16"/>
          <w:szCs w:val="16"/>
          <w:color w:val="auto"/>
        </w:rPr>
      </w:pPr>
    </w:p>
    <w:p>
      <w:pPr>
        <w:jc w:val="both"/>
        <w:ind w:firstLine="721"/>
        <w:spacing w:after="0" w:line="270" w:lineRule="auto"/>
        <w:tabs>
          <w:tab w:leader="none" w:pos="141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During the Nonsolicitation Period, the Executive will not directly, or indirectly through another Person, solicit, induce or attempt to induce any customer, supplier, licensee, or other business relation of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The restrictions of this Section 1.8(b) shall not apply to any customer, supplier, licensee, or other business relation of the Company or any of its Subsidiaries with whom Executive had a prior business relationship before he started performing services for the Company. The Executive acknowledges and agrees that the Company and its Subsidiaries would be irreparably damaged if the Executive were to breach any of the provisions contained in this Section 1.8(b).</w:t>
      </w:r>
    </w:p>
    <w:p>
      <w:pPr>
        <w:spacing w:after="0" w:line="181" w:lineRule="exact"/>
        <w:rPr>
          <w:rFonts w:ascii="Arial" w:cs="Arial" w:eastAsia="Arial" w:hAnsi="Arial"/>
          <w:sz w:val="17"/>
          <w:szCs w:val="17"/>
          <w:color w:val="auto"/>
        </w:rPr>
      </w:pPr>
    </w:p>
    <w:p>
      <w:pPr>
        <w:jc w:val="both"/>
        <w:ind w:firstLine="721"/>
        <w:spacing w:after="0" w:line="264" w:lineRule="auto"/>
        <w:tabs>
          <w:tab w:leader="none" w:pos="140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acknowledges that this Agreement, and specifically, this Section 1.8, does not preclude Executive from earning a livelihood, nor does it unreasonably impose limitations on Executive’s ability to earn a living. In addition, Executive agrees and acknowledges that the potential harm to the Company of its non-enforcement outweighs any harm to Executive of its enforcement by injunction or otherwise.</w:t>
      </w:r>
    </w:p>
    <w:p>
      <w:pPr>
        <w:spacing w:after="0" w:line="181" w:lineRule="exact"/>
        <w:rPr>
          <w:sz w:val="20"/>
          <w:szCs w:val="20"/>
          <w:color w:val="auto"/>
        </w:rPr>
      </w:pPr>
    </w:p>
    <w:p>
      <w:pPr>
        <w:jc w:val="both"/>
        <w:ind w:firstLine="713"/>
        <w:spacing w:after="0" w:line="287" w:lineRule="auto"/>
        <w:rPr>
          <w:sz w:val="20"/>
          <w:szCs w:val="20"/>
          <w:color w:val="auto"/>
        </w:rPr>
      </w:pPr>
      <w:r>
        <w:rPr>
          <w:rFonts w:ascii="Arial" w:cs="Arial" w:eastAsia="Arial" w:hAnsi="Arial"/>
          <w:sz w:val="16"/>
          <w:szCs w:val="16"/>
          <w:color w:val="auto"/>
        </w:rPr>
        <w:t>1.9 Enforcement. If, at the time of enforcement of Section 1.5, 1.6, 1.7, 1.8, 1.9 or 1.10, a court holds that the restrictions stated herein are unreasonable under circumstances then existing, the Parties agree that, to the extent permitted by applicable law, the maximum period, scope or geographical area reasonable under such circumstances will be substituted for the Noncompete Period, scope or area. Because the Executive’s services are unique and because the Executive has access to Confidential Information and Company Works, the Parties agree that money damages may be an inadequate remedy for any breach of Section 1.5 , 1.6 , 1.7 , 1.8 , 1.9 or 1.10 . Therefore, in the event of a breach or threatened breach of Section 1.5 , 1.6 , 1.7 , 1.8 , 1.9 or 1.10 , the Company or any of its Subsidiaries or any of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 The Parties hereby acknowledge and agree that (a) performance of the services of the Executive hereunder may occur in jurisdictions other than the jurisdiction whose law the Parties have agreed shall govern the construction, validity and interpretation of this Agreement, (b) the law of the State of New York shall govern construction, validity and interpretation of this Agreement to the fullest extent possible, and (c) Section 1.5 , 1.6 , 1.7 , 1.8 , 1.9 or 1.10 shall restrict the Executive only to the extent permitted by applicable law.</w:t>
      </w:r>
    </w:p>
    <w:p>
      <w:pPr>
        <w:spacing w:after="0" w:line="173"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1.10 Survival. Sections 1.5, 1.6, 1.7, 1.8, 1.9 and 1.10 will survive and continue in full force in accordance with their terms notwithstanding any termination of the Employment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Definitions. For purposes of this Agreement, the following terms will have the following meanings: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the business of acquiring and licensing consumer brands worldwide.</w:t>
      </w:r>
    </w:p>
    <w:p>
      <w:pPr>
        <w:spacing w:after="0" w:line="225" w:lineRule="exact"/>
        <w:rPr>
          <w:sz w:val="20"/>
          <w:szCs w:val="20"/>
          <w:color w:val="auto"/>
        </w:rPr>
      </w:pPr>
    </w:p>
    <w:p>
      <w:pPr>
        <w:jc w:val="both"/>
        <w:ind w:firstLine="142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means with respect to the Executive, the occurrence of one or more of the following: (i) conviction of a felony involving moral turpitude, misappropriation of Company property, embezzlement of Company funds, violation of the securities laws or dishonesty, (ii) the willful and continued failure by the Executive to attempt in good faith to substantially perform his obligations under this Agreement (other than any such failure resulting from the Executive’s incapacity due to a Disability); (iii) reporting to work under the influence of alcohol or illegal drugs, or the use of illegal drugs (whether or not at the workplace), or (iv) any willful breach of Sections 1.6, 1.7, 1.8 or 1.9 of this Agreement. Notwithstanding the foregoing, termination by the Company for Cause (other than pursuant to clause (i) above) shall not be effective until and unless Executive fails to cure such alleged act or circumstance within 30 days of receipt of notice thereof, to the satisfaction of the Chief Executive Officer in the exercise of his reasonable judgment (or, if within such 30-day period the Executive commences and proceeds to take all reasonable actions to effect such cure, within such reasonable additional time period (no longer than 60 days) as may be necessary).</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September 29,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xml:space="preserve"> means the Internal Revenue Code of 1986 and the Treasury regulations thereunder, each as amended from time to time.</w:t>
      </w:r>
    </w:p>
    <w:p>
      <w:pPr>
        <w:spacing w:after="0" w:line="237" w:lineRule="exact"/>
        <w:rPr>
          <w:sz w:val="20"/>
          <w:szCs w:val="20"/>
          <w:color w:val="auto"/>
        </w:rPr>
      </w:pPr>
    </w:p>
    <w:p>
      <w:pPr>
        <w:jc w:val="both"/>
        <w:ind w:firstLine="142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have the meaning set forth in a policy or policies of long-term disability insurance, if any, the Company obtains for the benefit of itself and/or its employees. If there is no definition of “disability” applicable under any such policy or policies, if any, then the Executive shall be considered disabled due to mental or physical impairment or disability, despite reasonable accommodations by the Company and its Subsidiaries, to perform his customary or other comparable duties with the Company or its Subsidiaries immediately prior to such disability for a period of at least 120 consecutive days or for at least 180 non-consecutive days in any 12-month period.</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September 16,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the fiscal year of the Company and its Subsidiaries.</w:t>
      </w:r>
    </w:p>
    <w:p>
      <w:pPr>
        <w:spacing w:after="0" w:line="225" w:lineRule="exact"/>
        <w:rPr>
          <w:sz w:val="20"/>
          <w:szCs w:val="20"/>
          <w:color w:val="auto"/>
        </w:rPr>
      </w:pPr>
    </w:p>
    <w:p>
      <w:pPr>
        <w:jc w:val="both"/>
        <w:ind w:firstLine="142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the occurrence, without the Executive’s written consent, of one or more of the following events: (i) the Company reduces the amount of Executive’s Base Salary or Cash Bonus, (ii) the Company requires that the Executive relocate his principal place of employment to a site that is more than 50 miles from the Company’s offices in the New York area or if the Company changes the location of its headquarters without the consent of Executive to a location that is more than 50 miles from such location, (iii) the Company materially reduces the Executive’s authority, duties or responsibilities or removes the Executive from the position of President and Chief Operating Officer of IMB other than pursuant to a termination of his employment for Cause, or upon the Executive’s death or Disability, (iv) the failure or unreasonable delay of the Company to provide to the Executive any of the payments or benefits contemplated hereby or (v) the Company otherwise materially breaches the terms of this Agreement; provided that no such event shall constitute Good Reason hereunder unless (a) the Executive shall have given written notice to the Company of the Executive’s intent to resign for Good Reason within 30 days after the Executive becomes aware of the occurrence of any such event, which notice shall describe in reasonable detail the event or events constitute the basis for the Executive’s intention to resign for Good Reason and (b) such event or occurrence, if a breach susceptible to cure, shall not have been cured or otherwise shall not have been resolved to the Executive’s reasonable satisfaction, in each case within 30 days of the Company’s receipt of such notice. In such case the Executive’s resignation shall become effective on the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day after the Company’s receipt of the aforementioned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9" w:name="page120"/>
    <w:bookmarkEnd w:id="119"/>
    <w:p>
      <w:pPr>
        <w:ind w:right="20"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the Merger Agreement entered into by and among NetFabric Holdings, Inc., the Company and a subsidiary of NetFabric Holdings, Inc. formed for the purpose of acquiring the Company.</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Noncompete Period</w:t>
      </w:r>
      <w:r>
        <w:rPr>
          <w:rFonts w:ascii="Arial" w:cs="Arial" w:eastAsia="Arial" w:hAnsi="Arial"/>
          <w:sz w:val="18"/>
          <w:szCs w:val="18"/>
          <w:color w:val="auto"/>
        </w:rPr>
        <w:t>” means the Employment Period and 6 months thereafter.</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Nonsolicitation Period</w:t>
      </w:r>
      <w:r>
        <w:rPr>
          <w:rFonts w:ascii="Arial" w:cs="Arial" w:eastAsia="Arial" w:hAnsi="Arial"/>
          <w:sz w:val="18"/>
          <w:szCs w:val="18"/>
          <w:color w:val="auto"/>
        </w:rPr>
        <w:t>” means the Employment Period and 6 months thereafter.</w:t>
      </w:r>
    </w:p>
    <w:p>
      <w:pPr>
        <w:spacing w:after="0" w:line="225" w:lineRule="exact"/>
        <w:rPr>
          <w:sz w:val="20"/>
          <w:szCs w:val="20"/>
          <w:color w:val="auto"/>
        </w:rPr>
      </w:pPr>
    </w:p>
    <w:p>
      <w:pPr>
        <w:jc w:val="both"/>
        <w:ind w:firstLine="142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the United States of America any other nation, any state or other political subdivision thereof, or any entity exercising executive, legislative, judicial, regulatory or administrative functions of government.</w:t>
      </w:r>
    </w:p>
    <w:p>
      <w:pPr>
        <w:spacing w:after="0" w:line="181" w:lineRule="exact"/>
        <w:rPr>
          <w:sz w:val="20"/>
          <w:szCs w:val="20"/>
          <w:color w:val="auto"/>
        </w:rPr>
      </w:pPr>
    </w:p>
    <w:p>
      <w:pPr>
        <w:jc w:val="both"/>
        <w:ind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Territories</w:t>
      </w:r>
      <w:r>
        <w:rPr>
          <w:rFonts w:ascii="Arial" w:cs="Arial" w:eastAsia="Arial" w:hAnsi="Arial"/>
          <w:sz w:val="18"/>
          <w:szCs w:val="18"/>
          <w:color w:val="auto"/>
        </w:rPr>
        <w:t>” means (i) the United States and its territories and possessions and (ii) any foreign country in which the Company engages in Business as of the Termination Date.</w:t>
      </w:r>
    </w:p>
    <w:p>
      <w:pPr>
        <w:spacing w:after="0" w:line="170" w:lineRule="exact"/>
        <w:rPr>
          <w:sz w:val="20"/>
          <w:szCs w:val="20"/>
          <w:color w:val="auto"/>
        </w:rPr>
      </w:pPr>
    </w:p>
    <w:p>
      <w:pPr>
        <w:jc w:val="both"/>
        <w:ind w:firstLine="142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or manager or managing member of such limited liability company, partnership, association, or other business entity. For purposes hereof, references to a “Subsidiary” of any Person shall be given effect only at such times that such Person has one or more Subsidiaries, and, unless otherwise indicated, the term “Subsidiary” refers to a Subsidiary of the Company.</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means the effective date of the Executive’s termination of employment with the Company.</w:t>
      </w:r>
    </w:p>
    <w:p>
      <w:pPr>
        <w:spacing w:after="0" w:line="225"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Other Definitional Provisions.</w:t>
      </w:r>
    </w:p>
    <w:p>
      <w:pPr>
        <w:spacing w:after="0" w:line="225" w:lineRule="exact"/>
        <w:rPr>
          <w:sz w:val="20"/>
          <w:szCs w:val="20"/>
          <w:color w:val="auto"/>
        </w:rPr>
      </w:pPr>
    </w:p>
    <w:p>
      <w:pPr>
        <w:jc w:val="both"/>
        <w:ind w:firstLine="721"/>
        <w:spacing w:after="0" w:line="264" w:lineRule="auto"/>
        <w:tabs>
          <w:tab w:leader="none" w:pos="153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Section references contained in this Agreement are references to sections in this Agreement, unless otherwise specified. Each defined term used in this Agreement has a comparable meaning when used in its plural or singular form. Each gender-specific term used in this Agreement has a comparable meaning whether used in a masculine, feminine or gender-neutral form.</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4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Whenever the term “including” (whether or not that term is followed by the phrase “but not limited to” or “without limitation” or words of similar effect) is used in this Agreement in connection with a listing of items within a particular classification, that listing will be interpreted to be illustrative only and will not be interpreted as a limitation on, or an exclusive listing of, the items within that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0" w:name="page121"/>
    <w:bookmarkEnd w:id="120"/>
    <w:tbl>
      <w:tblPr>
        <w:tblLayout w:type="fixed"/>
        <w:tblInd w:w="72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040" w:type="dxa"/>
            <w:vAlign w:val="bottom"/>
          </w:tcPr>
          <w:p>
            <w:pPr>
              <w:jc w:val="center"/>
              <w:ind w:right="1250"/>
              <w:spacing w:after="0"/>
              <w:rPr>
                <w:sz w:val="20"/>
                <w:szCs w:val="20"/>
                <w:color w:val="auto"/>
              </w:rPr>
            </w:pPr>
            <w:r>
              <w:rPr>
                <w:rFonts w:ascii="Arial" w:cs="Arial" w:eastAsia="Arial" w:hAnsi="Arial"/>
                <w:sz w:val="18"/>
                <w:szCs w:val="18"/>
                <w:b w:val="1"/>
                <w:bCs w:val="1"/>
                <w:color w:val="auto"/>
              </w:rPr>
              <w:t>ARTICLE III</w:t>
            </w:r>
          </w:p>
        </w:tc>
      </w:tr>
      <w:tr>
        <w:trPr>
          <w:trHeight w:val="234"/>
        </w:trPr>
        <w:tc>
          <w:tcPr>
            <w:tcW w:w="640" w:type="dxa"/>
            <w:vAlign w:val="bottom"/>
          </w:tcPr>
          <w:p>
            <w:pPr>
              <w:spacing w:after="0"/>
              <w:rPr>
                <w:sz w:val="20"/>
                <w:szCs w:val="20"/>
                <w:color w:val="auto"/>
              </w:rPr>
            </w:pPr>
          </w:p>
        </w:tc>
        <w:tc>
          <w:tcPr>
            <w:tcW w:w="10040" w:type="dxa"/>
            <w:vAlign w:val="bottom"/>
          </w:tcPr>
          <w:p>
            <w:pPr>
              <w:jc w:val="center"/>
              <w:ind w:right="1250"/>
              <w:spacing w:after="0"/>
              <w:rPr>
                <w:sz w:val="20"/>
                <w:szCs w:val="20"/>
                <w:color w:val="auto"/>
              </w:rPr>
            </w:pPr>
            <w:r>
              <w:rPr>
                <w:rFonts w:ascii="Arial" w:cs="Arial" w:eastAsia="Arial" w:hAnsi="Arial"/>
                <w:sz w:val="18"/>
                <w:szCs w:val="18"/>
                <w:b w:val="1"/>
                <w:bCs w:val="1"/>
                <w:color w:val="auto"/>
              </w:rPr>
              <w:t>MISCELLANEOUS TERMS</w:t>
            </w:r>
          </w:p>
        </w:tc>
      </w:tr>
      <w:tr>
        <w:trPr>
          <w:trHeight w:val="432"/>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79"/>
              </w:rPr>
              <w:t>3.1</w:t>
            </w:r>
          </w:p>
        </w:tc>
        <w:tc>
          <w:tcPr>
            <w:tcW w:w="10040" w:type="dxa"/>
            <w:vAlign w:val="bottom"/>
          </w:tcPr>
          <w:p>
            <w:pPr>
              <w:ind w:left="400"/>
              <w:spacing w:after="0"/>
              <w:rPr>
                <w:sz w:val="20"/>
                <w:szCs w:val="20"/>
                <w:color w:val="auto"/>
              </w:rPr>
            </w:pPr>
            <w:r>
              <w:rPr>
                <w:rFonts w:ascii="Arial" w:cs="Arial" w:eastAsia="Arial" w:hAnsi="Arial"/>
                <w:sz w:val="18"/>
                <w:szCs w:val="18"/>
                <w:color w:val="auto"/>
                <w:w w:val="91"/>
              </w:rPr>
              <w:t>Defense of Claims. The Executive agrees that, during the Employment Period, and for a period of six months after termination of the</w:t>
            </w:r>
          </w:p>
        </w:tc>
      </w:tr>
    </w:tbl>
    <w:p>
      <w:pPr>
        <w:jc w:val="both"/>
        <w:spacing w:after="0" w:line="268" w:lineRule="auto"/>
        <w:rPr>
          <w:sz w:val="20"/>
          <w:szCs w:val="20"/>
          <w:color w:val="auto"/>
        </w:rPr>
      </w:pPr>
      <w:r>
        <w:rPr>
          <w:rFonts w:ascii="Arial" w:cs="Arial" w:eastAsia="Arial" w:hAnsi="Arial"/>
          <w:sz w:val="17"/>
          <w:szCs w:val="17"/>
          <w:color w:val="auto"/>
        </w:rPr>
        <w:t>Executive’s employment, upon request by the Company, the Executive shall reasonably cooperate with the Company in connection with any matters the Executive worked on during his employment with the Company and any related transitional matters. In addition, during the Employment Period and thereafter, the Executive agrees to reasonably cooperate with the Company in the defense of any claims or actions that may be made by or against the Company that affect the Executive’s prior areas of responsibility or involve matters about which the Executive has knowledge, except if the Executive’s reasonable interests are adverse to the Company in such claim or action and provided that after the Employment Period such level of cooperation shall be reasonable and shall take due account of the Executive’s work and personal commitments. The Company’s request for “reasonable cooperation” shall take into consideration Executive’s personal and business commitments and the amount of notice provided to Executive by the Company. The Company agrees to promptly reimburse the Executive for all of the Executive’s reasonable travel and other direct expenses incurred, or to be reasonably incurred, to comply with the Executive’s obligations under this Section 3.1.</w:t>
      </w:r>
    </w:p>
    <w:p>
      <w:pPr>
        <w:spacing w:after="0" w:line="182" w:lineRule="exact"/>
        <w:rPr>
          <w:sz w:val="20"/>
          <w:szCs w:val="20"/>
          <w:color w:val="auto"/>
        </w:rPr>
      </w:pPr>
    </w:p>
    <w:p>
      <w:pPr>
        <w:jc w:val="both"/>
        <w:ind w:firstLine="713"/>
        <w:spacing w:after="0" w:line="269" w:lineRule="auto"/>
        <w:rPr>
          <w:sz w:val="20"/>
          <w:szCs w:val="20"/>
          <w:color w:val="auto"/>
        </w:rPr>
      </w:pPr>
      <w:r>
        <w:rPr>
          <w:rFonts w:ascii="Arial" w:cs="Arial" w:eastAsia="Arial" w:hAnsi="Arial"/>
          <w:sz w:val="17"/>
          <w:szCs w:val="17"/>
          <w:color w:val="auto"/>
        </w:rPr>
        <w:t>3.2 Nondisparagement. The Executive agrees to refrain from (i) making, directly or indirectly, any derogatory comments concerning the Company or its Subsidiaries or any current or former officers, directors, employees or shareholders thereof or (ii) taking any other action with respect to the Company or its Subsidiaries which is reasonably expected to result, or does result in, damage to the business or reputation of the Company, its Subsidiaries or any of its current or former officers, directors, employees or shareholders. The Company agrees to refrain from (i) making, directly or indirectly, any derogatory comments concerning the Executive or (ii) taking any other action with respect to the Executive which is reasonably expected to result, or does result in, damage to the reputation of the Executive. Notwithstanding anything to the contrary contained herein, nothing in this Agreement shall prohibit or restrict either party from, truthfully and in good faith: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or the Executive’s designated legal, compliance or human resources officers; or (iii) filing, testifying, participating in or otherwise assisting in a proceeding relating to an alleged violation of any federal, state or municipal law relating to fraud, or any rule or regulation of the Securities and Exchange Commission or any self-regulatory organization.</w:t>
      </w:r>
    </w:p>
    <w:p>
      <w:pPr>
        <w:spacing w:after="0" w:line="183"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3.3 Source of Payments. All payments provided under this Agreement, other than payments made pursuant to a plan which provides otherwise and except as otherwise provided herein,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or its Subsidiaries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58"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3.4 Notices. Any notice provided for in this Agreement must be in writing and must be either personally delivered, mailed by first class mail (postage prepaid and return receipt requested), sent by reputable overnight courier service (charges prepaid) or sent by facsimile (with receipt confirmed) to the recipient at the address or facsimile number indicated below:</w:t>
      </w:r>
    </w:p>
    <w:p>
      <w:pPr>
        <w:spacing w:after="0" w:line="18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XCel Brands,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Blank Rome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10174-0208</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Robert Mittman, Esquire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(212) 885-5557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1" w:name="page122"/>
    <w:bookmarkEnd w:id="121"/>
    <w:p>
      <w:pPr>
        <w:ind w:left="1960"/>
        <w:spacing w:after="0"/>
        <w:rPr>
          <w:sz w:val="20"/>
          <w:szCs w:val="20"/>
          <w:color w:val="auto"/>
        </w:rPr>
      </w:pPr>
      <w:r>
        <w:rPr>
          <w:rFonts w:ascii="Arial" w:cs="Arial" w:eastAsia="Arial" w:hAnsi="Arial"/>
          <w:sz w:val="18"/>
          <w:szCs w:val="18"/>
          <w:color w:val="auto"/>
        </w:rPr>
        <w:t>To the Executive: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Joe Falco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35 Cambridge Drive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Smithtown, NY 11787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Home: 631.382.2467</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copies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Outten &amp; Golden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 Park Avenue, 29th Floor</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(212) 245-1000</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Attn: Wendi S. Lazar, Esq.</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such other address or to the attention of such other Person as the recipient Party will have specified by prior written notice to the sending Party. Any notice under this Agreement will be deemed to have been given when so delivered or sent.</w:t>
      </w:r>
    </w:p>
    <w:p>
      <w:pPr>
        <w:spacing w:after="0" w:line="170"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3.5 Severability. Subject to the express provisions of Section 1.10 relating to certain specified changes,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3.6 Complete Agreement. This Agreement embodies the complete agreement and understanding among the Parties with regard to the subject matter hereof and supersedes and preempts any prior understandings, agreements or representations by or among the Parties, written or oral, which may have related to the subject matter hereof in any way. To the extent that this Agreement provides greater benefits to the Executive or fewer obligation of the Executive than available or set forth under the Company’s employee handbook or other corporate policies, then this Agreement shall prevail.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310"/>
              <w:spacing w:after="0"/>
              <w:rPr>
                <w:sz w:val="20"/>
                <w:szCs w:val="20"/>
                <w:color w:val="auto"/>
              </w:rPr>
            </w:pPr>
            <w:r>
              <w:rPr>
                <w:rFonts w:ascii="Arial" w:cs="Arial" w:eastAsia="Arial" w:hAnsi="Arial"/>
                <w:sz w:val="18"/>
                <w:szCs w:val="18"/>
                <w:color w:val="auto"/>
              </w:rPr>
              <w:t>3.7</w:t>
            </w:r>
          </w:p>
        </w:tc>
        <w:tc>
          <w:tcPr>
            <w:tcW w:w="10080" w:type="dxa"/>
            <w:vAlign w:val="bottom"/>
          </w:tcPr>
          <w:p>
            <w:pPr>
              <w:jc w:val="right"/>
              <w:spacing w:after="0"/>
              <w:rPr>
                <w:sz w:val="20"/>
                <w:szCs w:val="20"/>
                <w:color w:val="auto"/>
              </w:rPr>
            </w:pPr>
            <w:r>
              <w:rPr>
                <w:rFonts w:ascii="Arial" w:cs="Arial" w:eastAsia="Arial" w:hAnsi="Arial"/>
                <w:sz w:val="18"/>
                <w:szCs w:val="18"/>
                <w:color w:val="auto"/>
                <w:w w:val="95"/>
              </w:rPr>
              <w:t>Counterparts. This Agreement may be executed in separate counterparts, each of which is deemed to be an original and all of which</w:t>
            </w:r>
          </w:p>
        </w:tc>
      </w:tr>
      <w:tr>
        <w:trPr>
          <w:trHeight w:val="230"/>
        </w:trPr>
        <w:tc>
          <w:tcPr>
            <w:tcW w:w="11420" w:type="dxa"/>
            <w:vAlign w:val="bottom"/>
            <w:gridSpan w:val="2"/>
          </w:tcPr>
          <w:p>
            <w:pPr>
              <w:jc w:val="right"/>
              <w:ind w:right="7430"/>
              <w:spacing w:after="0"/>
              <w:rPr>
                <w:sz w:val="20"/>
                <w:szCs w:val="20"/>
                <w:color w:val="auto"/>
              </w:rPr>
            </w:pPr>
            <w:r>
              <w:rPr>
                <w:rFonts w:ascii="Arial" w:cs="Arial" w:eastAsia="Arial" w:hAnsi="Arial"/>
                <w:sz w:val="18"/>
                <w:szCs w:val="18"/>
                <w:color w:val="auto"/>
                <w:w w:val="87"/>
              </w:rPr>
              <w:t>taken together constitute one and the same agreement.</w:t>
            </w:r>
          </w:p>
        </w:tc>
      </w:tr>
      <w:tr>
        <w:trPr>
          <w:trHeight w:val="432"/>
        </w:trPr>
        <w:tc>
          <w:tcPr>
            <w:tcW w:w="1340" w:type="dxa"/>
            <w:vAlign w:val="bottom"/>
          </w:tcPr>
          <w:p>
            <w:pPr>
              <w:jc w:val="right"/>
              <w:ind w:right="310"/>
              <w:spacing w:after="0"/>
              <w:rPr>
                <w:sz w:val="20"/>
                <w:szCs w:val="20"/>
                <w:color w:val="auto"/>
              </w:rPr>
            </w:pPr>
            <w:r>
              <w:rPr>
                <w:rFonts w:ascii="Arial" w:cs="Arial" w:eastAsia="Arial" w:hAnsi="Arial"/>
                <w:sz w:val="18"/>
                <w:szCs w:val="18"/>
                <w:color w:val="auto"/>
              </w:rPr>
              <w:t>3.8</w:t>
            </w:r>
          </w:p>
        </w:tc>
        <w:tc>
          <w:tcPr>
            <w:tcW w:w="10080" w:type="dxa"/>
            <w:vAlign w:val="bottom"/>
          </w:tcPr>
          <w:p>
            <w:pPr>
              <w:jc w:val="right"/>
              <w:spacing w:after="0"/>
              <w:rPr>
                <w:sz w:val="20"/>
                <w:szCs w:val="20"/>
                <w:color w:val="auto"/>
              </w:rPr>
            </w:pPr>
            <w:r>
              <w:rPr>
                <w:rFonts w:ascii="Arial" w:cs="Arial" w:eastAsia="Arial" w:hAnsi="Arial"/>
                <w:sz w:val="18"/>
                <w:szCs w:val="18"/>
                <w:color w:val="auto"/>
                <w:w w:val="95"/>
              </w:rPr>
              <w:t>Assignment. Without the Executive’s consent, the Company may not assign its rights and obligations under this Agreement except (i)</w:t>
            </w:r>
          </w:p>
        </w:tc>
      </w:tr>
    </w:tbl>
    <w:p>
      <w:pPr>
        <w:jc w:val="both"/>
        <w:spacing w:after="0" w:line="252" w:lineRule="auto"/>
        <w:rPr>
          <w:sz w:val="20"/>
          <w:szCs w:val="20"/>
          <w:color w:val="auto"/>
        </w:rPr>
      </w:pPr>
      <w:r>
        <w:rPr>
          <w:rFonts w:ascii="Arial" w:cs="Arial" w:eastAsia="Arial" w:hAnsi="Arial"/>
          <w:sz w:val="18"/>
          <w:szCs w:val="18"/>
          <w:color w:val="auto"/>
        </w:rPr>
        <w:t>to a “Successor” (as defined below) or (ii) to an entity that is formed and controlled by the Company or any of its Subsidiaries. This Agreement is personal to the Executive, and the Executive shall not have the right to assign the Executive’s interest in this Agreement, any rights under this Agreement or any duties imposed under this Agreement, nor shall the Executive have the right to pledge, hypothecate, transfer, assign or otherwise encumber the Executive’s right to receive any form of compensation hereunder without the prior written consent of the Board. As used in Section 3.8 and 3.9, “</w:t>
      </w:r>
      <w:r>
        <w:rPr>
          <w:rFonts w:ascii="Arial" w:cs="Arial" w:eastAsia="Arial" w:hAnsi="Arial"/>
          <w:sz w:val="18"/>
          <w:szCs w:val="18"/>
          <w:i w:val="1"/>
          <w:iCs w:val="1"/>
          <w:color w:val="auto"/>
        </w:rPr>
        <w:t>Successor</w:t>
      </w:r>
      <w:r>
        <w:rPr>
          <w:rFonts w:ascii="Arial" w:cs="Arial" w:eastAsia="Arial" w:hAnsi="Arial"/>
          <w:sz w:val="18"/>
          <w:szCs w:val="18"/>
          <w:color w:val="auto"/>
        </w:rPr>
        <w:t>” shall include any Person that at any time, whether by purchase, merger or otherwise, directly or indirectly acquires all or substantially all of the assets of, or ownership interests in, the Company and its Subsidiaries.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ind w:left="720"/>
              <w:spacing w:after="0"/>
              <w:rPr>
                <w:sz w:val="20"/>
                <w:szCs w:val="20"/>
                <w:color w:val="auto"/>
              </w:rPr>
            </w:pPr>
            <w:r>
              <w:rPr>
                <w:rFonts w:ascii="Arial" w:cs="Arial" w:eastAsia="Arial" w:hAnsi="Arial"/>
                <w:sz w:val="18"/>
                <w:szCs w:val="18"/>
                <w:color w:val="auto"/>
              </w:rPr>
              <w:t>3.9</w:t>
            </w:r>
          </w:p>
        </w:tc>
        <w:tc>
          <w:tcPr>
            <w:tcW w:w="10000" w:type="dxa"/>
            <w:vAlign w:val="bottom"/>
          </w:tcPr>
          <w:p>
            <w:pPr>
              <w:jc w:val="right"/>
              <w:spacing w:after="0"/>
              <w:rPr>
                <w:sz w:val="20"/>
                <w:szCs w:val="20"/>
                <w:color w:val="auto"/>
              </w:rPr>
            </w:pPr>
            <w:r>
              <w:rPr>
                <w:rFonts w:ascii="Arial" w:cs="Arial" w:eastAsia="Arial" w:hAnsi="Arial"/>
                <w:sz w:val="18"/>
                <w:szCs w:val="18"/>
                <w:color w:val="auto"/>
                <w:w w:val="97"/>
              </w:rPr>
              <w:t>Successors and Assigns. This Agreement is intended to bind and inure to the benefit of and be enforceable by the Company, the</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Executive, and their respective heirs, successors and permitted assigns.</w:t>
            </w:r>
          </w:p>
        </w:tc>
      </w:tr>
      <w:tr>
        <w:trPr>
          <w:trHeight w:val="432"/>
        </w:trPr>
        <w:tc>
          <w:tcPr>
            <w:tcW w:w="1420" w:type="dxa"/>
            <w:vAlign w:val="bottom"/>
          </w:tcPr>
          <w:p>
            <w:pPr>
              <w:ind w:left="720"/>
              <w:spacing w:after="0"/>
              <w:rPr>
                <w:sz w:val="20"/>
                <w:szCs w:val="20"/>
                <w:color w:val="auto"/>
              </w:rPr>
            </w:pPr>
            <w:r>
              <w:rPr>
                <w:rFonts w:ascii="Arial" w:cs="Arial" w:eastAsia="Arial" w:hAnsi="Arial"/>
                <w:sz w:val="18"/>
                <w:szCs w:val="18"/>
                <w:color w:val="auto"/>
              </w:rPr>
              <w:t>3.10</w:t>
            </w:r>
          </w:p>
        </w:tc>
        <w:tc>
          <w:tcPr>
            <w:tcW w:w="10000" w:type="dxa"/>
            <w:vAlign w:val="bottom"/>
          </w:tcPr>
          <w:p>
            <w:pPr>
              <w:jc w:val="right"/>
              <w:spacing w:after="0"/>
              <w:rPr>
                <w:sz w:val="20"/>
                <w:szCs w:val="20"/>
                <w:color w:val="auto"/>
              </w:rPr>
            </w:pPr>
            <w:r>
              <w:rPr>
                <w:rFonts w:ascii="Arial" w:cs="Arial" w:eastAsia="Arial" w:hAnsi="Arial"/>
                <w:sz w:val="18"/>
                <w:szCs w:val="18"/>
                <w:color w:val="auto"/>
                <w:w w:val="94"/>
              </w:rPr>
              <w:t>Choice of Law. This Agreement and the performance of the parties hereunder shall be governed by the internal laws (and not the law</w:t>
            </w:r>
          </w:p>
        </w:tc>
      </w:tr>
    </w:tbl>
    <w:p>
      <w:pPr>
        <w:jc w:val="both"/>
        <w:spacing w:after="0" w:line="254" w:lineRule="auto"/>
        <w:rPr>
          <w:sz w:val="20"/>
          <w:szCs w:val="20"/>
          <w:color w:val="auto"/>
        </w:rPr>
      </w:pPr>
      <w:r>
        <w:rPr>
          <w:rFonts w:ascii="Arial" w:cs="Arial" w:eastAsia="Arial" w:hAnsi="Arial"/>
          <w:sz w:val="18"/>
          <w:szCs w:val="18"/>
          <w:color w:val="auto"/>
        </w:rPr>
        <w:t>of conflicts) of the State of New York. Any claim or controversy arising out of or in connection with this Agreement, or the breach thereof, shall be adjudicated exclusively by the Supreme Court, New York County, State of New York, or by a federal court sitting in Manhattan in New York City, State of New York. The parties hereto agree to the personal jurisdiction of such courts and agree to accept process by regular mail in connection with any such dispute.</w:t>
      </w:r>
    </w:p>
    <w:p>
      <w:pPr>
        <w:spacing w:after="0" w:line="190"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3.11 Waiver of Jury Trial.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22" w:name="page123"/>
    <w:bookmarkEnd w:id="122"/>
    <w:p>
      <w:pPr>
        <w:jc w:val="both"/>
        <w:ind w:firstLine="713"/>
        <w:spacing w:after="0" w:line="273" w:lineRule="auto"/>
        <w:rPr>
          <w:sz w:val="20"/>
          <w:szCs w:val="20"/>
          <w:color w:val="auto"/>
        </w:rPr>
      </w:pPr>
      <w:r>
        <w:rPr>
          <w:rFonts w:ascii="Arial" w:cs="Arial" w:eastAsia="Arial" w:hAnsi="Arial"/>
          <w:sz w:val="17"/>
          <w:szCs w:val="17"/>
          <w:color w:val="auto"/>
        </w:rPr>
        <w:t>3.12 Legal Fees and Court Costs. In the event that any action, suit or other proceeding in law or in equity is brought to enforce the provisions of this Agreement, and such action results in the award of a judgment for money damages or in the granting of any injunction in favor of the Company, all expenses (including reasonable attorneys’ fees) of the Company in such action, suit or other proceeding shall be paid by the Executive. In the event that any action, suit or other proceeding in law or in equity is brought to enforce the provisions of this Agreement, and such action results in the award of a judgment for money damages or in the granting of any injunction in favor of the Executive, all expenses (including reasonable attorneys’ fees and travel expenses) of the Executive in such action, suit or other proceeding shall be paid by the Company.</w:t>
      </w:r>
    </w:p>
    <w:p>
      <w:pPr>
        <w:spacing w:after="0" w:line="178"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3.13 Remedies. Each Party will be entitled to enforce its rights under this Agreement specifically, to recover damages and costs caused by any breach of any provision of this Agreement and to exercise all other rights existing in its favor. Subject to Section 3.12 , nothing herein shall prohibit any arbitrator or judicial authority from awarding attorneys’ fees or costs to a prevailing Party in any arbitration or other proceeding to the extent that such arbitrator or authority may lawfully do so.</w:t>
      </w:r>
    </w:p>
    <w:p>
      <w:pPr>
        <w:spacing w:after="0" w:line="187"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3.14 Amendment and Waiver. The provisions of this Agreement may be amended or waived only with the prior written consent of the Company and the Executive, and no course of conduct or failure or delay in enforcing the provisions of this Agreement will affect the validity, binding effect or enforceability of this Agreement.</w:t>
      </w:r>
    </w:p>
    <w:p>
      <w:pPr>
        <w:spacing w:after="0" w:line="18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3.15 Third Party Beneficiaries. This Agreement will not confer any rights or remedies upon any Person other than the Parties and their respective successors and permitted assigns and other than, in the event of the Executive’s death, his estate, to which all of Executive’s rights and remedies set forth herein shall accrue.</w:t>
      </w:r>
    </w:p>
    <w:p>
      <w:pPr>
        <w:spacing w:after="0" w:line="181"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3.16 The Executive’s Representations. The Executive hereby represents and warrants to the Company that (a) the execution, delivery and performance of this Agreement by the Executive do not and shall not conflict with, breach, violate or cause a default under any contract, agreement, instrument, order, judgment or decree to which the Executive is a party or by which he is bound, (b) the Executive is not a party to or bound by any employment agreement, noncompete agreement or confidentiality agreement with any other Person (or other agreement with any other person containing a restriction on the Executive’s right to do business or obligating him to do business with any other Person on a priority or preferential basis), (c) upon the execution and delivery of this Agreement by the Company, this Agreement shall be the valid and binding obligation of the Executive, enforceable in accordance with its terms and (d) upon the execution and delivery of this Agreement by the Company, Executive shall not be in violation of clause (i) set forth in the definition of Cause and shall not be disabled.</w:t>
      </w:r>
    </w:p>
    <w:p>
      <w:pPr>
        <w:spacing w:after="0" w:line="192" w:lineRule="exact"/>
        <w:rPr>
          <w:sz w:val="20"/>
          <w:szCs w:val="20"/>
          <w:color w:val="auto"/>
        </w:rPr>
      </w:pPr>
    </w:p>
    <w:p>
      <w:pPr>
        <w:ind w:left="720"/>
        <w:spacing w:after="0"/>
        <w:tabs>
          <w:tab w:leader="none" w:pos="17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color w:val="auto"/>
        </w:rPr>
        <w:t>Section 409A of the Code.</w:t>
      </w:r>
    </w:p>
    <w:p>
      <w:pPr>
        <w:spacing w:after="0" w:line="225" w:lineRule="exact"/>
        <w:rPr>
          <w:sz w:val="20"/>
          <w:szCs w:val="20"/>
          <w:color w:val="auto"/>
        </w:rPr>
      </w:pPr>
    </w:p>
    <w:p>
      <w:pPr>
        <w:jc w:val="both"/>
        <w:ind w:firstLine="1434"/>
        <w:spacing w:after="0" w:line="290" w:lineRule="auto"/>
        <w:tabs>
          <w:tab w:leader="none" w:pos="218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Compliance. Notwithstanding anything herein to the contrary, this Agreement is intended to be interpreted and applied so that the payments and benefits set forth herein either shall either be exempt from the requirements of Section 409A of the Internal Revenue Code of 1986, as amended (the “Code”), or shall comply with the requirements of Code Section 409A, and, accordingly, to the maximum extent permitted, this Agreement shall be interpreted to be exempt from or in compliance with Code Section 409A. To the extent that the Company determines that any provision of this Agreement would cause Executive to incur any additional tax or interest under Code Section 409A, the Company shall be entitled to reform such provision to attempt to comply with or be exempt from Code Section 409A through good faith modifications. To the extent that any provision hereof is modified in order to comply with Code Section 409A, such modification shall be made in good faith and shall, to the maximum extent reasonably possible, maintain the original intent and economic benefit to Executive and the Company without violating the provisions of Code Section 409A.</w:t>
      </w:r>
    </w:p>
    <w:p>
      <w:pPr>
        <w:spacing w:after="0" w:line="166" w:lineRule="exact"/>
        <w:rPr>
          <w:rFonts w:ascii="Arial" w:cs="Arial" w:eastAsia="Arial" w:hAnsi="Arial"/>
          <w:sz w:val="16"/>
          <w:szCs w:val="16"/>
          <w:color w:val="auto"/>
        </w:rPr>
      </w:pPr>
    </w:p>
    <w:p>
      <w:pPr>
        <w:jc w:val="both"/>
        <w:ind w:firstLine="1434"/>
        <w:spacing w:after="0" w:line="264" w:lineRule="auto"/>
        <w:tabs>
          <w:tab w:leader="none" w:pos="231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Separate Payments. Notwithstanding anything in this Agreement to the contrary, the right to receive installment payments hereunder shall be treated as a right to receive a series of separate payments in accordance with Code Section 409A and Final Treasury Regulation Section 1.409A-2(b)(2)(iii).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3" w:name="page124"/>
    <w:bookmarkEnd w:id="123"/>
    <w:p>
      <w:pPr>
        <w:jc w:val="both"/>
        <w:ind w:firstLine="1434"/>
        <w:spacing w:after="0" w:line="259" w:lineRule="auto"/>
        <w:tabs>
          <w:tab w:leader="none" w:pos="234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Short-Term Deferral. Except as otherwise specifically provided, amounts payable under this Agreement, other than those expressly payable on a deferred or installment basis, will be paid as promptly as practicable following the date on which they are earned and vested and, in any event, on or prior to March 15 of the year following the first calendar year in which such amounts are no longer subject to a substantial risk of forfeiture, as such term is defined in Section 409A of the Code.</w:t>
      </w:r>
    </w:p>
    <w:p>
      <w:pPr>
        <w:spacing w:after="0" w:line="186" w:lineRule="exact"/>
        <w:rPr>
          <w:rFonts w:ascii="Arial" w:cs="Arial" w:eastAsia="Arial" w:hAnsi="Arial"/>
          <w:sz w:val="18"/>
          <w:szCs w:val="18"/>
          <w:color w:val="auto"/>
        </w:rPr>
      </w:pPr>
    </w:p>
    <w:p>
      <w:pPr>
        <w:jc w:val="both"/>
        <w:ind w:firstLine="1434"/>
        <w:spacing w:after="0" w:line="273" w:lineRule="auto"/>
        <w:tabs>
          <w:tab w:leader="none" w:pos="250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Separation from Service. Notwithstanding anything in this Agreement or elsewhere to the contrary, a termination of employment shall not be deemed to have occurred for purposes of any provision of this Agreement providing for the payment of any amounts or benefits that constitute “non-qualified deferred compensation” within the meaning of Code Section 409A upon or following a termination of Executive’s employment unless such termination is also a “separation from service” within the meaning of Code Section 409A and, for purposes of any such provision of this Agreement, references to a “termination,” “termination of employment” or like terms shall mean “separation from service” and the date of such separation from service shall be the Termination Date for purposes of any such payment or benefits.</w:t>
      </w:r>
    </w:p>
    <w:p>
      <w:pPr>
        <w:spacing w:after="0" w:line="178" w:lineRule="exact"/>
        <w:rPr>
          <w:rFonts w:ascii="Arial" w:cs="Arial" w:eastAsia="Arial" w:hAnsi="Arial"/>
          <w:sz w:val="17"/>
          <w:szCs w:val="17"/>
          <w:color w:val="auto"/>
        </w:rPr>
      </w:pPr>
    </w:p>
    <w:p>
      <w:pPr>
        <w:ind w:firstLine="1434"/>
        <w:spacing w:after="0" w:line="277" w:lineRule="auto"/>
        <w:tabs>
          <w:tab w:leader="none" w:pos="213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Designation. In no event may Executive, directly or indirectly, designate the calendar year of any payment to be made under this Agreement or otherwise which constitutes a “deferral of compensation” within the meaning of Code Section 409A.</w:t>
      </w:r>
    </w:p>
    <w:p>
      <w:pPr>
        <w:spacing w:after="0" w:line="170" w:lineRule="exact"/>
        <w:rPr>
          <w:rFonts w:ascii="Arial" w:cs="Arial" w:eastAsia="Arial" w:hAnsi="Arial"/>
          <w:sz w:val="18"/>
          <w:szCs w:val="18"/>
          <w:color w:val="auto"/>
        </w:rPr>
      </w:pPr>
    </w:p>
    <w:p>
      <w:pPr>
        <w:jc w:val="both"/>
        <w:ind w:firstLine="1434"/>
        <w:spacing w:after="0" w:line="257" w:lineRule="auto"/>
        <w:tabs>
          <w:tab w:leader="none" w:pos="215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Expense Reimbursement.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Executive’s taxable year following the taxable year in which the expense was incurred.</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[END OF PAGE]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auto"/>
        </w:rPr>
        <w:t>IN WITNESS WHEREOF, the Parties have executed this Employment Agreement as of the date first written above.</w:t>
      </w:r>
    </w:p>
    <w:p>
      <w:pPr>
        <w:spacing w:after="0" w:line="233"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ind w:left="614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W. D’Loren</w:t>
      </w:r>
    </w:p>
    <w:p>
      <w:pPr>
        <w:spacing w:after="0" w:line="36"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4264660</wp:posOffset>
            </wp:positionH>
            <wp:positionV relativeFrom="paragraph">
              <wp:posOffset>-123190</wp:posOffset>
            </wp:positionV>
            <wp:extent cx="25298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5" w:lineRule="exact"/>
        <w:rPr>
          <w:sz w:val="20"/>
          <w:szCs w:val="20"/>
          <w:color w:val="auto"/>
        </w:rPr>
      </w:pPr>
    </w:p>
    <w:p>
      <w:pPr>
        <w:ind w:left="6720"/>
        <w:spacing w:after="0"/>
        <w:tabs>
          <w:tab w:leader="none" w:pos="7260" w:val="left"/>
        </w:tabs>
        <w:rPr>
          <w:sz w:val="20"/>
          <w:szCs w:val="20"/>
          <w:color w:val="auto"/>
        </w:rPr>
      </w:pPr>
      <w:r>
        <w:rPr>
          <w:rFonts w:ascii="Arial" w:cs="Arial" w:eastAsia="Arial" w:hAnsi="Arial"/>
          <w:sz w:val="16"/>
          <w:szCs w:val="16"/>
          <w:color w:val="auto"/>
        </w:rPr>
        <w:t>Title:</w:t>
        <w:tab/>
        <w:t>Chairman and CEO</w:t>
      </w:r>
    </w:p>
    <w:p>
      <w:pPr>
        <w:spacing w:after="0" w:line="234"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Giuseppe Falco</w:t>
      </w:r>
    </w:p>
    <w:p>
      <w:pPr>
        <w:spacing w:after="0" w:line="32"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Giuseppe Falco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3904615</wp:posOffset>
            </wp:positionH>
            <wp:positionV relativeFrom="paragraph">
              <wp:posOffset>-127635</wp:posOffset>
            </wp:positionV>
            <wp:extent cx="28898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8988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429260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499"/>
          </w:cols>
          <w:pgMar w:left="960" w:top="881"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 Giuseppe Falco, on behalf of myself and my heirs, successors and assigns, in consideration of the performance by XCel Brands, Inc., a Delaware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corporation (together with its Subsidiaries, the “</w:t>
      </w:r>
      <w:r>
        <w:rPr>
          <w:rFonts w:ascii="Arial" w:cs="Arial" w:eastAsia="Arial" w:hAnsi="Arial"/>
          <w:sz w:val="17"/>
          <w:szCs w:val="17"/>
          <w:i w:val="1"/>
          <w:iCs w:val="1"/>
          <w:color w:val="auto"/>
        </w:rPr>
        <w:t>Company</w:t>
      </w:r>
      <w:r>
        <w:rPr>
          <w:rFonts w:ascii="Arial" w:cs="Arial" w:eastAsia="Arial" w:hAnsi="Arial"/>
          <w:sz w:val="17"/>
          <w:szCs w:val="17"/>
          <w:color w:val="auto"/>
        </w:rPr>
        <w:t>”), of its material obligations under the Employment Agreement, dated as of July XX, 2011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Agreement</w:t>
      </w:r>
      <w:r>
        <w:rPr>
          <w:rFonts w:ascii="Arial" w:cs="Arial" w:eastAsia="Arial" w:hAnsi="Arial"/>
          <w:sz w:val="16"/>
          <w:szCs w:val="16"/>
          <w:color w:val="auto"/>
        </w:rPr>
        <w:t>”), do hereby release and forever discharge as of the date hereof the Company, its Affiliates, each such Person’s respective successors and assigns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each of the foregoing Persons’ respective present and former directors, officers, partners, stockholders, members, managers, agents, representatives,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(and each such Person’s respective successors and assigns) (collectively, the “</w:t>
      </w:r>
      <w:r>
        <w:rPr>
          <w:rFonts w:ascii="Arial" w:cs="Arial" w:eastAsia="Arial" w:hAnsi="Arial"/>
          <w:sz w:val="18"/>
          <w:szCs w:val="18"/>
          <w:i w:val="1"/>
          <w:iCs w:val="1"/>
          <w:color w:val="auto"/>
        </w:rPr>
        <w:t>Released Parties</w:t>
      </w:r>
      <w:r>
        <w:rPr>
          <w:rFonts w:ascii="Arial" w:cs="Arial" w:eastAsia="Arial" w:hAnsi="Arial"/>
          <w:sz w:val="18"/>
          <w:szCs w:val="18"/>
          <w:color w:val="auto"/>
        </w:rPr>
        <w:t>”) to the extent provided below.</w:t>
      </w:r>
    </w:p>
    <w:p>
      <w:pPr>
        <w:spacing w:after="0" w:line="211" w:lineRule="exact"/>
        <w:rPr>
          <w:sz w:val="20"/>
          <w:szCs w:val="20"/>
          <w:color w:val="auto"/>
        </w:rPr>
      </w:pPr>
    </w:p>
    <w:p>
      <w:pPr>
        <w:ind w:right="160" w:firstLine="8"/>
        <w:spacing w:after="0" w:line="259" w:lineRule="auto"/>
        <w:tabs>
          <w:tab w:leader="none" w:pos="6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understand that any payments or benefits paid or granted to me under Section 1.4(b) of the Agreement represent, in part, consideration for signing this General Release and are not salary, wages or benefits to which I was already entitled. I understand and agree that I will not receive the payments and benefits specified in Section 1.4(b) of the Agreement unless I execute this General Release and do not revoke this General Release within the time period permitted hereafter or breach this General Release.</w:t>
      </w:r>
    </w:p>
    <w:p>
      <w:pPr>
        <w:spacing w:after="0" w:line="186" w:lineRule="exact"/>
        <w:rPr>
          <w:rFonts w:ascii="Arial" w:cs="Arial" w:eastAsia="Arial" w:hAnsi="Arial"/>
          <w:sz w:val="18"/>
          <w:szCs w:val="18"/>
          <w:color w:val="auto"/>
        </w:rPr>
      </w:pPr>
    </w:p>
    <w:p>
      <w:pPr>
        <w:ind w:right="40" w:firstLine="8"/>
        <w:spacing w:after="0" w:line="284" w:lineRule="auto"/>
        <w:tabs>
          <w:tab w:leader="none" w:pos="63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knowingly and voluntarily release and forever discharge the Company and the other Released Parties from any and all claims,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Occupational Safety and Health Act of 1970, as amended, under the Worker Adjustment and Retraining Notification Act of 1988, as amended, under the Family and Medical Leave Act of 1993, as amended, under the Fair Credit Reporting Act of 1970, as amended, and under the Sarbanes-Oxley Act of 2002, under the Civil Rights Act of 1870, 42 U.S.C. § 1981, as amended, under the Civil Rights Act of 1871, as amended, under the Americans With Disabilities Act of 1990, as amended, under the Americans with Disabilities Act Amendments of 2008, under the Rehabilitation Act of 1973, as amended, under the Immigration Reform and Control Act of 1986, as amended, under the Vietnam Era Veterans Readjustment Assistance Act of 1974, as amended, under the Uniformed Service Employment and Reemployment Rights Act of 1994, as amended, under the Consolidated Omnibus Budget Reconciliation Act of 1985 (“COBRA”), and any and all claims under the New York State Human Rights Law, under the New York City Human Rights Law, and under the New York Labor Laws, and any and all claims under any other federal, state, or local labor law, civil rights law, fair employment practices law, human rights law, family and medical leave law, occupational safety and health law, whistleblower protection law, and equal pay law; or any and all claims of slander, libel, defamation, invasion of privacy, intentional or negligent infliction of emotional distress, intentional or negligent misrepresentation, fraud, prima facie torts or other tort; or any and all claims based on the design or administration of any of the Company’s employee benefit plan or program, or arising under any Company policy, practice, or procedure, or employee benefit plan; any and all claims for wages, commissions bonuses, vacation pay or other paid time off, employee benefits equity-based compensation, or other compensation or payments of any kind or nature, or for continued employment with the Company in any position; or under any other local, state, or federal law, regulation or ordinance; or under any public policy, contract or tort, or under common law; or any claim for wrongful discharge, breach of contract, or infliction of emotional distress; or any claim for costs, fees, or other expenses, including attorneys’ fees incurred in these matters) (all of the foregoing collectively referred to herein as the “Claims”); provided , however, that nothing contained in this General Release shall apply to, or release the Company from, (i) any obligation of the Company contained in the Agreement to be performed after the date hereof or (ii) any vested or accrued benefits pursuant to any employee benefit plan, program or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6" w:name="page127"/>
    <w:bookmarkEnd w:id="126"/>
    <w:p>
      <w:pPr>
        <w:ind w:left="640" w:hanging="632"/>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248" w:lineRule="exact"/>
        <w:rPr>
          <w:rFonts w:ascii="Arial" w:cs="Arial" w:eastAsia="Arial" w:hAnsi="Arial"/>
          <w:sz w:val="16"/>
          <w:szCs w:val="16"/>
          <w:color w:val="auto"/>
        </w:rPr>
      </w:pPr>
    </w:p>
    <w:p>
      <w:pPr>
        <w:ind w:right="100" w:firstLine="8"/>
        <w:spacing w:after="0" w:line="259" w:lineRule="auto"/>
        <w:tabs>
          <w:tab w:leader="none" w:pos="6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86" w:lineRule="exact"/>
        <w:rPr>
          <w:rFonts w:ascii="Arial" w:cs="Arial" w:eastAsia="Arial" w:hAnsi="Arial"/>
          <w:sz w:val="18"/>
          <w:szCs w:val="18"/>
          <w:color w:val="auto"/>
        </w:rPr>
      </w:pPr>
    </w:p>
    <w:p>
      <w:pPr>
        <w:ind w:right="100" w:firstLine="8"/>
        <w:spacing w:after="0" w:line="288" w:lineRule="auto"/>
        <w:tabs>
          <w:tab w:leader="none" w:pos="63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Persons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169" w:lineRule="exact"/>
        <w:rPr>
          <w:rFonts w:ascii="Arial" w:cs="Arial" w:eastAsia="Arial" w:hAnsi="Arial"/>
          <w:sz w:val="16"/>
          <w:szCs w:val="16"/>
          <w:color w:val="auto"/>
        </w:rPr>
      </w:pPr>
    </w:p>
    <w:p>
      <w:pPr>
        <w:ind w:right="60" w:firstLine="8"/>
        <w:spacing w:after="0" w:line="277" w:lineRule="auto"/>
        <w:tabs>
          <w:tab w:leader="none" w:pos="6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70" w:lineRule="exact"/>
        <w:rPr>
          <w:rFonts w:ascii="Arial" w:cs="Arial" w:eastAsia="Arial" w:hAnsi="Arial"/>
          <w:sz w:val="18"/>
          <w:szCs w:val="18"/>
          <w:color w:val="auto"/>
        </w:rPr>
      </w:pPr>
    </w:p>
    <w:p>
      <w:pPr>
        <w:ind w:right="100" w:firstLine="8"/>
        <w:spacing w:after="0" w:line="264" w:lineRule="auto"/>
        <w:tabs>
          <w:tab w:leader="none" w:pos="63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81" w:lineRule="exact"/>
        <w:rPr>
          <w:rFonts w:ascii="Arial" w:cs="Arial" w:eastAsia="Arial" w:hAnsi="Arial"/>
          <w:sz w:val="18"/>
          <w:szCs w:val="18"/>
          <w:color w:val="auto"/>
        </w:rPr>
      </w:pPr>
    </w:p>
    <w:p>
      <w:pPr>
        <w:ind w:right="20" w:firstLine="8"/>
        <w:spacing w:after="0" w:line="264" w:lineRule="auto"/>
        <w:tabs>
          <w:tab w:leader="none" w:pos="6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the National Association of Securities Dealers, Inc. or any other self-regulatory organization or governmental entity.</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Without limitation of any provision of the Agreement, I hereby expressly re-affirm my obligations under Sections1.5,1.6, 1.7, 1.8, 1.9, 1.10 and 3.1.</w:t>
      </w:r>
    </w:p>
    <w:p>
      <w:pPr>
        <w:spacing w:after="0" w:line="248" w:lineRule="exact"/>
        <w:rPr>
          <w:rFonts w:ascii="Arial" w:cs="Arial" w:eastAsia="Arial" w:hAnsi="Arial"/>
          <w:sz w:val="16"/>
          <w:szCs w:val="16"/>
          <w:color w:val="auto"/>
        </w:rPr>
      </w:pPr>
    </w:p>
    <w:p>
      <w:pPr>
        <w:jc w:val="both"/>
        <w:ind w:firstLine="8"/>
        <w:spacing w:after="0" w:line="279" w:lineRule="auto"/>
        <w:tabs>
          <w:tab w:leader="none" w:pos="71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“Affiliate” means, with respect to any Person, any Person that controls, is controlled by or is under common control with such Person or an Affiliate of such Person.</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“Person”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7" w:name="page128"/>
    <w:bookmarkEnd w:id="127"/>
    <w:p>
      <w:pPr>
        <w:spacing w:after="0" w:line="270" w:lineRule="auto"/>
        <w:rPr>
          <w:sz w:val="20"/>
          <w:szCs w:val="20"/>
          <w:color w:val="auto"/>
        </w:rPr>
      </w:pPr>
      <w:r>
        <w:rPr>
          <w:rFonts w:ascii="Arial" w:cs="Arial" w:eastAsia="Arial" w:hAnsi="Arial"/>
          <w:sz w:val="17"/>
          <w:szCs w:val="17"/>
          <w:color w:val="auto"/>
        </w:rPr>
        <w:t>“Subsidiary”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225" w:lineRule="exact"/>
        <w:rPr>
          <w:sz w:val="20"/>
          <w:szCs w:val="20"/>
          <w:color w:val="auto"/>
        </w:rPr>
      </w:pPr>
    </w:p>
    <w:p>
      <w:pPr>
        <w:ind w:left="700" w:hanging="692"/>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25" w:lineRule="exact"/>
        <w:rPr>
          <w:rFonts w:ascii="Arial" w:cs="Arial" w:eastAsia="Arial" w:hAnsi="Arial"/>
          <w:sz w:val="18"/>
          <w:szCs w:val="18"/>
          <w:color w:val="auto"/>
        </w:rPr>
      </w:pPr>
    </w:p>
    <w:p>
      <w:pPr>
        <w:ind w:right="20" w:firstLine="8"/>
        <w:spacing w:after="0" w:line="259"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86" w:lineRule="exact"/>
        <w:rPr>
          <w:rFonts w:ascii="Arial" w:cs="Arial" w:eastAsia="Arial" w:hAnsi="Arial"/>
          <w:sz w:val="18"/>
          <w:szCs w:val="18"/>
          <w:color w:val="auto"/>
        </w:rPr>
      </w:pPr>
    </w:p>
    <w:p>
      <w:pPr>
        <w:ind w:left="700" w:hanging="692"/>
        <w:spacing w:after="0"/>
        <w:tabs>
          <w:tab w:leader="none" w:pos="7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225" w:lineRule="exact"/>
        <w:rPr>
          <w:rFonts w:ascii="Arial" w:cs="Arial" w:eastAsia="Arial" w:hAnsi="Arial"/>
          <w:sz w:val="18"/>
          <w:szCs w:val="18"/>
          <w:color w:val="auto"/>
        </w:rPr>
      </w:pPr>
    </w:p>
    <w:p>
      <w:pPr>
        <w:ind w:right="20" w:firstLine="8"/>
        <w:spacing w:after="0" w:line="308" w:lineRule="auto"/>
        <w:tabs>
          <w:tab w:leader="none" w:pos="70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HAVE BEEN ADVISED TO CONSULT WITH AN ATTORNEY (VIA THE AGREEMENT AND THIS RELEASE) BEFORE EXECUTING IT AND I HAVE DONE SO OR, AFTER CAREFUL READING AND CONSIDERATION, I HAVE CHOSEN NOT TO DO SO OF MY OWN VOLITION;</w:t>
      </w:r>
    </w:p>
    <w:p>
      <w:pPr>
        <w:spacing w:after="0" w:line="146" w:lineRule="exact"/>
        <w:rPr>
          <w:rFonts w:ascii="Arial" w:cs="Arial" w:eastAsia="Arial" w:hAnsi="Arial"/>
          <w:sz w:val="17"/>
          <w:szCs w:val="17"/>
          <w:color w:val="auto"/>
        </w:rPr>
      </w:pPr>
    </w:p>
    <w:p>
      <w:pPr>
        <w:ind w:left="700" w:hanging="692"/>
        <w:spacing w:after="0"/>
        <w:tabs>
          <w:tab w:leader="none" w:pos="70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 HAVE HAD AT LEAST 21 DAYS FROM THE DATE OF MY RECEIPT OF THIS RELEASE SUBSTANTIALLY IN ITS FINAL FORM ON</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_______________ __, _____ TO CONSIDER IT AND THE CHANGES MADE SINCE THE _______________ __, _____ VERSION OF THIS RELEASE ARE NOT MATERIAL AND WILL NOT RESTART THE REQUIRED 21-DAY PERIOD;</w:t>
      </w:r>
    </w:p>
    <w:p>
      <w:pPr>
        <w:spacing w:after="0" w:line="183" w:lineRule="exact"/>
        <w:rPr>
          <w:rFonts w:ascii="Arial" w:cs="Arial" w:eastAsia="Arial" w:hAnsi="Arial"/>
          <w:sz w:val="17"/>
          <w:szCs w:val="17"/>
          <w:color w:val="auto"/>
        </w:rPr>
      </w:pPr>
    </w:p>
    <w:p>
      <w:pPr>
        <w:ind w:right="340" w:firstLine="8"/>
        <w:spacing w:after="0" w:line="277" w:lineRule="auto"/>
        <w:tabs>
          <w:tab w:leader="none" w:pos="67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CHANGES TO THE AGREEMENT SINCE _______________ ___, _____ EITHER ARE NOT MATERIAL OR WERE MADE AT MY REQUEST.</w:t>
      </w:r>
    </w:p>
    <w:p>
      <w:pPr>
        <w:spacing w:after="0" w:line="170" w:lineRule="exact"/>
        <w:rPr>
          <w:rFonts w:ascii="Arial" w:cs="Arial" w:eastAsia="Arial" w:hAnsi="Arial"/>
          <w:sz w:val="18"/>
          <w:szCs w:val="18"/>
          <w:color w:val="auto"/>
        </w:rPr>
      </w:pPr>
    </w:p>
    <w:p>
      <w:pPr>
        <w:ind w:right="800" w:firstLine="8"/>
        <w:spacing w:after="0" w:line="264" w:lineRule="auto"/>
        <w:tabs>
          <w:tab w:leader="none" w:pos="7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RELEASE TO REVOKE IT AND THAT THIS RELEASE SHALL NOT BECOME EFFECTIVE OR ENFORCEABLE UNTIL THE EIGHTH DAY FOLLOWING EXECUTION OF THE AGREEMENT;</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ACKNOWLEDGE THAT MY acceptance of any of the monies paid by the COMPANY as described in sections __ of the employment</w:t>
      </w:r>
    </w:p>
    <w:p>
      <w:pPr>
        <w:spacing w:after="0" w:line="23" w:lineRule="exact"/>
        <w:rPr>
          <w:rFonts w:ascii="Arial" w:cs="Arial" w:eastAsia="Arial" w:hAnsi="Arial"/>
          <w:sz w:val="18"/>
          <w:szCs w:val="18"/>
          <w:color w:val="auto"/>
        </w:rPr>
      </w:pPr>
    </w:p>
    <w:p>
      <w:pPr>
        <w:ind w:right="120"/>
        <w:spacing w:after="0" w:line="323" w:lineRule="auto"/>
        <w:rPr>
          <w:rFonts w:ascii="Arial" w:cs="Arial" w:eastAsia="Arial" w:hAnsi="Arial"/>
          <w:sz w:val="18"/>
          <w:szCs w:val="18"/>
          <w:color w:val="auto"/>
        </w:rPr>
      </w:pPr>
      <w:r>
        <w:rPr>
          <w:rFonts w:ascii="Arial" w:cs="Arial" w:eastAsia="Arial" w:hAnsi="Arial"/>
          <w:sz w:val="16"/>
          <w:szCs w:val="16"/>
          <w:color w:val="auto"/>
        </w:rPr>
        <w:t>Agreement, at any time more than seven days after the execution of this Agreement will constitute an admission by ME that I did not revoke this Agreement during the revocation period of seven days; and will further constitute an admission by ME that this Agreement has become effective and enforceable.</w:t>
      </w:r>
    </w:p>
    <w:p>
      <w:pPr>
        <w:spacing w:after="0" w:line="138" w:lineRule="exact"/>
        <w:rPr>
          <w:rFonts w:ascii="Arial" w:cs="Arial" w:eastAsia="Arial" w:hAnsi="Arial"/>
          <w:sz w:val="18"/>
          <w:szCs w:val="18"/>
          <w:color w:val="auto"/>
        </w:rPr>
      </w:pPr>
    </w:p>
    <w:p>
      <w:pPr>
        <w:ind w:right="80" w:firstLine="656"/>
        <w:spacing w:after="0" w:line="277" w:lineRule="auto"/>
        <w:tabs>
          <w:tab w:leader="none" w:pos="131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28" w:name="page129"/>
    <w:bookmarkEnd w:id="128"/>
    <w:p>
      <w:pPr>
        <w:ind w:right="540" w:firstLine="8"/>
        <w:spacing w:after="0" w:line="308" w:lineRule="auto"/>
        <w:tabs>
          <w:tab w:leader="none" w:pos="66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__, ______</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Giuseppe Falco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first written above: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Pr>
          <w:p>
            <w:pPr>
              <w:spacing w:after="0"/>
              <w:rPr>
                <w:sz w:val="18"/>
                <w:szCs w:val="18"/>
                <w:color w:val="auto"/>
              </w:rPr>
            </w:pPr>
          </w:p>
        </w:tc>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Robert W. D’Loren</w:t>
            </w:r>
          </w:p>
        </w:tc>
        <w:tc>
          <w:tcPr>
            <w:tcW w:w="5700" w:type="dxa"/>
            <w:vAlign w:val="bottom"/>
          </w:tcPr>
          <w:p>
            <w:pPr>
              <w:spacing w:after="0"/>
              <w:rPr>
                <w:sz w:val="18"/>
                <w:szCs w:val="18"/>
                <w:color w:val="auto"/>
              </w:rPr>
            </w:pPr>
          </w:p>
        </w:tc>
      </w:t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60"/>
              <w:spacing w:after="0"/>
              <w:rPr>
                <w:sz w:val="20"/>
                <w:szCs w:val="20"/>
                <w:color w:val="auto"/>
              </w:rPr>
            </w:pPr>
            <w:r>
              <w:rPr>
                <w:rFonts w:ascii="Arial" w:cs="Arial" w:eastAsia="Arial" w:hAnsi="Arial"/>
                <w:sz w:val="18"/>
                <w:szCs w:val="18"/>
                <w:color w:val="auto"/>
              </w:rPr>
              <w:t>Chairman &amp; CEO</w:t>
            </w:r>
          </w:p>
        </w:tc>
        <w:tc>
          <w:tcPr>
            <w:tcW w:w="5700" w:type="dxa"/>
            <w:vAlign w:val="bottom"/>
          </w:tcPr>
          <w:p>
            <w:pPr>
              <w:spacing w:after="0"/>
              <w:rPr>
                <w:sz w:val="20"/>
                <w:szCs w:val="20"/>
                <w:color w:val="auto"/>
              </w:rPr>
            </w:pPr>
          </w:p>
        </w:tc>
      </w:tr>
      <w:tr>
        <w:trPr>
          <w:trHeight w:val="648"/>
        </w:trPr>
        <w:tc>
          <w:tcPr>
            <w:tcW w:w="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9"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THIS AMENDED AND RESTATED EMPLOYMENT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made as of February __, 2012 by and between XCel Brands,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James F. Haran (the “</w:t>
      </w:r>
      <w:r>
        <w:rPr>
          <w:rFonts w:ascii="Arial" w:cs="Arial" w:eastAsia="Arial" w:hAnsi="Arial"/>
          <w:sz w:val="18"/>
          <w:szCs w:val="18"/>
          <w:i w:val="1"/>
          <w:iCs w:val="1"/>
          <w:color w:val="auto"/>
        </w:rPr>
        <w:t>Executive</w:t>
      </w:r>
      <w:r>
        <w:rPr>
          <w:rFonts w:ascii="Arial" w:cs="Arial" w:eastAsia="Arial" w:hAnsi="Arial"/>
          <w:sz w:val="18"/>
          <w:szCs w:val="18"/>
          <w:color w:val="auto"/>
        </w:rPr>
        <w:t>”), each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i w:val="1"/>
          <w:iCs w:val="1"/>
          <w:color w:val="auto"/>
        </w:rPr>
        <w:t>Parties</w:t>
      </w:r>
      <w:r>
        <w:rPr>
          <w:rFonts w:ascii="Arial" w:cs="Arial" w:eastAsia="Arial" w:hAnsi="Arial"/>
          <w:sz w:val="18"/>
          <w:szCs w:val="18"/>
          <w:color w:val="auto"/>
        </w:rPr>
        <w:t>.” This Agreement amends and restates that certain employment agreement dated as of September 22, 2011, by and between the Company and the Executive. Unless otherwise indicated, capitalized terms used herein are defined in Section 2.1 of this Agreement.</w:t>
      </w:r>
    </w:p>
    <w:p>
      <w:pPr>
        <w:spacing w:after="0" w:line="18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WHEREAS, the Company has determined that it is in the best interests of the Company and its shareholders to enter into an employment agreement with the Executive and the Executive is willing to serve as an employee of the Company.</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NOW, THEREFORE, in consideration of the mutual covenants and agreements set forth herein, it is agreed by and between the Executive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TERMS</w:t>
      </w:r>
    </w:p>
    <w:p>
      <w:pPr>
        <w:spacing w:after="0" w:line="21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1.1 Employment. The Company will employ the Executive, and the Executive accepts employment with the Company, upon the terms and conditions set forth in this Agreement for the period beginning on the Effective Date and ending as provided in Section 1.4(a) hereof (the “</w:t>
      </w:r>
      <w:r>
        <w:rPr>
          <w:rFonts w:ascii="Arial" w:cs="Arial" w:eastAsia="Arial" w:hAnsi="Arial"/>
          <w:sz w:val="18"/>
          <w:szCs w:val="18"/>
          <w:i w:val="1"/>
          <w:iCs w:val="1"/>
          <w:color w:val="auto"/>
        </w:rPr>
        <w:t>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Period</w:t>
      </w:r>
      <w:r>
        <w:rPr>
          <w:rFonts w:ascii="Arial" w:cs="Arial" w:eastAsia="Arial" w:hAnsi="Arial"/>
          <w:sz w:val="18"/>
          <w:szCs w:val="18"/>
          <w:color w:val="auto"/>
        </w:rPr>
        <w:t>”).</w:t>
      </w:r>
    </w:p>
    <w:p>
      <w:pPr>
        <w:spacing w:after="0" w:line="181"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Position and Duties.</w:t>
      </w:r>
    </w:p>
    <w:p>
      <w:pPr>
        <w:spacing w:after="0" w:line="225" w:lineRule="exact"/>
        <w:rPr>
          <w:sz w:val="20"/>
          <w:szCs w:val="20"/>
          <w:color w:val="auto"/>
        </w:rPr>
      </w:pPr>
    </w:p>
    <w:p>
      <w:pPr>
        <w:jc w:val="both"/>
        <w:ind w:firstLine="721"/>
        <w:spacing w:after="0" w:line="276" w:lineRule="auto"/>
        <w:tabs>
          <w:tab w:leader="none" w:pos="144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Generally. The Executive shall serve as the Chief Financial Officer, of the Company and, in such capacity shall be responsible for the general management of the financial affairs of the Company, shall perform such duties as are customarily performed by an officer with similar title and responsibilities of a company of a similar size and shall have such power and authority as shall reasonably be required to enable him to perform his duties hereunder; provided, however, that in exercising such power and authority and performing such duties, he shall at all times be subject to the authority, control and direction of the Board of Directors and the Chief Executive Officer of the Company.</w:t>
      </w:r>
    </w:p>
    <w:p>
      <w:pPr>
        <w:spacing w:after="0" w:line="172" w:lineRule="exact"/>
        <w:rPr>
          <w:rFonts w:ascii="Arial" w:cs="Arial" w:eastAsia="Arial" w:hAnsi="Arial"/>
          <w:sz w:val="17"/>
          <w:szCs w:val="17"/>
          <w:color w:val="auto"/>
        </w:rPr>
      </w:pPr>
    </w:p>
    <w:p>
      <w:pPr>
        <w:jc w:val="both"/>
        <w:ind w:firstLine="721"/>
        <w:spacing w:after="0" w:line="293" w:lineRule="auto"/>
        <w:tabs>
          <w:tab w:leader="none" w:pos="139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Duties and Responsibilities. The Executive shall report to the Chief Executive Officer of the Company and shall devote his full business time and attention to the business and affairs of the Company and its Subsidiaries. The Executive shall perform his duties and responsibilities in a diligent, trustworthy, businesslike and efficient manner and shall use his best efforts during the Employment Period to protect, encourage and promote the best interests of the Company and its stockholders. The Executive shall not engage in any other business activities that could reasonably be expected to conflict with the Executive’s duties, responsibilities and obligations hereunder. During the Employment Period, the Executive shall promptly bring to the Company or its Subsidiaries, as applicable, all investment or business opportunities relating to the Business of which the Executive becomes aware.</w:t>
      </w:r>
    </w:p>
    <w:p>
      <w:pPr>
        <w:spacing w:after="0" w:line="164" w:lineRule="exact"/>
        <w:rPr>
          <w:rFonts w:ascii="Arial" w:cs="Arial" w:eastAsia="Arial" w:hAnsi="Arial"/>
          <w:sz w:val="16"/>
          <w:szCs w:val="16"/>
          <w:color w:val="auto"/>
        </w:rPr>
      </w:pPr>
    </w:p>
    <w:p>
      <w:pPr>
        <w:jc w:val="both"/>
        <w:ind w:firstLine="721"/>
        <w:spacing w:after="0" w:line="264" w:lineRule="auto"/>
        <w:tabs>
          <w:tab w:leader="none" w:pos="137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Principal Office. The principal place of performance by the Executive of his duties hereunder shall be the Company’s principal executive offices in the New York Metropolitan area, although the Executive may be required from time to time to travel outside of the area where the Company’s principal executive offices are located in connection with the business of the Company.</w:t>
      </w:r>
    </w:p>
    <w:p>
      <w:pPr>
        <w:spacing w:after="0" w:line="181"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Compensation.</w:t>
      </w:r>
    </w:p>
    <w:p>
      <w:pPr>
        <w:spacing w:after="0" w:line="225" w:lineRule="exact"/>
        <w:rPr>
          <w:sz w:val="20"/>
          <w:szCs w:val="20"/>
          <w:color w:val="auto"/>
        </w:rPr>
      </w:pPr>
    </w:p>
    <w:p>
      <w:pPr>
        <w:jc w:val="both"/>
        <w:ind w:firstLine="721"/>
        <w:spacing w:after="0" w:line="291" w:lineRule="auto"/>
        <w:tabs>
          <w:tab w:leader="none" w:pos="150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 Salary. The Executive’s base salary shall be (i) $225,000.00 per annum (the “</w:t>
      </w:r>
      <w:r>
        <w:rPr>
          <w:rFonts w:ascii="Arial" w:cs="Arial" w:eastAsia="Arial" w:hAnsi="Arial"/>
          <w:sz w:val="16"/>
          <w:szCs w:val="16"/>
          <w:i w:val="1"/>
          <w:iCs w:val="1"/>
          <w:color w:val="auto"/>
        </w:rPr>
        <w:t>First Year Base Salary</w:t>
      </w:r>
      <w:r>
        <w:rPr>
          <w:rFonts w:ascii="Arial" w:cs="Arial" w:eastAsia="Arial" w:hAnsi="Arial"/>
          <w:sz w:val="16"/>
          <w:szCs w:val="16"/>
          <w:color w:val="auto"/>
        </w:rPr>
        <w:t>”) for the one year period commencing on the Effective Date and ending on the first anniversary of the Effective Date (the “</w:t>
      </w:r>
      <w:r>
        <w:rPr>
          <w:rFonts w:ascii="Arial" w:cs="Arial" w:eastAsia="Arial" w:hAnsi="Arial"/>
          <w:sz w:val="16"/>
          <w:szCs w:val="16"/>
          <w:i w:val="1"/>
          <w:iCs w:val="1"/>
          <w:color w:val="auto"/>
        </w:rPr>
        <w:t>First Year</w:t>
      </w:r>
      <w:r>
        <w:rPr>
          <w:rFonts w:ascii="Arial" w:cs="Arial" w:eastAsia="Arial" w:hAnsi="Arial"/>
          <w:sz w:val="16"/>
          <w:szCs w:val="16"/>
          <w:color w:val="auto"/>
        </w:rPr>
        <w:t>”) and (ii) $250,000 per annum (the “</w:t>
      </w:r>
      <w:r>
        <w:rPr>
          <w:rFonts w:ascii="Arial" w:cs="Arial" w:eastAsia="Arial" w:hAnsi="Arial"/>
          <w:sz w:val="16"/>
          <w:szCs w:val="16"/>
          <w:i w:val="1"/>
          <w:iCs w:val="1"/>
          <w:color w:val="auto"/>
        </w:rPr>
        <w:t>Second Year</w:t>
      </w:r>
      <w:r>
        <w:rPr>
          <w:rFonts w:ascii="Arial" w:cs="Arial" w:eastAsia="Arial" w:hAnsi="Arial"/>
          <w:sz w:val="16"/>
          <w:szCs w:val="16"/>
          <w:color w:val="auto"/>
        </w:rPr>
        <w:t xml:space="preserve"> </w:t>
      </w:r>
      <w:r>
        <w:rPr>
          <w:rFonts w:ascii="Arial" w:cs="Arial" w:eastAsia="Arial" w:hAnsi="Arial"/>
          <w:sz w:val="16"/>
          <w:szCs w:val="16"/>
          <w:i w:val="1"/>
          <w:iCs w:val="1"/>
          <w:color w:val="auto"/>
        </w:rPr>
        <w:t>Base Salary</w:t>
      </w:r>
      <w:r>
        <w:rPr>
          <w:rFonts w:ascii="Arial" w:cs="Arial" w:eastAsia="Arial" w:hAnsi="Arial"/>
          <w:sz w:val="16"/>
          <w:szCs w:val="16"/>
          <w:color w:val="auto"/>
        </w:rPr>
        <w:t>”) for the one year period commending on the first anniversary of the Effective Date and ending on the second anniversary of the Effective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 “</w:t>
      </w:r>
      <w:r>
        <w:rPr>
          <w:rFonts w:ascii="Arial" w:cs="Arial" w:eastAsia="Arial" w:hAnsi="Arial"/>
          <w:sz w:val="16"/>
          <w:szCs w:val="16"/>
          <w:i w:val="1"/>
          <w:iCs w:val="1"/>
          <w:color w:val="auto"/>
        </w:rPr>
        <w:t>Second Year</w:t>
      </w:r>
      <w:r>
        <w:rPr>
          <w:rFonts w:ascii="Arial" w:cs="Arial" w:eastAsia="Arial" w:hAnsi="Arial"/>
          <w:sz w:val="16"/>
          <w:szCs w:val="16"/>
          <w:color w:val="auto"/>
        </w:rPr>
        <w:t>”). ”</w:t>
      </w:r>
      <w:r>
        <w:rPr>
          <w:rFonts w:ascii="Arial" w:cs="Arial" w:eastAsia="Arial" w:hAnsi="Arial"/>
          <w:sz w:val="16"/>
          <w:szCs w:val="16"/>
          <w:i w:val="1"/>
          <w:iCs w:val="1"/>
          <w:color w:val="auto"/>
        </w:rPr>
        <w:t>Base Salary</w:t>
      </w:r>
      <w:r>
        <w:rPr>
          <w:rFonts w:ascii="Arial" w:cs="Arial" w:eastAsia="Arial" w:hAnsi="Arial"/>
          <w:sz w:val="16"/>
          <w:szCs w:val="16"/>
          <w:color w:val="auto"/>
        </w:rPr>
        <w:t>” means the First Year Base Salary or the Second Year Base Salary, whichever is in effect at the time of the determination. The Base Salary will be payable to the Executive by the Company in regular installments in accordance with the Company’s general payroll practices. The Executive shall receive such increases (but not decreases) in his Base Salary as the Board of Directors, or the compensation committee of the Board of Directors, may approve in its sole discretion from time to time. Following the initial two years, the Base Salary shall be reviewed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0" w:name="page131"/>
    <w:bookmarkEnd w:id="130"/>
    <w:p>
      <w:pPr>
        <w:jc w:val="both"/>
        <w:ind w:firstLine="721"/>
        <w:spacing w:after="0" w:line="288" w:lineRule="auto"/>
        <w:tabs>
          <w:tab w:leader="none" w:pos="1332" w:val="left"/>
        </w:tabs>
        <w:numPr>
          <w:ilvl w:val="0"/>
          <w:numId w:val="112"/>
        </w:numPr>
        <w:rPr>
          <w:rFonts w:ascii="Arial" w:cs="Arial" w:eastAsia="Arial" w:hAnsi="Arial"/>
          <w:sz w:val="16"/>
          <w:szCs w:val="16"/>
          <w:color w:val="auto"/>
        </w:rPr>
      </w:pPr>
      <w:r>
        <w:rPr>
          <w:rFonts w:ascii="Arial" w:cs="Arial" w:eastAsia="Arial" w:hAnsi="Arial"/>
          <w:sz w:val="16"/>
          <w:szCs w:val="16"/>
          <w:color w:val="auto"/>
        </w:rPr>
        <w:t>Cash Bonus. Executive shall be eligible for a cash bonus of up to $50,000 per annum (the “Cash Bonus”) based upon the following: 50% of the $50,000 Cash Bonus for a fiscal year shall be paid to the Executive if the Company achieves at least 70% of its budgeted Adjusted EBITDA (as defined below) for such fiscal year and 100% of the $50,000 Cash Bonus for a fiscal year shall be paid to the Executive if the Company achieves at least 90% of its</w:t>
      </w:r>
    </w:p>
    <w:p>
      <w:pPr>
        <w:jc w:val="both"/>
        <w:spacing w:after="0" w:line="267" w:lineRule="auto"/>
        <w:rPr>
          <w:sz w:val="20"/>
          <w:szCs w:val="20"/>
          <w:color w:val="auto"/>
        </w:rPr>
      </w:pPr>
      <w:r>
        <w:rPr>
          <w:rFonts w:ascii="Arial" w:cs="Arial" w:eastAsia="Arial" w:hAnsi="Arial"/>
          <w:sz w:val="16"/>
          <w:szCs w:val="16"/>
          <w:color w:val="auto"/>
        </w:rPr>
        <w:t>budgeted Adjusted EBITDA for such fiscal year. The Cash Bonus shall be awarded to the Executive on the date that is the earlier of (i)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end of the fiscal year to which the Cash Bonus relates and (ii) the first business day following the date the Company’s annual report on Form 10-K for the fiscal year to which the Cash Bonus relates is filed with the Securities and Exchange Commission. Notwithstanding the foregoing, all payments of Cash Bonuses shall be made on a date that allows such payments to comply with the requirements of Section 409A of the Code. Executive shall be eligible to receive a pro rata portion of the Cash Bonus if Executive’s employment is less than a full year or ceases prior to the end of the calendar year for which a Cash Bonus has not yet been paid. The Executive is eligible to receive additional cash bonuses at the discretion of the Company’s compensation committee.</w:t>
      </w:r>
    </w:p>
    <w:p>
      <w:pPr>
        <w:spacing w:after="0" w:line="183" w:lineRule="exact"/>
        <w:rPr>
          <w:sz w:val="20"/>
          <w:szCs w:val="20"/>
          <w:color w:val="auto"/>
        </w:rPr>
      </w:pPr>
    </w:p>
    <w:p>
      <w:pPr>
        <w:jc w:val="both"/>
        <w:ind w:firstLine="713"/>
        <w:spacing w:after="0" w:line="289" w:lineRule="auto"/>
        <w:rPr>
          <w:sz w:val="20"/>
          <w:szCs w:val="20"/>
          <w:color w:val="auto"/>
        </w:rPr>
      </w:pPr>
      <w:r>
        <w:rPr>
          <w:rFonts w:ascii="Arial" w:cs="Arial" w:eastAsia="Arial" w:hAnsi="Arial"/>
          <w:sz w:val="16"/>
          <w:szCs w:val="16"/>
          <w:color w:val="auto"/>
        </w:rPr>
        <w:t>“Adjusted EBITDA” shall mean for any period, for the Company and its subsidiaries on a consolidated basis (without duplication), an amount equal to (a) consolidated net income (as determined in accordance with generally accepted accounting principles of the United States of America as in effect from time to time) (“Consolidated Net Income”) for such period, minus, (b) to the extent included in calculating Consolidated Net Income, the sum of, without duplication, (i) income tax credits for such period, and (ii) gain from extraordinary or non-recurring items for such period (including, without limitation, non-cash items related to purchase accounting), plus (c) the following to the extent deducted in calculating such Consolidated Net Income, (i) interest expense and other finance costs (whether cash or non-cash) for such period (ii) the provision for federal, state, local and foreign income taxes for such period, (iii) the amount of depreciation and amortization expense for such period, (iv) the transaction fees, costs and expenses incurred in connection with the acquisition of Isaac Mizrahi and any other subsequent brand acquisition in such period, (v) all other extraordinary or non-recurring non-cash charges (including, without limitation, non-cash items related to purchase accounting), and (vi) non-cash stock or equity compensation in such period.</w:t>
      </w:r>
    </w:p>
    <w:p>
      <w:pPr>
        <w:spacing w:after="0" w:line="167" w:lineRule="exact"/>
        <w:rPr>
          <w:sz w:val="20"/>
          <w:szCs w:val="20"/>
          <w:color w:val="auto"/>
        </w:rPr>
      </w:pPr>
    </w:p>
    <w:p>
      <w:pPr>
        <w:ind w:firstLine="721"/>
        <w:spacing w:after="0" w:line="277" w:lineRule="auto"/>
        <w:tabs>
          <w:tab w:leader="none" w:pos="133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Withholding. All payments made under this Agreement (including Base Salary, Cash Bonus payments, and other amounts) shall be subject to withholding for income taxes, payroll taxes and other legally required deductions.</w:t>
      </w:r>
    </w:p>
    <w:p>
      <w:pPr>
        <w:spacing w:after="0" w:line="170" w:lineRule="exact"/>
        <w:rPr>
          <w:rFonts w:ascii="Arial" w:cs="Arial" w:eastAsia="Arial" w:hAnsi="Arial"/>
          <w:sz w:val="18"/>
          <w:szCs w:val="18"/>
          <w:color w:val="auto"/>
        </w:rPr>
      </w:pPr>
    </w:p>
    <w:p>
      <w:pPr>
        <w:jc w:val="both"/>
        <w:ind w:firstLine="721"/>
        <w:spacing w:after="0" w:line="291" w:lineRule="auto"/>
        <w:tabs>
          <w:tab w:leader="none" w:pos="13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Expenses. The Company will reimburse the Executive for all reasonable expenses incurred by him in the course of performing his duties under this Agreement that are consistent with the Company’s policies in effect at that time with respect to travel, entertainment and other business expenses, subject to the Company’s requirements with respect to reporting and documentation of such expenses. All expense reimbursement payments for documented expenses shall be made in accordance with the Company expense reimbursement policy; provided, however, that payments pursuant to this Section 1.3(d) shall be made within thirty (30) days after the date that the Executive notifies the Company of such expense; provided further that the Executive shall notify the Company of such expenses no later than six (6) months after the end of the calendar year in which such expenses were incurred. Notwithstanding the foregoing, the Company shall pay to the Executive $1,500 per month as reimbursement for automobile-related expenses.</w:t>
      </w:r>
    </w:p>
    <w:p>
      <w:pPr>
        <w:spacing w:after="0" w:line="167" w:lineRule="exact"/>
        <w:rPr>
          <w:rFonts w:ascii="Arial" w:cs="Arial" w:eastAsia="Arial" w:hAnsi="Arial"/>
          <w:sz w:val="16"/>
          <w:szCs w:val="16"/>
          <w:color w:val="auto"/>
        </w:rPr>
      </w:pPr>
    </w:p>
    <w:p>
      <w:pPr>
        <w:jc w:val="both"/>
        <w:ind w:firstLine="721"/>
        <w:spacing w:after="0" w:line="264" w:lineRule="auto"/>
        <w:tabs>
          <w:tab w:leader="none" w:pos="133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Vacation; Holiday Pay and Sick Leave. The Executive shall be entitled to four (4) weeks’ paid vacation in each calendar year, which if not taken during any year may be carried forward to any subsequent year. Executive shall receive holiday pay and paid sick leave as provided to other executive employees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1" w:name="page132"/>
    <w:bookmarkEnd w:id="131"/>
    <w:p>
      <w:pPr>
        <w:jc w:val="both"/>
        <w:ind w:firstLine="721"/>
        <w:spacing w:after="0" w:line="255" w:lineRule="auto"/>
        <w:tabs>
          <w:tab w:leader="none" w:pos="150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Additional Benefits. During the Employment Period, the Executive shall be entitled to participate (for himself and, as applicable, his dependents) in the group medical, life, 401(k) and other insurance programs, employee benefit plans and perquisites which may be adopted by the Board, or the compensation committee of the Board, from time to time, for participation by the Company’s senior management or executives, as well as dental, life and disability insurance coverage, with payment of, or reimbursement for, such insurance premiums by the Company, subject to, in all cases, the terms and conditions established by the Board with respect to such plans (collectively, the “</w:t>
      </w:r>
      <w:r>
        <w:rPr>
          <w:rFonts w:ascii="Arial" w:cs="Arial" w:eastAsia="Arial" w:hAnsi="Arial"/>
          <w:sz w:val="18"/>
          <w:szCs w:val="18"/>
          <w:i w:val="1"/>
          <w:iCs w:val="1"/>
          <w:color w:val="auto"/>
        </w:rPr>
        <w:t>Benefits</w:t>
      </w:r>
      <w:r>
        <w:rPr>
          <w:rFonts w:ascii="Arial" w:cs="Arial" w:eastAsia="Arial" w:hAnsi="Arial"/>
          <w:sz w:val="18"/>
          <w:szCs w:val="18"/>
          <w:color w:val="auto"/>
        </w:rPr>
        <w:t>”); provided, however, that the Board, in its reasonable discretion, may revise the terms of any Benefits so long as such revision does not have a disproportionately negative impact on the Executive vis-à-vis other Company employees, to the extent applicable.</w:t>
      </w:r>
    </w:p>
    <w:p>
      <w:pPr>
        <w:spacing w:after="0" w:line="189" w:lineRule="exact"/>
        <w:rPr>
          <w:rFonts w:ascii="Arial" w:cs="Arial" w:eastAsia="Arial" w:hAnsi="Arial"/>
          <w:sz w:val="18"/>
          <w:szCs w:val="18"/>
          <w:color w:val="auto"/>
        </w:rPr>
      </w:pPr>
    </w:p>
    <w:p>
      <w:pPr>
        <w:jc w:val="both"/>
        <w:ind w:firstLine="721"/>
        <w:spacing w:after="0" w:line="259" w:lineRule="auto"/>
        <w:tabs>
          <w:tab w:leader="none" w:pos="138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Indemnification. The Executive shall be entitled to indemnification by the Company in the same circumstances and to the same extent as the other executive officers and directors of the Company, which indemnification shall in no event be less favorable to the Executive than the fullest scope of indemnification permitted by applicable Delaware law (or any such greater scope of indemnification provided by agreement or by the terms of the Company’s Certificate of Incorporation or By-Laws to any executive officer or director of the Company).</w:t>
      </w:r>
    </w:p>
    <w:p>
      <w:pPr>
        <w:spacing w:after="0" w:line="186" w:lineRule="exact"/>
        <w:rPr>
          <w:rFonts w:ascii="Arial" w:cs="Arial" w:eastAsia="Arial" w:hAnsi="Arial"/>
          <w:sz w:val="18"/>
          <w:szCs w:val="18"/>
          <w:color w:val="auto"/>
        </w:rPr>
      </w:pPr>
    </w:p>
    <w:p>
      <w:pPr>
        <w:jc w:val="both"/>
        <w:ind w:firstLine="721"/>
        <w:spacing w:after="0" w:line="259" w:lineRule="auto"/>
        <w:tabs>
          <w:tab w:leader="none" w:pos="133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Stock Options. In the event that the Company elects from time to time during the Employment Period to award to its senior management or executives, generally, options to purchase shares of the Company’s stock or shares of restricted stock pursuant to any stock option plan or similar program, the Executive shall be entitled to participate in any such stock option plan or similar program on a basis consistent with the participation of other senior management or executives of the Company.</w:t>
      </w:r>
    </w:p>
    <w:p>
      <w:pPr>
        <w:spacing w:after="0" w:line="186" w:lineRule="exact"/>
        <w:rPr>
          <w:rFonts w:ascii="Arial" w:cs="Arial" w:eastAsia="Arial" w:hAnsi="Arial"/>
          <w:sz w:val="18"/>
          <w:szCs w:val="18"/>
          <w:color w:val="auto"/>
        </w:rPr>
      </w:pPr>
    </w:p>
    <w:p>
      <w:pPr>
        <w:jc w:val="both"/>
        <w:ind w:firstLine="721"/>
        <w:spacing w:after="0" w:line="257" w:lineRule="auto"/>
        <w:tabs>
          <w:tab w:leader="none" w:pos="158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Warrant. On the Closing Date, the Executive shall receive a warrant (the “Warrant Grant”) a warrant to purchase 49,500 shares of Company’s common stock (the “</w:t>
      </w:r>
      <w:r>
        <w:rPr>
          <w:rFonts w:ascii="Arial" w:cs="Arial" w:eastAsia="Arial" w:hAnsi="Arial"/>
          <w:sz w:val="18"/>
          <w:szCs w:val="18"/>
          <w:i w:val="1"/>
          <w:iCs w:val="1"/>
          <w:color w:val="auto"/>
        </w:rPr>
        <w:t>Warrant</w:t>
      </w:r>
      <w:r>
        <w:rPr>
          <w:rFonts w:ascii="Arial" w:cs="Arial" w:eastAsia="Arial" w:hAnsi="Arial"/>
          <w:sz w:val="18"/>
          <w:szCs w:val="18"/>
          <w:color w:val="auto"/>
        </w:rPr>
        <w:t>”), each with an exercise price per share equal to the price per share of common stock (without allocating any value to any warrants, if any, sold with the common stock) sold in the private placement anticipated to close on or about the same day as the Closing Date. The warrant vests and becomes exercisable on the Closing Date and has a ten-year term. The shares of the Company’s Common Stock underlying the Warrant shall have customary piggy back registration and cashless exercise rights.</w:t>
      </w:r>
    </w:p>
    <w:p>
      <w:pPr>
        <w:spacing w:after="0" w:line="188"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Term and Termination.</w:t>
      </w:r>
    </w:p>
    <w:p>
      <w:pPr>
        <w:spacing w:after="0" w:line="225" w:lineRule="exact"/>
        <w:rPr>
          <w:sz w:val="20"/>
          <w:szCs w:val="20"/>
          <w:color w:val="auto"/>
        </w:rPr>
      </w:pPr>
    </w:p>
    <w:p>
      <w:pPr>
        <w:jc w:val="both"/>
        <w:ind w:firstLine="721"/>
        <w:spacing w:after="0" w:line="286" w:lineRule="auto"/>
        <w:tabs>
          <w:tab w:leader="none" w:pos="1492" w:val="left"/>
        </w:tabs>
        <w:numPr>
          <w:ilvl w:val="1"/>
          <w:numId w:val="115"/>
        </w:numPr>
        <w:rPr>
          <w:rFonts w:ascii="Arial" w:cs="Arial" w:eastAsia="Arial" w:hAnsi="Arial"/>
          <w:sz w:val="16"/>
          <w:szCs w:val="16"/>
          <w:color w:val="auto"/>
        </w:rPr>
      </w:pPr>
      <w:r>
        <w:rPr>
          <w:rFonts w:ascii="Arial" w:cs="Arial" w:eastAsia="Arial" w:hAnsi="Arial"/>
          <w:sz w:val="16"/>
          <w:szCs w:val="16"/>
          <w:color w:val="auto"/>
        </w:rPr>
        <w:t>Duration. The Employment Period shall commence on the Effective Date and the initial term shall terminate two (2) years from the Effective Date (the “</w:t>
      </w:r>
      <w:r>
        <w:rPr>
          <w:rFonts w:ascii="Arial" w:cs="Arial" w:eastAsia="Arial" w:hAnsi="Arial"/>
          <w:sz w:val="16"/>
          <w:szCs w:val="16"/>
          <w:i w:val="1"/>
          <w:iCs w:val="1"/>
          <w:color w:val="auto"/>
        </w:rPr>
        <w:t>Term</w:t>
      </w:r>
      <w:r>
        <w:rPr>
          <w:rFonts w:ascii="Arial" w:cs="Arial" w:eastAsia="Arial" w:hAnsi="Arial"/>
          <w:sz w:val="16"/>
          <w:szCs w:val="16"/>
          <w:color w:val="auto"/>
        </w:rPr>
        <w:t>”), unless earlier terminated by the Company or the Executive as set forth in this Section 1.4 . The Term shall renew automatically for one-year periods, unless either party gives the other party written notice of its intention not to renew the Agreement no later than 30 days prior to the expiration of the then current Term. The Employment Period shall be terminated prior to the then-applicable expiration of the Term upon the first to occur of</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termination of the Executive’s employment by the Company for Cause, (ii) termination of the Executive’s employment by the Company without Cause,</w:t>
      </w:r>
    </w:p>
    <w:p>
      <w:pPr>
        <w:spacing w:after="0" w:line="32" w:lineRule="exact"/>
        <w:rPr>
          <w:rFonts w:ascii="Arial" w:cs="Arial" w:eastAsia="Arial" w:hAnsi="Arial"/>
          <w:sz w:val="16"/>
          <w:szCs w:val="16"/>
          <w:color w:val="auto"/>
        </w:rPr>
      </w:pPr>
    </w:p>
    <w:p>
      <w:pPr>
        <w:jc w:val="both"/>
        <w:ind w:firstLine="8"/>
        <w:spacing w:after="0" w:line="253" w:lineRule="auto"/>
        <w:tabs>
          <w:tab w:leader="none" w:pos="36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Executive’s resignation with Good Reason, (iv) the Executive’s resignation other than for Good Reason, or (v) the Executive’s death or Disability. The Executive shall not terminate the Employment Period, with or without Good Reason, unless he gives the Company written notice that he intends to terminate the Employment Period at least 90 days prior to the Executive’s proposed Termination Date. As a condition to Executive receiving any payments or benefits under Section 1.4(b) or Section 1.4(c), the Executive shall execute and deliver to the Company the General Release in the form attached hereto as Exhibit A.</w:t>
      </w:r>
    </w:p>
    <w:p>
      <w:pPr>
        <w:spacing w:after="0" w:line="191" w:lineRule="exact"/>
        <w:rPr>
          <w:rFonts w:ascii="Arial" w:cs="Arial" w:eastAsia="Arial" w:hAnsi="Arial"/>
          <w:sz w:val="18"/>
          <w:szCs w:val="18"/>
          <w:color w:val="auto"/>
        </w:rPr>
      </w:pPr>
    </w:p>
    <w:p>
      <w:pPr>
        <w:jc w:val="both"/>
        <w:ind w:firstLine="721"/>
        <w:spacing w:after="0" w:line="283" w:lineRule="auto"/>
        <w:tabs>
          <w:tab w:leader="none" w:pos="147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Severance Upon Termination Without Cause, Upon Resignation by the Executive For Good Reason or Failure to Renew Term. If the Employment Period is terminated by the Company without Cause or if the Executive resigns for Good Reason, or if the Company fails to renew the Term (in which case termination of the Executive’s employment shall be effective at the expiration of the then-current Term), then the Executive will be entitled to receive (1) any unpaid Base Salary through and including the Termination Date and any other amounts, including any amounts due for Cash Bonus, or other entitlements then due and owing to the Executive as of the Termination Date; (2) an amount equal to the Executive’s Base Salary (at the rate in effect on the date the Executive’s employment is terminated) for a 12-month period following the Executive’s termination of employment as described in this Section 1.4(b) , payable in a lump sum on the date that is six months following the Executive’s “separation from service” (within the meaning of Section 409A of the Code) occurring in connection with such termination and (3) continue to participate in the Company’s group medical plan on the same basis as he previously participated or receive payment of, or reimbursement for, COBRA premiums (or, if COBRA coverage is not available, reimbursement of premiums paid for other medical insurance in an amount not to exceed the COBRA premium) for a one-year period following the Executive’s termination of employment;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Executive is provided with health insurance coverage by a successor employer, any such coverage by the Company shall cease (each of</w:t>
      </w:r>
    </w:p>
    <w:p>
      <w:pPr>
        <w:spacing w:after="0" w:line="4" w:lineRule="exact"/>
        <w:rPr>
          <w:rFonts w:ascii="Arial" w:cs="Arial" w:eastAsia="Arial" w:hAnsi="Arial"/>
          <w:sz w:val="16"/>
          <w:szCs w:val="16"/>
          <w:color w:val="auto"/>
        </w:rPr>
      </w:pPr>
    </w:p>
    <w:p>
      <w:pPr>
        <w:jc w:val="both"/>
        <w:spacing w:after="0" w:line="270" w:lineRule="auto"/>
        <w:rPr>
          <w:rFonts w:ascii="Arial" w:cs="Arial" w:eastAsia="Arial" w:hAnsi="Arial"/>
          <w:sz w:val="16"/>
          <w:szCs w:val="16"/>
          <w:color w:val="auto"/>
        </w:rPr>
      </w:pPr>
      <w:r>
        <w:rPr>
          <w:rFonts w:ascii="Arial" w:cs="Arial" w:eastAsia="Arial" w:hAnsi="Arial"/>
          <w:sz w:val="17"/>
          <w:szCs w:val="17"/>
          <w:color w:val="auto"/>
        </w:rPr>
        <w:t>(1), (2) and (3) referred to as the “</w:t>
      </w:r>
      <w:r>
        <w:rPr>
          <w:rFonts w:ascii="Arial" w:cs="Arial" w:eastAsia="Arial" w:hAnsi="Arial"/>
          <w:sz w:val="17"/>
          <w:szCs w:val="17"/>
          <w:i w:val="1"/>
          <w:iCs w:val="1"/>
          <w:color w:val="auto"/>
        </w:rPr>
        <w:t>Severance Payment</w:t>
      </w:r>
      <w:r>
        <w:rPr>
          <w:rFonts w:ascii="Arial" w:cs="Arial" w:eastAsia="Arial" w:hAnsi="Arial"/>
          <w:sz w:val="17"/>
          <w:szCs w:val="17"/>
          <w:color w:val="auto"/>
        </w:rPr>
        <w:t>”). The Executive also shall be entitled to receive payment for all reimbursable expenses or other entitlements then due and owing to the Executive as of the Termination Date. If the Executive breaches his obligations under Section 1.6 , 1.7 , 1.8 or 1.9 of this Agreement, the Company’s obligation to make any Severance Payments and provide any Benefits shall cease as of the date of such breach; provided, that if the Executive cures such breach within 10 days of receiving written notice from the Company of such breach (which notice the Company shall provide promptly to the Executive after learning of such breach), the Company shall promptly pay all Severance Payments not made during such period of dispute and resume making Severance Payments and providing Benefits promptly following such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2" w:name="page133"/>
    <w:bookmarkEnd w:id="132"/>
    <w:p>
      <w:pPr>
        <w:jc w:val="both"/>
        <w:ind w:left="-721" w:firstLine="721"/>
        <w:spacing w:after="0" w:line="268" w:lineRule="auto"/>
        <w:tabs>
          <w:tab w:leader="none" w:pos="619"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Severance upon a Change of Control. Anything contained herein to the contrary notwithstanding, in the event the Executive’s employment hereunder is terminated within twelve (12) months following a Change of Control by the Company without Cause or by the Executive with Good Reason, the Executive shall be entitled to receive the Severance Payment as described in sub-section (b)(2) above; provided, however, that if such lump sum Severance Payment, either alone or together with other payments or benefits, either cash or non-cash, that the Executive has the right to receive from the Company, including, but not limited to, accelerated vesting or payment of any deferred compensation, options, stock appreciation rights or any benefits payable to the Executive under any plan for the benefit of employees, would constitute an “excess parachute payment” (as defined in Section 280G of the Code), then such lump sum severance payment or other benefit shall be reduced to the largest amount that will not result in receipt by the Executive of an “excess parachute payment.” The determination of the amount of the payment described in this subsection shall be made by the Company’s independent auditors at the sole expense of the Company. For purposes of clarification the value of any options described above will be determined by the Company’s independent auditors using a Black-Scholes valuation methodology. If within twelve (12) months after the occurrence of a Change of Control, the Company shall terminate the Executive’s employment without Cause or the Executive terminates his employment with Good Reason, then notwithstanding the vesting and exercisability schedule in any stock option or other grant agreement between the Company and the Executive, all unvested stock options, shares of restricted stock and other equity awards granted by the Company to the Executive pursuant to any such agreement shall immediately vest, and all such stock options shall become exercisable and shall remain exercisable for the lesser of 180 days after the effective Termination Date of the Executive’s employment or the remaining term of the applicable option.</w:t>
      </w:r>
    </w:p>
    <w:p>
      <w:pPr>
        <w:spacing w:after="0" w:line="183" w:lineRule="exact"/>
        <w:rPr>
          <w:rFonts w:ascii="Arial" w:cs="Arial" w:eastAsia="Arial" w:hAnsi="Arial"/>
          <w:sz w:val="17"/>
          <w:szCs w:val="17"/>
          <w:color w:val="auto"/>
        </w:rPr>
      </w:pPr>
    </w:p>
    <w:p>
      <w:pPr>
        <w:jc w:val="both"/>
        <w:ind w:left="-721" w:firstLine="721"/>
        <w:spacing w:after="0" w:line="293" w:lineRule="auto"/>
        <w:tabs>
          <w:tab w:leader="none" w:pos="61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Death and Disability. In the event of the death or Disability of the Executive, the Company shall pay the Executive his Base Salary through the Termination Date, at the rate then in effect, and all expenses or accrued Benefits arising prior to such termination which are payable to the Executive pursuant to this Agreement through the Termination Date. Any other rights and benefits the Executive may have under employee benefit plans and programs of the Company generally in the event of the Executive’s Disability shall be determined in accordance with the terms of such plans and programs. In the event of Executive’s death, any rights and benefits that the Executive’s estate or any other person may have under employee benefit plans and programs of the Company generally in the event of the Executive’s death shall be determined in accordance with the terms of such plans and programs.</w:t>
      </w:r>
    </w:p>
    <w:p>
      <w:pPr>
        <w:spacing w:after="0" w:line="164" w:lineRule="exact"/>
        <w:rPr>
          <w:rFonts w:ascii="Arial" w:cs="Arial" w:eastAsia="Arial" w:hAnsi="Arial"/>
          <w:sz w:val="16"/>
          <w:szCs w:val="16"/>
          <w:color w:val="auto"/>
        </w:rPr>
      </w:pPr>
    </w:p>
    <w:p>
      <w:pPr>
        <w:jc w:val="both"/>
        <w:ind w:left="-721" w:firstLine="721"/>
        <w:spacing w:after="0" w:line="279" w:lineRule="auto"/>
        <w:tabs>
          <w:tab w:leader="none" w:pos="656" w:val="left"/>
        </w:tabs>
        <w:numPr>
          <w:ilvl w:val="0"/>
          <w:numId w:val="118"/>
        </w:numPr>
        <w:rPr>
          <w:rFonts w:ascii="Arial" w:cs="Arial" w:eastAsia="Arial" w:hAnsi="Arial"/>
          <w:sz w:val="17"/>
          <w:szCs w:val="17"/>
          <w:color w:val="auto"/>
        </w:rPr>
      </w:pPr>
      <w:r>
        <w:rPr>
          <w:rFonts w:ascii="Arial" w:cs="Arial" w:eastAsia="Arial" w:hAnsi="Arial"/>
          <w:sz w:val="17"/>
          <w:szCs w:val="17"/>
          <w:color w:val="auto"/>
        </w:rPr>
        <w:t>Salary and Other Payments Through Termination. If the Executive’s employment with the Company is terminated during the Term (i) by the Company for Cause or (ii) by the Executive other than for Good Reason, the Executive will be entitled to receive his Base Salary through the Termination Date, but will not be entitled to receive any Severance Payments or Benefits after the Termination Date. The Executive shall be entitled to receive payment for all reimbursable expenses or other entitlements then due and owing to the Executive as of the Termination Date.</w:t>
      </w:r>
    </w:p>
    <w:p>
      <w:pPr>
        <w:spacing w:after="0" w:line="171" w:lineRule="exact"/>
        <w:rPr>
          <w:rFonts w:ascii="Arial" w:cs="Arial" w:eastAsia="Arial" w:hAnsi="Arial"/>
          <w:sz w:val="17"/>
          <w:szCs w:val="17"/>
          <w:color w:val="auto"/>
        </w:rPr>
      </w:pPr>
    </w:p>
    <w:p>
      <w:pPr>
        <w:ind w:left="-721" w:firstLine="721"/>
        <w:spacing w:after="0" w:line="342" w:lineRule="auto"/>
        <w:tabs>
          <w:tab w:leader="none" w:pos="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Other Rights. Except as set forth in this Section 1.4 and Section 1.3, all of the Executive’s rights to receive Base Salary, Benefits and the Cash Bonuses hereunder (if any) which accrue or become payable after the termination of the Employment Period shall cease upon such termination.</w:t>
      </w:r>
    </w:p>
    <w:p>
      <w:pPr>
        <w:spacing w:after="0" w:line="123" w:lineRule="exact"/>
        <w:rPr>
          <w:rFonts w:ascii="Arial" w:cs="Arial" w:eastAsia="Arial" w:hAnsi="Arial"/>
          <w:sz w:val="16"/>
          <w:szCs w:val="16"/>
          <w:color w:val="auto"/>
        </w:rPr>
      </w:pPr>
    </w:p>
    <w:p>
      <w:pPr>
        <w:jc w:val="both"/>
        <w:ind w:left="-721" w:firstLine="721"/>
        <w:spacing w:after="0" w:line="259" w:lineRule="auto"/>
        <w:tabs>
          <w:tab w:leader="none" w:pos="8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Continuing Benefits. Notwithstanding Section 1.4(f), termination pursuant to this Section 1.4 shall not modify or affect in any way whatsoever any vested right of the Executive to benefits payable under any retirement or pension plan or under any other employee benefit plan of the Company, and all such benefits shall continue, in accordance with, and subject to, the terms and conditions of such plans, to be payable in full to, or on account of, the Executive after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401955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9"/>
          </w:cols>
          <w:pgMar w:left="961" w:top="881" w:right="239" w:bottom="1440" w:gutter="0" w:footer="0" w:header="0"/>
        </w:sectPr>
      </w:pPr>
    </w:p>
    <w:bookmarkStart w:id="133" w:name="page134"/>
    <w:bookmarkEnd w:id="133"/>
    <w:p>
      <w:pPr>
        <w:ind w:left="-720" w:firstLine="721"/>
        <w:spacing w:after="0" w:line="277" w:lineRule="auto"/>
        <w:tabs>
          <w:tab w:leader="none" w:pos="6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Duty of Mitigation. The Executive shall not be required to mitigate the amount of any payment provided for in this Article I by seeking other employment or otherwise.</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Confidential Information.</w:t>
      </w:r>
    </w:p>
    <w:p>
      <w:pPr>
        <w:spacing w:after="0" w:line="225" w:lineRule="exact"/>
        <w:rPr>
          <w:sz w:val="20"/>
          <w:szCs w:val="20"/>
          <w:color w:val="auto"/>
        </w:rPr>
      </w:pPr>
    </w:p>
    <w:p>
      <w:pPr>
        <w:jc w:val="both"/>
        <w:ind w:left="-720" w:firstLine="721"/>
        <w:spacing w:after="0" w:line="288" w:lineRule="auto"/>
        <w:tabs>
          <w:tab w:leader="none" w:pos="691"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Executive shall not disclose or, directly or indirectly, use at any time, during the Employment Period or thereafter, any Confidential Information (as defined below) of which the Executive is or becomes aware, whether or not such information is developed by him, alone or with others, except to the extent that (i) such disclosure or use is required by the Executive’s performance of the duties assigned to the Executive by the Board, (ii) the Executive is required by subpoena or similar process to disclose or discuss any Confidential Information, provided, that in such case, the Executive shall promptly inform the Company in writing of such event, shall cooperate with the Company in attempting to obtain a protective order or to otherwise limit or restrict such disclosure to the greatest extent possible, and shall disclose only that portion of the Confidential Information as is strictly required, or (iii) such Confidential Information is or becomes generally known to and available for use by the public, other than as a result of any action or inaction directly or indirectly by the Executive. At the Company’s expense, the Executive shall take all appropriate steps to safeguard Confidential Information and to protect it against disclosure, misuse, espionage, loss and theft. The Executive acknowledges that the Confidential Information obtained by him during the course of his employment with the Company is the sole and exclusive property of the Company and its Subsidiaries, as applicable.</w:t>
      </w:r>
    </w:p>
    <w:p>
      <w:pPr>
        <w:spacing w:after="0" w:line="169" w:lineRule="exact"/>
        <w:rPr>
          <w:rFonts w:ascii="Arial" w:cs="Arial" w:eastAsia="Arial" w:hAnsi="Arial"/>
          <w:sz w:val="16"/>
          <w:szCs w:val="16"/>
          <w:color w:val="auto"/>
        </w:rPr>
      </w:pPr>
    </w:p>
    <w:p>
      <w:pPr>
        <w:jc w:val="both"/>
        <w:ind w:left="-720" w:firstLine="721"/>
        <w:spacing w:after="0" w:line="272" w:lineRule="auto"/>
        <w:tabs>
          <w:tab w:leader="none" w:pos="71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Executive understands that the Company and its Subsidiaries will receive from third parties confidential or proprietary information (“</w:t>
      </w:r>
      <w:r>
        <w:rPr>
          <w:rFonts w:ascii="Arial" w:cs="Arial" w:eastAsia="Arial" w:hAnsi="Arial"/>
          <w:sz w:val="17"/>
          <w:szCs w:val="17"/>
          <w:i w:val="1"/>
          <w:iCs w:val="1"/>
          <w:color w:val="auto"/>
        </w:rPr>
        <w:t>Third Party Information</w:t>
      </w:r>
      <w:r>
        <w:rPr>
          <w:rFonts w:ascii="Arial" w:cs="Arial" w:eastAsia="Arial" w:hAnsi="Arial"/>
          <w:sz w:val="17"/>
          <w:szCs w:val="17"/>
          <w:color w:val="auto"/>
        </w:rPr>
        <w:t>”) subject to a duty on the part of the Company and its Subsidiaries to maintain the confidentiality of such information and to use it only for certain limited purposes. During the Employment Period and in the period specified in such confidentiality agreements, and without in any way limiting the provisions of Section 1.5(a) above, the Executive will hold Third Party Information in confidence, consistent with the obligations applicable to Confidential Information of the Company generally, and will not disclose to anyone (other than personnel and agents of the Company or its Subsidiaries who need to know such information in connection with their work for the Company or its Subsidiaries) or use, except in connection with his work for the Company or its Subsidiaries, Third Party Information unless expressly authorized by the Board in writing.</w:t>
      </w:r>
    </w:p>
    <w:p>
      <w:pPr>
        <w:spacing w:after="0" w:line="177" w:lineRule="exact"/>
        <w:rPr>
          <w:rFonts w:ascii="Arial" w:cs="Arial" w:eastAsia="Arial" w:hAnsi="Arial"/>
          <w:sz w:val="17"/>
          <w:szCs w:val="17"/>
          <w:color w:val="auto"/>
        </w:rPr>
      </w:pPr>
    </w:p>
    <w:p>
      <w:pPr>
        <w:jc w:val="both"/>
        <w:ind w:left="-720" w:firstLine="721"/>
        <w:spacing w:after="0" w:line="270" w:lineRule="auto"/>
        <w:tabs>
          <w:tab w:leader="none" w:pos="69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As used in this Agreement, the term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means information that is not generally known to the public and that is related in any way to the actual or anticipated business of the Company, its Subsidiaries, its Affiliates or any of their respective predecessors in interest, including but not limited to (i) business development, growth and other strategic business plans, (ii) properties available for acquisition, financing development or sale, (iii) accounting and business methods, (iv) services or products and the marketing of such services and products, (v) fees, costs and pricing structures, (vi) designs, (vii) analysis, (viii) drawings, photographs and reports, (ix) computer software, including operating systems, applications and program listings, (x) flow charts, manuals and documentation, (xi) data bases, (xii) inventions, devices, new developments, methods and processes, whether patentable or unpatentable and whether or not reduced to practice, (xiii) copyrightable works, (xiv) all technology and trade secrets, (xv) confidential terms of material agreements and customer relationships, and (xvi) all similar and related information in whatever form or medium. Confidential Information also expressly excludes Executive’s general know-how and business contacts to the extent that the use of such information does not violate or breach the terms of Section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396240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881" w:right="239" w:bottom="1440" w:gutter="0" w:footer="0" w:header="0"/>
        </w:sectPr>
      </w:pPr>
    </w:p>
    <w:bookmarkStart w:id="134" w:name="page135"/>
    <w:bookmarkEnd w:id="134"/>
    <w:p>
      <w:pPr>
        <w:jc w:val="both"/>
        <w:ind w:firstLine="713"/>
        <w:spacing w:after="0" w:line="268" w:lineRule="auto"/>
        <w:rPr>
          <w:sz w:val="20"/>
          <w:szCs w:val="20"/>
          <w:color w:val="auto"/>
        </w:rPr>
      </w:pPr>
      <w:r>
        <w:rPr>
          <w:rFonts w:ascii="Arial" w:cs="Arial" w:eastAsia="Arial" w:hAnsi="Arial"/>
          <w:sz w:val="17"/>
          <w:szCs w:val="17"/>
          <w:color w:val="auto"/>
        </w:rPr>
        <w:t>1.6 Inventions and Patents. Executive acknowledges that all discoveries, concepts, ideas, inventions, innovations, improvements, developments, products, methods, processes, techniques, programs, designs, analyses, drawings, reports, patents, copyrightable works and mask works (whether or not including any Confidential Information) and all issuances, registrations or applications related thereto, all other proprietary information or intellectual property and all similar or related information (whether or not patentable) conceived, developed, contributed to, made, or reduced to practice by Executive (either alone or with others) while employed by Company or any of its Subsidiaries or Affiliates or any of their respective predecessors in interest (including prior to the date of this Agreement) or using the materials, facilities or resources of the Company or any of its Subsidiaries or Affiliates or any of their respective predecessors in interest (collectively, “</w:t>
      </w:r>
      <w:r>
        <w:rPr>
          <w:rFonts w:ascii="Arial" w:cs="Arial" w:eastAsia="Arial" w:hAnsi="Arial"/>
          <w:sz w:val="17"/>
          <w:szCs w:val="17"/>
          <w:i w:val="1"/>
          <w:iCs w:val="1"/>
          <w:color w:val="auto"/>
        </w:rPr>
        <w:t>Company Works</w:t>
      </w:r>
      <w:r>
        <w:rPr>
          <w:rFonts w:ascii="Arial" w:cs="Arial" w:eastAsia="Arial" w:hAnsi="Arial"/>
          <w:sz w:val="17"/>
          <w:szCs w:val="17"/>
          <w:color w:val="auto"/>
        </w:rPr>
        <w:t>”) is the sole and exclusive property of the Company and its Subsidiaries. Executive hereby assigns all right, title and interest in and to all Company Works to the Company and its Subsidiaries and waives any moral rights he may have therein, without further obligation or consideration. Any copyrightable work prepared in whole or in part by the Executive will be deemed “a work made for hire” under Section 201(b) of the 1976 Copyright Act, and the Company and its Subsidiaries shall own all of the rights comprised in the copyright therein. The Executive shall promptly and fully disclose in writing all Company Works to the Company and shall cooperate with the Company and its Subsidiaries to protect, maintain and enforce the Company’s and its Subsidiaries’ interests in and rights to such Company Works (including, without limitation, providing reasonable assistance in securing patent protection and copyright registrations and executing all affidavits, assignments, powers-of-attorney and other documents as reasonably requested by the Company, whether such requests occur prior to or after termination of the Executive’s employment with the Company).</w:t>
      </w:r>
    </w:p>
    <w:p>
      <w:pPr>
        <w:spacing w:after="0" w:line="183"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1.7 Delivery of Materials Upon Termination of Employment. As requested by the Company from time to time and in any event upon the termination of the Executive’s employment with the Company, the Executive shall promptly deliver to the Company, or at the Company’s election, destroy, all copies and embodiments, in whatever form or medium, of all Confidential Information, Company Works and other property and assets of the Company and its Subsidiaries in the Executive’s possession or within his control (including, but not limited to, office keys, access cards, written records, notes, photographs, manuals, notebooks, documentation, program listings, flow charts, magnetic media, disks, diskettes, tapes computers and handheld devices (including all software, files and documents thereon) and any other materials containing any Confidential Information or Company Works) irrespective of the location or form of such material and, if requested by the Company, shall provide the Company with written confirmation that all such materials have been delivered to the Company or destroyed, as applicable.</w:t>
      </w:r>
    </w:p>
    <w:p>
      <w:pPr>
        <w:spacing w:after="0" w:line="192"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Non-Compete and Non-Solicitation Covenants.</w:t>
      </w:r>
    </w:p>
    <w:p>
      <w:pPr>
        <w:spacing w:after="0" w:line="225" w:lineRule="exact"/>
        <w:rPr>
          <w:sz w:val="20"/>
          <w:szCs w:val="20"/>
          <w:color w:val="auto"/>
        </w:rPr>
      </w:pPr>
    </w:p>
    <w:p>
      <w:pPr>
        <w:jc w:val="both"/>
        <w:ind w:firstLine="721"/>
        <w:spacing w:after="0" w:line="286" w:lineRule="auto"/>
        <w:tabs>
          <w:tab w:leader="none" w:pos="133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Executive acknowledges and agrees that the Executive’s services to the Company and its Subsidiaries are unique in nature and that the Company and its Subsidiaries would be irreparably damaged if the Executive were to provide similar services to any Person competing with the Company and its Subsidiaries or engaged in the Business. The Executive further acknowledges that, in the course of his employment with the Company, he will become familiar with the Company’s and its Subsidiaries’ trade secrets and with other Confidential Information. During the Noncompete Period, he shall not, directly or indirectly, whether for himself or for any other Person, permit his name to be used by or participate in any business or enterprise (including, without limitation, any division, group or franchise of a larger organization) that engages or proposes to engage in the Business in the Restricted Territories, other than the Company and its Subsidiaries or except as otherwise directed or authorized by the Board. For purposes of this Agreement, the term “participate in” shall include, without limitation, having any direct or indirect interest in any Person, whether as a sole proprietor, owner, stockholder, partner, member, joint venturer, creditor or otherwise, or rendering any direct or indirect service or assistance to any Person (whether as a director, officer, supervisor, employee, agent, consultant or otherwise). Nothing herein will prohibit the Executive from mere passive ownership of not more than five percent (5%) of the outstanding stock of any class of a publicly held corporation whose stock is traded on a national securities exchange or in the over-the-counter market. As used herein, the phrase “mere passive ownership” shall include voting or otherwise granting any consents or approvals required to be obtained from such Person as an owner of stock or other ownership interests in any entity pursuant to the charter or other organizational documents of such entity, but shall not include, without limitation, any involvement in the day-to-day operations of such entity.</w:t>
      </w:r>
    </w:p>
    <w:p>
      <w:pPr>
        <w:spacing w:after="0" w:line="171" w:lineRule="exact"/>
        <w:rPr>
          <w:rFonts w:ascii="Arial" w:cs="Arial" w:eastAsia="Arial" w:hAnsi="Arial"/>
          <w:sz w:val="16"/>
          <w:szCs w:val="16"/>
          <w:color w:val="auto"/>
        </w:rPr>
      </w:pPr>
    </w:p>
    <w:p>
      <w:pPr>
        <w:jc w:val="both"/>
        <w:ind w:firstLine="721"/>
        <w:spacing w:after="0" w:line="272" w:lineRule="auto"/>
        <w:tabs>
          <w:tab w:leader="none" w:pos="1354" w:val="left"/>
        </w:tabs>
        <w:numPr>
          <w:ilvl w:val="0"/>
          <w:numId w:val="121"/>
        </w:numPr>
        <w:rPr>
          <w:rFonts w:ascii="Arial" w:cs="Arial" w:eastAsia="Arial" w:hAnsi="Arial"/>
          <w:sz w:val="17"/>
          <w:szCs w:val="17"/>
          <w:color w:val="auto"/>
        </w:rPr>
      </w:pPr>
      <w:r>
        <w:rPr>
          <w:rFonts w:ascii="Arial" w:cs="Arial" w:eastAsia="Arial" w:hAnsi="Arial"/>
          <w:sz w:val="17"/>
          <w:szCs w:val="17"/>
          <w:color w:val="auto"/>
        </w:rPr>
        <w:t>During the Nonsolicitation Period, the Executive will not directly, or indirectly through another Person, solicit, induce or attempt to induce any customer, supplier, licensee, or other business relation of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The Executive acknowledges and agrees that the Company and its Subsidiaries would be irreparably damaged if the Executive were to breach any of the provisions contained in this Section 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5" w:name="page136"/>
    <w:bookmarkEnd w:id="135"/>
    <w:p>
      <w:pPr>
        <w:jc w:val="both"/>
        <w:ind w:firstLine="721"/>
        <w:spacing w:after="0" w:line="264" w:lineRule="auto"/>
        <w:tabs>
          <w:tab w:leader="none" w:pos="134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Executive acknowledges that this Agreement, and specifically, this Section 1.8, does not preclude Executive from earning a livelihood, nor does it unreasonably impose limitations on Executive’s ability to earn a living. In addition, Executive agrees and acknowledges that the potential harm to the Company of its non-enforcement outweighs any harm to Executive of its enforcement by injunction or otherwise.</w:t>
      </w:r>
    </w:p>
    <w:p>
      <w:pPr>
        <w:spacing w:after="0" w:line="181" w:lineRule="exact"/>
        <w:rPr>
          <w:sz w:val="20"/>
          <w:szCs w:val="20"/>
          <w:color w:val="auto"/>
        </w:rPr>
      </w:pPr>
    </w:p>
    <w:p>
      <w:pPr>
        <w:jc w:val="both"/>
        <w:ind w:firstLine="713"/>
        <w:spacing w:after="0" w:line="287" w:lineRule="auto"/>
        <w:rPr>
          <w:sz w:val="20"/>
          <w:szCs w:val="20"/>
          <w:color w:val="auto"/>
        </w:rPr>
      </w:pPr>
      <w:r>
        <w:rPr>
          <w:rFonts w:ascii="Arial" w:cs="Arial" w:eastAsia="Arial" w:hAnsi="Arial"/>
          <w:sz w:val="16"/>
          <w:szCs w:val="16"/>
          <w:color w:val="auto"/>
        </w:rPr>
        <w:t>1.9 Enforcement. If, at the time of enforcement of Section 1.5, 1.6, 1.7, 1.8, 1.9 or 1.10, a court holds that the restrictions stated herein are unreasonable under circumstances then existing, the Parties agree that, to the extent permitted by applicable law, the maximum period, scope or geographical area reasonable under such circumstances will be substituted for the Noncompete Period, scope or area. Because the Executive’s services are unique and because the Executive has access to Confidential Information and Company Works, the Parties agree that money damages would be an inadequate remedy for any breach of Section 1.5 , 1.6 , 1.7 , 1.8 , 1.9 or 1.10 . Therefore, in the event of a breach or threatened breach of Section 1.5 , 1.6 , 1.7 , 1.8 , 1.9 or 1.10 , the Company or any of its Subsidiaries or any of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 The Parties hereby acknowledge and agree that (a) performance of the services of the Executive hereunder may occur in jurisdictions other than the jurisdiction whose law the Parties have agreed shall govern the construction, validity and interpretation of this Agreement, (b) the law of the State of New York shall govern construction, validity and interpretation of this Agreement to the fullest extent possible, and (c) Section 1.5 , 1.6 , 1.7 , 1.8 , 1.9 or 1.10 shall restrict the Executive only to the extent permitted by applicable law.</w:t>
      </w:r>
    </w:p>
    <w:p>
      <w:pPr>
        <w:spacing w:after="0" w:line="173"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1.10 Survival. Sections 1.5, 1.6, 1.7, 1.8, 1.9 and 1.10 will survive and continue in full force in accordance with their terms notwithstanding any termination of the Employment Period.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720"/>
        <w:spacing w:after="0"/>
        <w:tabs>
          <w:tab w:leader="none" w:pos="13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Definitions. For purposes of this Agreement, the following terms will have the following meanings: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the business of acquiring and licensing consumer brands worldwide.</w:t>
      </w:r>
    </w:p>
    <w:p>
      <w:pPr>
        <w:spacing w:after="0" w:line="225" w:lineRule="exact"/>
        <w:rPr>
          <w:sz w:val="20"/>
          <w:szCs w:val="20"/>
          <w:color w:val="auto"/>
        </w:rPr>
      </w:pPr>
    </w:p>
    <w:p>
      <w:pPr>
        <w:jc w:val="both"/>
        <w:ind w:firstLine="142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with respect to the Executive, the occurrence of one or more of the following: (i) conviction of a felony involving moral turpitude, misappropriation of Company property, embezzlement of Company funds, violation of the securities laws or dishonesty, (ii) persistent and repeated refusal to comply with no less than three written directives of the Board with respect to an item that the Board deems material to the business prospects and/or operations of the Company, (iii) reporting to work under the influence of alcohol or illegal drugs, or the use of illegal drugs (whether or not at the workplace), or (iv) any willful breach of Sections 1.6 , 1.7 , 1.8 or 1.9 of this Agreement. Notwithstanding the foregoing, termination by the Company for Cause (other than pursuant to clause (i) above) shall not be effective until and unless (i) Executive fails to cure such alleged act or circumstance within 30 days of receipt of notice thereof, to the satisfaction of the Board in the exercise of its reasonable judgment (or, if within such 30-day period the Executive commences and proceeds to take all reasonable actions to effect such cure, within such reasonable additional time period (no longer than 60 days) as may be necessary), and</w:t>
      </w:r>
    </w:p>
    <w:p>
      <w:pPr>
        <w:spacing w:after="0" w:line="1" w:lineRule="exact"/>
        <w:rPr>
          <w:sz w:val="20"/>
          <w:szCs w:val="20"/>
          <w:color w:val="auto"/>
        </w:rPr>
      </w:pPr>
    </w:p>
    <w:p>
      <w:pPr>
        <w:jc w:val="both"/>
        <w:ind w:firstLine="8"/>
        <w:spacing w:after="0" w:line="252" w:lineRule="auto"/>
        <w:tabs>
          <w:tab w:leader="none" w:pos="29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notice of intention to terminate for Cause has been given by the Company within sixty (60) days after the Board learns of the act, failure or event constituting “Cause,” and (iii) the Board has voted (at a meeting of the Board duly called and held as to which termination of Executive is an agenda item) by a vote of at least two-thirds of the members of the Board to terminate Executive for Cause after Executive has been given notice of the particular acts or circumstances which are the basis for the termination for Cause and has been afforded an opportunity to appear with counsel and present his positions at such meeting and to present his case thereat, and (iv) the Board has given notice of termination to Executive within five days after such meeting voting in favor of termination.</w:t>
      </w:r>
    </w:p>
    <w:p>
      <w:pPr>
        <w:spacing w:after="0" w:line="194" w:lineRule="exact"/>
        <w:rPr>
          <w:sz w:val="20"/>
          <w:szCs w:val="20"/>
          <w:color w:val="auto"/>
        </w:rPr>
      </w:pPr>
    </w:p>
    <w:p>
      <w:pPr>
        <w:jc w:val="both"/>
        <w:ind w:firstLine="142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 (i) a merger or consolidation to which the Company is a party (other than one in which the stockholders of the Company prior to the event own a majority of the voting power of the surviving or resulting corporation) (ii) a sale, lease, transfer, exclusive license or other disposition of all or substantially all of the assets of the Company, or (iii) a sale or transfer by the Company’s stockholders of voting control, in a single transaction or a series of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6" w:name="page137"/>
    <w:bookmarkEnd w:id="136"/>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September 29,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xml:space="preserve"> means the Internal Revenue Code of 1986 and the Treasury regulations thereunder, each as amended from time to time.</w:t>
      </w:r>
    </w:p>
    <w:p>
      <w:pPr>
        <w:spacing w:after="0" w:line="237" w:lineRule="exact"/>
        <w:rPr>
          <w:sz w:val="20"/>
          <w:szCs w:val="20"/>
          <w:color w:val="auto"/>
        </w:rPr>
      </w:pPr>
    </w:p>
    <w:p>
      <w:pPr>
        <w:jc w:val="both"/>
        <w:ind w:firstLine="142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have the meaning set forth in a policy or policies of long-term disability insurance, if any, the Company obtains for the benefit of itself and/or its employees. If there is no definition of “disability” applicable under any such policy or policies, if any, then the Executive shall be considered disabled due to mental or physical impairment or disability, despite reasonable accommodations by the Company and its Subsidiaries, to perform his customary or other comparable duties with the Company or its Subsidiaries immediately prior to such disability for a period of at least 120 consecutive days or for at least 180 non-consecutive days in any 12-month period.</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September 16,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the fiscal year of the Company and its Subsidiaries.</w:t>
      </w:r>
    </w:p>
    <w:p>
      <w:pPr>
        <w:spacing w:after="0" w:line="225" w:lineRule="exact"/>
        <w:rPr>
          <w:sz w:val="20"/>
          <w:szCs w:val="20"/>
          <w:color w:val="auto"/>
        </w:rPr>
      </w:pPr>
    </w:p>
    <w:p>
      <w:pPr>
        <w:jc w:val="both"/>
        <w:ind w:firstLine="142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the occurrence, without the Executive’s written consent, of one or more of the following events: (i) the Company reduces the amount of Executive’s Base Salary or Cash Bonuses, (ii) the Company requires that the Executive relocate his principal place of employment to a site that is more than 50 miles from the Company’s offices in the New York area or if the Company changes the location of its headquarters without the consent of Executive to a location that is more than 50 miles from such location, (iii) the Company materially reduces the Executive’s responsibilities or removes the Executive from the position of Senior Vice President other than pursuant to a termination of his employment for Cause, or upon the Executive’s death or Disability, (iv) the failure or unreasonable delay of the Company to provide to the Executive any of the payments or benefits contemplated hereby or</w:t>
      </w:r>
    </w:p>
    <w:p>
      <w:pPr>
        <w:spacing w:after="0" w:line="5" w:lineRule="exact"/>
        <w:rPr>
          <w:sz w:val="20"/>
          <w:szCs w:val="20"/>
          <w:color w:val="auto"/>
        </w:rPr>
      </w:pPr>
    </w:p>
    <w:p>
      <w:pPr>
        <w:jc w:val="both"/>
        <w:ind w:firstLine="8"/>
        <w:spacing w:after="0" w:line="274" w:lineRule="auto"/>
        <w:tabs>
          <w:tab w:leader="none" w:pos="26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Company otherwise materially breaches the terms of this Agreement; provided that no such event shall constitute Good Reason hereunder unless (a) the Executive shall have given written notice to the Company of the Executive’s intent to resign for Good Reason within 30 days after the Executive becomes aware of the occurrence of any such event, which notice shall describe in reasonable detail the event or events constitute the basis for the Executive’s intention to resign for Good Reason and (b) such event or occurrence, if a breach susceptible to cure, shall not have been cured or otherwise shall not have been resolved to the Executive’s reasonable satisfaction, in each case within 30 days of the Company’s receipt of such notice. In such case the Executive’s resignation shall become effective on the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the Company’s receipt of the aforementioned notice.</w:t>
      </w:r>
    </w:p>
    <w:p>
      <w:pPr>
        <w:spacing w:after="0" w:line="55" w:lineRule="exact"/>
        <w:rPr>
          <w:sz w:val="20"/>
          <w:szCs w:val="20"/>
          <w:color w:val="auto"/>
        </w:rPr>
      </w:pPr>
    </w:p>
    <w:p>
      <w:pPr>
        <w:jc w:val="both"/>
        <w:ind w:right="20"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the Merger Agreement entered into by and among NetFabric Holdings, Inc., the Company and a subsidiary of NetFabric Holdings, Inc. formed for the purpose of acquiring the Company.</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Noncompete Period</w:t>
      </w:r>
      <w:r>
        <w:rPr>
          <w:rFonts w:ascii="Arial" w:cs="Arial" w:eastAsia="Arial" w:hAnsi="Arial"/>
          <w:sz w:val="18"/>
          <w:szCs w:val="18"/>
          <w:color w:val="auto"/>
        </w:rPr>
        <w:t>” means the Employment Period and 12 months thereafter.</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Nonsolicitation Period</w:t>
      </w:r>
      <w:r>
        <w:rPr>
          <w:rFonts w:ascii="Arial" w:cs="Arial" w:eastAsia="Arial" w:hAnsi="Arial"/>
          <w:sz w:val="18"/>
          <w:szCs w:val="18"/>
          <w:color w:val="auto"/>
        </w:rPr>
        <w:t>” means the Employment Period and 12 months thereafter.</w:t>
      </w:r>
    </w:p>
    <w:p>
      <w:pPr>
        <w:spacing w:after="0" w:line="225" w:lineRule="exact"/>
        <w:rPr>
          <w:sz w:val="20"/>
          <w:szCs w:val="20"/>
          <w:color w:val="auto"/>
        </w:rPr>
      </w:pPr>
    </w:p>
    <w:p>
      <w:pPr>
        <w:jc w:val="both"/>
        <w:ind w:firstLine="142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the United States of America any other nation, any state or other political subdivision thereof, or any entity exercising executive, legislative, judicial, regulatory or administrative functions of government.</w:t>
      </w:r>
    </w:p>
    <w:p>
      <w:pPr>
        <w:spacing w:after="0" w:line="181" w:lineRule="exact"/>
        <w:rPr>
          <w:sz w:val="20"/>
          <w:szCs w:val="20"/>
          <w:color w:val="auto"/>
        </w:rPr>
      </w:pPr>
    </w:p>
    <w:p>
      <w:pPr>
        <w:ind w:right="120"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Territories</w:t>
      </w:r>
      <w:r>
        <w:rPr>
          <w:rFonts w:ascii="Arial" w:cs="Arial" w:eastAsia="Arial" w:hAnsi="Arial"/>
          <w:sz w:val="18"/>
          <w:szCs w:val="18"/>
          <w:color w:val="auto"/>
        </w:rPr>
        <w:t>” means (i) the United States and its territories and possessions and (ii) any foreign country in which the Company engages in business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both"/>
        <w:ind w:firstLine="147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or manager or managing member of such limited liability company, partnership, association, or other business entity. For purposes hereof, references to a “Subsidiary” of any Person shall be given effect only at such times that such Person has one or more Subsidiaries, and, unless otherwise indicated, the term “Subsidiary” refers to a Subsidiary of the Company.</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means the effective date of the Executive’s termination of employment with the Company.</w:t>
      </w:r>
    </w:p>
    <w:p>
      <w:pPr>
        <w:spacing w:after="0" w:line="225"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Other Definitional Provisions.</w:t>
      </w:r>
    </w:p>
    <w:p>
      <w:pPr>
        <w:spacing w:after="0" w:line="225" w:lineRule="exact"/>
        <w:rPr>
          <w:sz w:val="20"/>
          <w:szCs w:val="20"/>
          <w:color w:val="auto"/>
        </w:rPr>
      </w:pPr>
    </w:p>
    <w:p>
      <w:pPr>
        <w:jc w:val="both"/>
        <w:ind w:firstLine="721"/>
        <w:spacing w:after="0" w:line="264" w:lineRule="auto"/>
        <w:tabs>
          <w:tab w:leader="none" w:pos="15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Section references contained in this Agreement are references to sections in this Agreement, unless otherwise specified. Each defined term used in this Agreement has a comparable meaning when used in its plural or singular form. Each gender-specific term used in this Agreement has a comparable meaning whether used in a masculine, feminine or gender-neutral form.</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41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Whenever the term “including” (whether or not that term is followed by the phrase “but not limited to” or “without limitation” or words of similar effect) is used in this Agreement in connection with a listing of items within a particular classification, that listing will be interpreted to be illustrative only and will not be interpreted as a limitation on, or an exclusive listing of, the items within that classification.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TERMS</w:t>
      </w:r>
    </w:p>
    <w:p>
      <w:pPr>
        <w:spacing w:after="0" w:line="211" w:lineRule="exact"/>
        <w:rPr>
          <w:sz w:val="20"/>
          <w:szCs w:val="20"/>
          <w:color w:val="auto"/>
        </w:rPr>
      </w:pPr>
    </w:p>
    <w:p>
      <w:pPr>
        <w:jc w:val="both"/>
        <w:ind w:firstLine="713"/>
        <w:spacing w:after="0" w:line="253" w:lineRule="auto"/>
        <w:rPr>
          <w:sz w:val="20"/>
          <w:szCs w:val="20"/>
          <w:color w:val="auto"/>
        </w:rPr>
      </w:pPr>
      <w:r>
        <w:rPr>
          <w:rFonts w:ascii="Arial" w:cs="Arial" w:eastAsia="Arial" w:hAnsi="Arial"/>
          <w:sz w:val="18"/>
          <w:szCs w:val="18"/>
          <w:color w:val="auto"/>
        </w:rPr>
        <w:t>3.1 Defense of Claims. The Executive agrees that, during the Employment Period, and for a period of six months after termination of the Executive’s employment, upon request by the Company, the Executive shall reasonably cooperate with the Company in connection with any matters the Executive worked on during his employment with the Company and any related transitional matters. In addition, during the Employment Period and thereafter, the Executive agrees to reasonably cooperate with the Company in the defense of any claims or actions that may be made by or against the Company that affect the Executive’s prior areas of responsibility or involve matters about which the Executive has knowledge, except if the Executive’s reasonable interests are adverse to the Company in such claim or action and provided that after the Employment Period such level of cooperation shall be reasonable and shall take due account of the Executive’s work and personal commitments. The Company agrees to promptly reimburse the Executive for all of the Executive’s reasonable travel and other direct expenses incurred, or to be reasonably incurred, to comply with the Executive’s obligations under this Section 3.1.</w:t>
      </w:r>
    </w:p>
    <w:p>
      <w:pPr>
        <w:spacing w:after="0" w:line="197" w:lineRule="exact"/>
        <w:rPr>
          <w:sz w:val="20"/>
          <w:szCs w:val="20"/>
          <w:color w:val="auto"/>
        </w:rPr>
      </w:pPr>
    </w:p>
    <w:p>
      <w:pPr>
        <w:jc w:val="both"/>
        <w:ind w:firstLine="713"/>
        <w:spacing w:after="0" w:line="269" w:lineRule="auto"/>
        <w:rPr>
          <w:sz w:val="20"/>
          <w:szCs w:val="20"/>
          <w:color w:val="auto"/>
        </w:rPr>
      </w:pPr>
      <w:r>
        <w:rPr>
          <w:rFonts w:ascii="Arial" w:cs="Arial" w:eastAsia="Arial" w:hAnsi="Arial"/>
          <w:sz w:val="17"/>
          <w:szCs w:val="17"/>
          <w:color w:val="auto"/>
        </w:rPr>
        <w:t>3.2 Nondisparagement. The Executive agrees to refrain from (i) making, directly or indirectly, any derogatory comments concerning the Company or its Subsidiaries or any current or former officers, directors, employees or shareholders thereof or (ii) taking any other action with respect to the Company or its Subsidiaries which is reasonably expected to result, or does result in, damage to the business or reputation of the Company, its Subsidiaries or any of its current or former officers, directors, employees or shareholders. The Company agrees to refrain from (i) making, directly or indirectly, any derogatory comments concerning the Executive or (ii) taking any other action with respect to the Executive which is reasonably expected to result, or does result in, damage to the reputation of the Executive. Notwithstanding anything to the contrary contained herein, nothing in this Agreement shall prohibit or restrict either party from, truthfully and in good faith: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or the Executive’s designated legal, compliance or human resources officers; or (iii) filing, testifying, participating in or otherwise assisting in a proceeding relating to an alleged violation of any federal, state or municipal law relating to fraud, or any rule or regulation of the Securities and Exchange Commission or any self-regulatory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8" w:name="page139"/>
    <w:bookmarkEnd w:id="138"/>
    <w:p>
      <w:pPr>
        <w:jc w:val="both"/>
        <w:ind w:firstLine="713"/>
        <w:spacing w:after="0" w:line="297" w:lineRule="auto"/>
        <w:rPr>
          <w:sz w:val="20"/>
          <w:szCs w:val="20"/>
          <w:color w:val="auto"/>
        </w:rPr>
      </w:pPr>
      <w:r>
        <w:rPr>
          <w:rFonts w:ascii="Arial" w:cs="Arial" w:eastAsia="Arial" w:hAnsi="Arial"/>
          <w:sz w:val="16"/>
          <w:szCs w:val="16"/>
          <w:color w:val="auto"/>
        </w:rPr>
        <w:t>3.3 Source of Payments. All payments provided under this Agreement, other than payments made pursuant to a plan which provides otherwise and except as otherwise provided herein,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or its Subsidiaries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58"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3.4 Notices. Any notice provided for in this Agreement must be in writing and must be either personally delivered, mailed by first class mail (postage prepaid and return receipt requested), sent by reputable overnight courier service (charges prepaid) or sent by facsimile (with receipt confirmed) to the recipient at the address or facsimile number indicated below:</w:t>
      </w:r>
    </w:p>
    <w:p>
      <w:pPr>
        <w:spacing w:after="0" w:line="18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XCel Brands, Inc.</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Blank Rome</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NY 10174-0208</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Attn: Robert Mittman, Esquire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Facsimile: (212) 885-5557</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 the Executive:</w:t>
      </w:r>
    </w:p>
    <w:p>
      <w:pPr>
        <w:spacing w:after="0" w:line="21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James F. Haran</w:t>
      </w:r>
    </w:p>
    <w:p>
      <w:pPr>
        <w:spacing w:after="0" w:line="2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 XCel Brands,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such other address or to the attention of such other Person as the recipient Party will have specified by prior written notice to the sending Party. Any notice under this Agreement will be deemed to have been given when so delivered or sent.</w:t>
      </w:r>
    </w:p>
    <w:p>
      <w:pPr>
        <w:spacing w:after="0" w:line="170"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3.5 Severability. Subject to the express provisions of Section 1.10 relating to certain specified changes,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3.6 Complete Agreement. This Agreement embodies the complete agreement and understanding among the Parties with regard to the subject matter hereof and supersedes and preempts any prior understandings, agreements or representations by or among the Parties, written or oral, which may have related to the subject matter hereof in any way. To the extent that this Agreement provides greater benefits to the Executive or fewer obligations of the Executive than available or set forth under the Company’s employee handbook or other corporate policies, then this Agreement shall prevail.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9" w:name="page140"/>
    <w:bookmarkEnd w:id="139"/>
    <w:p>
      <w:pPr>
        <w:jc w:val="both"/>
        <w:ind w:firstLine="713"/>
        <w:spacing w:after="0" w:line="277" w:lineRule="auto"/>
        <w:rPr>
          <w:sz w:val="20"/>
          <w:szCs w:val="20"/>
          <w:color w:val="auto"/>
        </w:rPr>
      </w:pPr>
      <w:r>
        <w:rPr>
          <w:rFonts w:ascii="Arial" w:cs="Arial" w:eastAsia="Arial" w:hAnsi="Arial"/>
          <w:sz w:val="18"/>
          <w:szCs w:val="18"/>
          <w:color w:val="auto"/>
        </w:rPr>
        <w:t>3.7 Counterparts. This Agreement may be executed in separate counterparts, each of which is deemed to be an original and all of which taken together constitute one and the same agreement.</w:t>
      </w:r>
    </w:p>
    <w:p>
      <w:pPr>
        <w:spacing w:after="0" w:line="170"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3.8 Assignment. Without the Executive’s consent, the Company may not assign its rights and obligations under this Agreement except (i) to a “Successor” (as defined below) or (ii) to an entity that is formed and controlled by the Company or any of its Subsidiaries. This Agreement is personal to the Executive, and the Executive shall not have the right to assign the Executive’s interest in this Agreement, any rights under this Agreement or any duties imposed under this Agreement, nor shall the Executive have the right to pledge, hypothecate, transfer, assign or otherwise encumber the Executive’s right to receive any form of compensation hereunder without the prior written consent of the Board. As used in Sections 3.8 and 3.9, “</w:t>
      </w:r>
      <w:r>
        <w:rPr>
          <w:rFonts w:ascii="Arial" w:cs="Arial" w:eastAsia="Arial" w:hAnsi="Arial"/>
          <w:sz w:val="18"/>
          <w:szCs w:val="18"/>
          <w:i w:val="1"/>
          <w:iCs w:val="1"/>
          <w:color w:val="auto"/>
        </w:rPr>
        <w:t>Successor</w:t>
      </w:r>
      <w:r>
        <w:rPr>
          <w:rFonts w:ascii="Arial" w:cs="Arial" w:eastAsia="Arial" w:hAnsi="Arial"/>
          <w:sz w:val="18"/>
          <w:szCs w:val="18"/>
          <w:color w:val="auto"/>
        </w:rPr>
        <w:t>” shall include any Person that at any time, whether by purchase, merger or otherwise, directly or indirectly acquires all or substantially all of the assets of, or ownership interests in, the Company and its Subsidiaries.</w:t>
      </w:r>
    </w:p>
    <w:p>
      <w:pPr>
        <w:spacing w:after="0" w:line="189"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3.9 Successors and Assigns. This Agreement is intended to bind and inure to the benefit of and be enforceable by the Company, the Executive, and their respective heirs, successors and permitted assigns.</w:t>
      </w:r>
    </w:p>
    <w:p>
      <w:pPr>
        <w:spacing w:after="0" w:line="170"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3.10 Choice of Law. This Agreement and the performance of the parties hereunder shall be governed by the internal laws (and not the law of conflicts) of the State of New York. Any claim or controversy arising out of or in connection with this Agreement, or the breach thereof, shall be adjudicated exclusively by the Supreme Court, New York County, State of New York, or by a federal court sitting in Manhattan in New York City, State of New York. The parties hereto agree to the personal jurisdiction of such courts and agree to accept process by regular mail in connection with any such dispute.</w:t>
      </w:r>
    </w:p>
    <w:p>
      <w:pPr>
        <w:spacing w:after="0" w:line="154"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3.11 Waiver of Jury Trial.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7"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3.12 Legal Fees and Court Costs. In the event that any action, suit or other proceeding in law or in equity is brought to enforce the provisions of this Agreement, and such action results in the award of a judgment for money damages or in the granting of any injunction in favor of the Company, all expenses (including reasonable attorneys’ fees) of the Company in such action, suit or other proceeding shall be paid by the Executive. In the event that any action, suit or other proceeding in law or in equity is brought to enforce the provisions of this Agreement, and such action results in the award of a judgment for money damages or in the granting of any injunction in favor of the Executive, all expenses (including reasonable attorneys’ fees and travel expenses) of the Executive in such action, suit or other proceeding shall be paid by the Company.</w:t>
      </w:r>
    </w:p>
    <w:p>
      <w:pPr>
        <w:spacing w:after="0" w:line="178"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3.13 Remedies. Each Party will be entitled to enforce its rights under this Agreement specifically, to recover damages and costs caused by any breach of any provision of this Agreement and to exercise all other rights existing in its favor. Subject to Section 3.12 , nothing herein shall prohibit any arbitrator or judicial authority from awarding attorneys’ fees or costs to a prevailing Party in any arbitration or other proceeding to the extent that such arbitrator or authority may lawfully do so.</w:t>
      </w:r>
    </w:p>
    <w:p>
      <w:pPr>
        <w:spacing w:after="0" w:line="187"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3.14 Amendment and Waiver. The provisions of this Agreement may be amended or waived only with the prior written consent of the Company and the Executive, and no course of conduct or failure or delay in enforcing the provisions of this Agreement will affect the validity, binding effect or enforceability of this Agreement.</w:t>
      </w:r>
    </w:p>
    <w:p>
      <w:pPr>
        <w:spacing w:after="0" w:line="18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3.15 Third Party Beneficiaries. This Agreement will not confer any rights or remedies upon any Person other than the Parties and their respective successors and permitted assigns and other than, in the event of the Executive’s death, his estate, to which all of Executive’s rights and remedies set forth herein shall accrue.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0" w:name="page141"/>
    <w:bookmarkEnd w:id="140"/>
    <w:p>
      <w:pPr>
        <w:jc w:val="both"/>
        <w:ind w:firstLine="713"/>
        <w:spacing w:after="0" w:line="254" w:lineRule="auto"/>
        <w:rPr>
          <w:sz w:val="20"/>
          <w:szCs w:val="20"/>
          <w:color w:val="auto"/>
        </w:rPr>
      </w:pPr>
      <w:r>
        <w:rPr>
          <w:rFonts w:ascii="Arial" w:cs="Arial" w:eastAsia="Arial" w:hAnsi="Arial"/>
          <w:sz w:val="18"/>
          <w:szCs w:val="18"/>
          <w:color w:val="auto"/>
        </w:rPr>
        <w:t>3.16 The Executive’s Representations. The Executive hereby represents and warrants to the Company that (a) the execution, delivery and performance of this Agreement by the Executive do not and shall not conflict with, breach, violate or cause a default under any contract, agreement, instrument, order, judgment or decree to which the Executive is a party or by which he is bound, (b) the Executive is not a party to or bound by any employment agreement, noncompete agreement or confidentiality agreement with any other Person (or other agreement with any other person containing a restriction on the Executive’s right to do business or obligating him to do business with any other Person on a priority or preferential basis), (c) upon the execution and delivery of this Agreement by the Company, this Agreement shall be the valid and binding obligation of the Executive, enforceable in accordance with its terms and (d) upon the execution and delivery of this Agreement by the Company, Executive shall not be in violation of clause (i) set forth in the definition of Cause and shall not be disabled.</w:t>
      </w:r>
    </w:p>
    <w:p>
      <w:pPr>
        <w:spacing w:after="0" w:line="188"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[SIGNATURE PAGE FOLLOWS]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Employment Agreement as of the date first written above.</w:t>
      </w:r>
    </w:p>
    <w:p>
      <w:pPr>
        <w:spacing w:after="0" w:line="207" w:lineRule="exact"/>
        <w:rPr>
          <w:sz w:val="20"/>
          <w:szCs w:val="20"/>
          <w:color w:val="auto"/>
        </w:rPr>
      </w:pPr>
    </w:p>
    <w:tbl>
      <w:tblPr>
        <w:tblLayout w:type="fixed"/>
        <w:tblInd w:w="6980" w:type="dxa"/>
        <w:tblCellMar>
          <w:top w:w="0" w:type="dxa"/>
          <w:left w:w="0" w:type="dxa"/>
          <w:bottom w:w="0" w:type="dxa"/>
          <w:right w:w="0" w:type="dxa"/>
        </w:tblCellMar>
      </w:tblP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w w:val="94"/>
              </w:rPr>
              <w:t>XCel Brands, Inc.</w:t>
            </w:r>
          </w:p>
        </w:tc>
        <w:tc>
          <w:tcPr>
            <w:tcW w:w="30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6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020" w:type="dxa"/>
            <w:vAlign w:val="bottom"/>
          </w:tcPr>
          <w:p>
            <w:pPr>
              <w:ind w:left="60"/>
              <w:spacing w:after="0" w:line="195" w:lineRule="exact"/>
              <w:rPr>
                <w:sz w:val="20"/>
                <w:szCs w:val="20"/>
                <w:color w:val="auto"/>
              </w:rPr>
            </w:pPr>
            <w:r>
              <w:rPr>
                <w:rFonts w:ascii="Arial" w:cs="Arial" w:eastAsia="Arial" w:hAnsi="Arial"/>
                <w:sz w:val="18"/>
                <w:szCs w:val="18"/>
                <w:color w:val="auto"/>
              </w:rPr>
              <w:t>Robert W. D’Loren</w:t>
            </w:r>
          </w:p>
        </w:tc>
      </w:tr>
      <w:tr>
        <w:trPr>
          <w:trHeight w:val="230"/>
        </w:trPr>
        <w:tc>
          <w:tcPr>
            <w:tcW w:w="68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020" w:type="dxa"/>
            <w:vAlign w:val="bottom"/>
          </w:tcPr>
          <w:p>
            <w:pPr>
              <w:ind w:left="60"/>
              <w:spacing w:after="0"/>
              <w:rPr>
                <w:sz w:val="20"/>
                <w:szCs w:val="20"/>
                <w:color w:val="auto"/>
              </w:rPr>
            </w:pPr>
            <w:r>
              <w:rPr>
                <w:rFonts w:ascii="Arial" w:cs="Arial" w:eastAsia="Arial" w:hAnsi="Arial"/>
                <w:sz w:val="18"/>
                <w:szCs w:val="18"/>
                <w:color w:val="auto"/>
              </w:rPr>
              <w:t>Chairman and CEO</w:t>
            </w:r>
          </w:p>
        </w:tc>
      </w:tr>
    </w:tbl>
    <w:p>
      <w:pPr>
        <w:spacing w:after="0" w:line="2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-130810</wp:posOffset>
            </wp:positionV>
            <wp:extent cx="28213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I, James F. Haran, on behalf of myself and my heirs, successors and assigns, in consideration of the performance by XCel Brands, Inc., a Delaware corporation (together with its Subsidiaries, the “Company”), of its material obligations under the Employment Agreement, dated as of July XX, 2011 (the “Agreement”), do hereby release and forever discharge as of the date hereof the Company, its Affiliates, each such Person’s respective successors and assigns and each of the foregoing Persons’ respective present and former directors, officers, partners, stockholders, members, managers, agents, representatives, employees (and each such Person’s respective successors and assigns) (collectively, the “Released Parties”) to the extent provided below.</w:t>
      </w:r>
    </w:p>
    <w:p>
      <w:pPr>
        <w:spacing w:after="0" w:line="158" w:lineRule="exact"/>
        <w:rPr>
          <w:sz w:val="20"/>
          <w:szCs w:val="20"/>
          <w:color w:val="auto"/>
        </w:rPr>
      </w:pPr>
    </w:p>
    <w:p>
      <w:pPr>
        <w:jc w:val="both"/>
        <w:ind w:firstLine="8"/>
        <w:spacing w:after="0" w:line="259" w:lineRule="auto"/>
        <w:tabs>
          <w:tab w:leader="none" w:pos="68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understand that any payments or benefits paid or granted to me under Section 1.4(b) of the Agreement represent, in part, consideration for signing this General Release and are not salary, wages or benefits to which I was already entitled. I understand and agree that I will not receive the payments and benefits specified in Section 1.4(b) of the Agreement unless I execute this General Release and do not revoke this General Release within the time period permitted hereafter or breach this General Release.</w:t>
      </w:r>
    </w:p>
    <w:p>
      <w:pPr>
        <w:spacing w:after="0" w:line="186" w:lineRule="exact"/>
        <w:rPr>
          <w:rFonts w:ascii="Arial" w:cs="Arial" w:eastAsia="Arial" w:hAnsi="Arial"/>
          <w:sz w:val="18"/>
          <w:szCs w:val="18"/>
          <w:color w:val="auto"/>
        </w:rPr>
      </w:pPr>
    </w:p>
    <w:p>
      <w:pPr>
        <w:jc w:val="both"/>
        <w:ind w:firstLine="8"/>
        <w:spacing w:after="0" w:line="284" w:lineRule="auto"/>
        <w:tabs>
          <w:tab w:leader="none" w:pos="82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 knowingly and voluntarily release and forever discharge the Company and the other Released Parties from any and all claims,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Occupational Safety and Health Act of 1970, as amended, under the Worker Adjustment and Retraining Notification Act of 1988, as amended, under the Family and Medical Leave Act of 1993, as amended, under the Fair Credit Reporting Act of 1970, as amended, and under the Sarbanes-Oxley Act of 2002, under the Civil Rights Act of 1870, 42 U.S.C. § 1981, as amended, under the Civil Rights Act of 1871, as amended, under the Americans With Disabilities Act of 1990, as amended, under the Americans with Disabilities Act Amendments of 2008, under the Rehabilitation Act of 1973, as amended, under the Immigration Reform and Control Act of 1986, as amended, under the Vietnam Era Veterans Readjustment Assistance Act of 1974, as amended, under the Uniformed Service Employment and Reemployment Rights Act of 1994, as amended, under the Consolidated Omnibus Budget Reconciliation Act of 1985 (“COBRA”), and any and all claims under the New York State Human Rights Law, under the New York City Human Rights Law, and under the New York Labor Laws, and any and all claims under any other federal, state, or local labor law, civil rights law, fair employment practices law, human rights law, family and medical leave law, occupational safety and health law, whistleblower protection law, and equal pay law; or any and all claims of slander, libel, defamation, invasion of privacy, intentional or negligent infliction of emotional distress, intentional or negligent misrepresentation, fraud, prima facie torts or other tort; or any and all claims based on the design or administration of any of the Company’s employee benefit plan or program, or arising under any Company policy, practice, or procedure, or employee benefit plan; any and all claims for wages, commissions bonuses, vacation pay or other paid time off, employee benefits equity-based compensation, or other compensation or payments of any kind or nature, or for continued employment with the Company in any position; or under any other local, state, or federal law, regulation or ordinance; or under any public policy, contract or tort, or under common law; or any claim for wrongful discharge, breach of contract, or infliction of emotional distress; or any claim for costs, fees, or other expenses, including attorneys’ fees incurred in these matters) (all of the foregoing collectively referred to herein as the “Claims”); provided, however, that nothing contained in this General Release shall apply to, or release the Company from, (i) any obligation of the Company contained in the Agreement to be performed after the date hereof or (ii) any vested or accrued benefits pursuant to any employee benefit plan, program or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2" w:name="page143"/>
    <w:bookmarkEnd w:id="142"/>
    <w:p>
      <w:pPr>
        <w:ind w:left="640" w:hanging="632"/>
        <w:spacing w:after="0"/>
        <w:tabs>
          <w:tab w:leader="none" w:pos="6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248" w:lineRule="exact"/>
        <w:rPr>
          <w:rFonts w:ascii="Arial" w:cs="Arial" w:eastAsia="Arial" w:hAnsi="Arial"/>
          <w:sz w:val="16"/>
          <w:szCs w:val="16"/>
          <w:color w:val="auto"/>
        </w:rPr>
      </w:pPr>
    </w:p>
    <w:p>
      <w:pPr>
        <w:jc w:val="both"/>
        <w:ind w:firstLine="8"/>
        <w:spacing w:after="0" w:line="259" w:lineRule="auto"/>
        <w:tabs>
          <w:tab w:leader="none" w:pos="6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86" w:lineRule="exact"/>
        <w:rPr>
          <w:rFonts w:ascii="Arial" w:cs="Arial" w:eastAsia="Arial" w:hAnsi="Arial"/>
          <w:sz w:val="18"/>
          <w:szCs w:val="18"/>
          <w:color w:val="auto"/>
        </w:rPr>
      </w:pPr>
    </w:p>
    <w:p>
      <w:pPr>
        <w:jc w:val="both"/>
        <w:ind w:firstLine="8"/>
        <w:spacing w:after="0" w:line="288" w:lineRule="auto"/>
        <w:tabs>
          <w:tab w:leader="none" w:pos="84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Persons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169" w:lineRule="exact"/>
        <w:rPr>
          <w:rFonts w:ascii="Arial" w:cs="Arial" w:eastAsia="Arial" w:hAnsi="Arial"/>
          <w:sz w:val="16"/>
          <w:szCs w:val="16"/>
          <w:color w:val="auto"/>
        </w:rPr>
      </w:pPr>
    </w:p>
    <w:p>
      <w:pPr>
        <w:ind w:firstLine="53"/>
        <w:spacing w:after="0" w:line="277" w:lineRule="auto"/>
        <w:tabs>
          <w:tab w:leader="none" w:pos="675"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70" w:lineRule="exact"/>
        <w:rPr>
          <w:sz w:val="20"/>
          <w:szCs w:val="20"/>
          <w:color w:val="auto"/>
        </w:rPr>
      </w:pPr>
    </w:p>
    <w:p>
      <w:pPr>
        <w:jc w:val="both"/>
        <w:ind w:firstLine="8"/>
        <w:spacing w:after="0" w:line="264" w:lineRule="auto"/>
        <w:tabs>
          <w:tab w:leader="none" w:pos="68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81" w:lineRule="exact"/>
        <w:rPr>
          <w:rFonts w:ascii="Arial" w:cs="Arial" w:eastAsia="Arial" w:hAnsi="Arial"/>
          <w:sz w:val="18"/>
          <w:szCs w:val="18"/>
          <w:color w:val="auto"/>
        </w:rPr>
      </w:pPr>
    </w:p>
    <w:p>
      <w:pPr>
        <w:jc w:val="both"/>
        <w:ind w:firstLine="8"/>
        <w:spacing w:after="0" w:line="264" w:lineRule="auto"/>
        <w:tabs>
          <w:tab w:leader="none" w:pos="7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the National Association of Securities Dealers, Inc. or any other self-regulatory organization or governmental entity.</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Without limitation of any provision of the Agreement, I hereby expressly re-affirm my obligations under Sections 1.5, 1.6, 1.7, 1.8, 1.9, 1.10 and 3.1.</w:t>
      </w:r>
    </w:p>
    <w:p>
      <w:pPr>
        <w:spacing w:after="0" w:line="248" w:lineRule="exact"/>
        <w:rPr>
          <w:rFonts w:ascii="Arial" w:cs="Arial" w:eastAsia="Arial" w:hAnsi="Arial"/>
          <w:sz w:val="16"/>
          <w:szCs w:val="16"/>
          <w:color w:val="auto"/>
        </w:rPr>
      </w:pPr>
    </w:p>
    <w:p>
      <w:pPr>
        <w:jc w:val="both"/>
        <w:ind w:firstLine="8"/>
        <w:spacing w:after="0" w:line="279" w:lineRule="auto"/>
        <w:tabs>
          <w:tab w:leader="none" w:pos="734"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“Affiliate” means, with respect to any Person, any Person that controls, is controlled by or is under common control with such Person or an Affiliate of such Person.</w:t>
      </w:r>
    </w:p>
    <w:p>
      <w:pPr>
        <w:spacing w:after="0" w:line="1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“Person”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3" w:name="page144"/>
    <w:bookmarkEnd w:id="143"/>
    <w:p>
      <w:pPr>
        <w:jc w:val="both"/>
        <w:spacing w:after="0" w:line="270" w:lineRule="auto"/>
        <w:rPr>
          <w:sz w:val="20"/>
          <w:szCs w:val="20"/>
          <w:color w:val="auto"/>
        </w:rPr>
      </w:pPr>
      <w:r>
        <w:rPr>
          <w:rFonts w:ascii="Arial" w:cs="Arial" w:eastAsia="Arial" w:hAnsi="Arial"/>
          <w:sz w:val="17"/>
          <w:szCs w:val="17"/>
          <w:color w:val="auto"/>
        </w:rPr>
        <w:t>“Subsidiary”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225" w:lineRule="exact"/>
        <w:rPr>
          <w:sz w:val="20"/>
          <w:szCs w:val="20"/>
          <w:color w:val="auto"/>
        </w:rPr>
      </w:pPr>
    </w:p>
    <w:p>
      <w:pPr>
        <w:ind w:left="700" w:hanging="692"/>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25" w:lineRule="exact"/>
        <w:rPr>
          <w:rFonts w:ascii="Arial" w:cs="Arial" w:eastAsia="Arial" w:hAnsi="Arial"/>
          <w:sz w:val="18"/>
          <w:szCs w:val="18"/>
          <w:color w:val="auto"/>
        </w:rPr>
      </w:pPr>
    </w:p>
    <w:p>
      <w:pPr>
        <w:jc w:val="both"/>
        <w:ind w:firstLine="8"/>
        <w:spacing w:after="0" w:line="259" w:lineRule="auto"/>
        <w:tabs>
          <w:tab w:leader="none" w:pos="71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86" w:lineRule="exact"/>
        <w:rPr>
          <w:rFonts w:ascii="Arial" w:cs="Arial" w:eastAsia="Arial" w:hAnsi="Arial"/>
          <w:sz w:val="18"/>
          <w:szCs w:val="18"/>
          <w:color w:val="auto"/>
        </w:rPr>
      </w:pPr>
    </w:p>
    <w:p>
      <w:pPr>
        <w:ind w:left="700" w:hanging="692"/>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225" w:lineRule="exact"/>
        <w:rPr>
          <w:rFonts w:ascii="Arial" w:cs="Arial" w:eastAsia="Arial" w:hAnsi="Arial"/>
          <w:sz w:val="18"/>
          <w:szCs w:val="18"/>
          <w:color w:val="auto"/>
        </w:rPr>
      </w:pPr>
    </w:p>
    <w:p>
      <w:pPr>
        <w:ind w:firstLine="8"/>
        <w:spacing w:after="0" w:line="308" w:lineRule="auto"/>
        <w:tabs>
          <w:tab w:leader="none" w:pos="72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 HAVE BEEN ADVISED TO CONSULT WITH AN ATTORNEY (VIA THE AGREEMENT AND THIS RELEASE) BEFORE EXECUTING IT AND I HAVE DONE SO OR, AFTER CAREFUL READING AND CONSIDERATION, I HAVE CHOSEN NOT TO DO SO OF MY OWN VOLITION;</w:t>
      </w:r>
    </w:p>
    <w:p>
      <w:pPr>
        <w:spacing w:after="0" w:line="146" w:lineRule="exact"/>
        <w:rPr>
          <w:rFonts w:ascii="Arial" w:cs="Arial" w:eastAsia="Arial" w:hAnsi="Arial"/>
          <w:sz w:val="17"/>
          <w:szCs w:val="17"/>
          <w:color w:val="auto"/>
        </w:rPr>
      </w:pPr>
    </w:p>
    <w:p>
      <w:pPr>
        <w:ind w:left="780" w:hanging="772"/>
        <w:spacing w:after="0"/>
        <w:tabs>
          <w:tab w:leader="none" w:pos="7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 HAVE HAD AT LEAST 21 DAYS FROM THE DATE OF MY RECEIPT OF THIS RELEASE SUBSTANTIALLY IN ITS FINAL FORM ON</w:t>
      </w:r>
    </w:p>
    <w:p>
      <w:pPr>
        <w:spacing w:after="0" w:line="34"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color w:val="auto"/>
        </w:rPr>
        <w:t>_______________ __, _____ TO CONSIDER IT AND THE CHANGES MADE SINCE THE _______________ __, _____ VERSION OF THIS RELEASE ARE NOT MATERIAL AND WILL NOT RESTART THE REQUIRED 21-DAY PERIOD;</w:t>
      </w:r>
    </w:p>
    <w:p>
      <w:pPr>
        <w:spacing w:after="0" w:line="183" w:lineRule="exact"/>
        <w:rPr>
          <w:rFonts w:ascii="Arial" w:cs="Arial" w:eastAsia="Arial" w:hAnsi="Arial"/>
          <w:sz w:val="17"/>
          <w:szCs w:val="17"/>
          <w:color w:val="auto"/>
        </w:rPr>
      </w:pPr>
    </w:p>
    <w:p>
      <w:pPr>
        <w:ind w:right="20" w:firstLine="8"/>
        <w:spacing w:after="0" w:line="277" w:lineRule="auto"/>
        <w:tabs>
          <w:tab w:leader="none" w:pos="8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CHANGES TO THE AGREEMENT SINCE _______________ ___, _____ EITHER ARE NOT MATERIAL OR WERE MADE AT MY REQUEST.</w:t>
      </w:r>
    </w:p>
    <w:p>
      <w:pPr>
        <w:spacing w:after="0" w:line="170" w:lineRule="exact"/>
        <w:rPr>
          <w:rFonts w:ascii="Arial" w:cs="Arial" w:eastAsia="Arial" w:hAnsi="Arial"/>
          <w:sz w:val="18"/>
          <w:szCs w:val="18"/>
          <w:color w:val="auto"/>
        </w:rPr>
      </w:pPr>
    </w:p>
    <w:p>
      <w:pPr>
        <w:jc w:val="both"/>
        <w:ind w:firstLine="8"/>
        <w:spacing w:after="0" w:line="264" w:lineRule="auto"/>
        <w:tabs>
          <w:tab w:leader="none" w:pos="101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RELEASE TO REVOKE IT AND THAT THIS RELEASE SHALL NOT BECOME EFFECTIVE OR ENFORCEABLE UNTIL THE EIGHTH DAY FOLLOWING EXECUTION OF THE AGREEMENT;</w:t>
      </w:r>
    </w:p>
    <w:p>
      <w:pPr>
        <w:spacing w:after="0" w:line="181" w:lineRule="exact"/>
        <w:rPr>
          <w:rFonts w:ascii="Arial" w:cs="Arial" w:eastAsia="Arial" w:hAnsi="Arial"/>
          <w:sz w:val="18"/>
          <w:szCs w:val="18"/>
          <w:color w:val="auto"/>
        </w:rPr>
      </w:pPr>
    </w:p>
    <w:p>
      <w:pPr>
        <w:jc w:val="both"/>
        <w:ind w:firstLine="8"/>
        <w:spacing w:after="0" w:line="279" w:lineRule="auto"/>
        <w:tabs>
          <w:tab w:leader="none" w:pos="71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 ACKNOWLEDGE THAT MY ACCEPTANCE OF ANY OF THE MONIES PAID BY THE COMPANY AS DESCRIBED IN SECTIONS __ OF THE EMPLOYMENT AGREEMENT, AT ANY TIME MORE THAN SEVEN DAYS AFTER THE EXECUTION OF THIS AGREEMENT WILL CONSTITUTE AN ADMISSION BY ME THAT I DID NOT REVOKE THIS AGREEMENT DURING THE REVOCATION PERIOD OF SEVEN DAYS; AND WILL FURTHER CONSTITUTE AN ADMISSION BY ME THAT THIS AGREEMENT HAS BECOME EFFECTIVE AND ENFORCEABLE.</w:t>
      </w:r>
    </w:p>
    <w:p>
      <w:pPr>
        <w:spacing w:after="0" w:line="171" w:lineRule="exact"/>
        <w:rPr>
          <w:rFonts w:ascii="Arial" w:cs="Arial" w:eastAsia="Arial" w:hAnsi="Arial"/>
          <w:sz w:val="17"/>
          <w:szCs w:val="17"/>
          <w:color w:val="auto"/>
        </w:rPr>
      </w:pPr>
    </w:p>
    <w:p>
      <w:pPr>
        <w:ind w:right="720" w:firstLine="53"/>
        <w:spacing w:after="0" w:line="277" w:lineRule="auto"/>
        <w:tabs>
          <w:tab w:leader="none" w:pos="71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4" w:name="page145"/>
    <w:bookmarkEnd w:id="144"/>
    <w:p>
      <w:pPr>
        <w:ind w:firstLine="8"/>
        <w:spacing w:after="0" w:line="308" w:lineRule="auto"/>
        <w:tabs>
          <w:tab w:leader="none" w:pos="88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F. Haran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Robert W. D’Loren</w:t>
            </w:r>
          </w:p>
        </w:tc>
        <w:tc>
          <w:tcPr>
            <w:tcW w:w="5720" w:type="dxa"/>
            <w:vAlign w:val="bottom"/>
          </w:tcPr>
          <w:p>
            <w:pPr>
              <w:spacing w:after="0"/>
              <w:rPr>
                <w:sz w:val="18"/>
                <w:szCs w:val="18"/>
                <w:color w:val="auto"/>
              </w:rPr>
            </w:pPr>
          </w:p>
        </w:tc>
      </w:tr>
      <w:tr>
        <w:trPr>
          <w:trHeight w:val="230"/>
        </w:trPr>
        <w:tc>
          <w:tcPr>
            <w:tcW w:w="5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80"/>
              <w:spacing w:after="0"/>
              <w:rPr>
                <w:sz w:val="20"/>
                <w:szCs w:val="20"/>
                <w:color w:val="auto"/>
              </w:rPr>
            </w:pPr>
            <w:r>
              <w:rPr>
                <w:rFonts w:ascii="Arial" w:cs="Arial" w:eastAsia="Arial" w:hAnsi="Arial"/>
                <w:sz w:val="18"/>
                <w:szCs w:val="18"/>
                <w:color w:val="auto"/>
              </w:rPr>
              <w:t>Chairman and CEO</w:t>
            </w:r>
          </w:p>
        </w:tc>
        <w:tc>
          <w:tcPr>
            <w:tcW w:w="5720" w:type="dxa"/>
            <w:vAlign w:val="bottom"/>
          </w:tcPr>
          <w:p>
            <w:pPr>
              <w:spacing w:after="0"/>
              <w:rPr>
                <w:sz w:val="20"/>
                <w:szCs w:val="20"/>
                <w:color w:val="auto"/>
              </w:rPr>
            </w:pPr>
          </w:p>
        </w:tc>
      </w:tr>
      <w:tr>
        <w:trPr>
          <w:trHeight w:val="648"/>
        </w:trPr>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9"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THIS AMENDED AND RESTATED EMPLOYMENT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made as of February __, 2012 by and between XCel Brands,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Seth Burroughs (the “</w:t>
      </w:r>
      <w:r>
        <w:rPr>
          <w:rFonts w:ascii="Arial" w:cs="Arial" w:eastAsia="Arial" w:hAnsi="Arial"/>
          <w:sz w:val="18"/>
          <w:szCs w:val="18"/>
          <w:i w:val="1"/>
          <w:iCs w:val="1"/>
          <w:color w:val="auto"/>
        </w:rPr>
        <w:t>Executive</w:t>
      </w:r>
      <w:r>
        <w:rPr>
          <w:rFonts w:ascii="Arial" w:cs="Arial" w:eastAsia="Arial" w:hAnsi="Arial"/>
          <w:sz w:val="18"/>
          <w:szCs w:val="18"/>
          <w:color w:val="auto"/>
        </w:rPr>
        <w:t>”), each a “</w:t>
      </w:r>
      <w:r>
        <w:rPr>
          <w:rFonts w:ascii="Arial" w:cs="Arial" w:eastAsia="Arial" w:hAnsi="Arial"/>
          <w:sz w:val="18"/>
          <w:szCs w:val="18"/>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i w:val="1"/>
          <w:iCs w:val="1"/>
          <w:color w:val="auto"/>
        </w:rPr>
        <w:t>Parties.</w:t>
      </w:r>
      <w:r>
        <w:rPr>
          <w:rFonts w:ascii="Arial" w:cs="Arial" w:eastAsia="Arial" w:hAnsi="Arial"/>
          <w:sz w:val="18"/>
          <w:szCs w:val="18"/>
          <w:color w:val="auto"/>
        </w:rPr>
        <w:t>” This Agreement amends and restates that certain employment agreement dated as of September 22, 2011, by and between the Company and the Executive. Unless otherwise indicated, capitalized terms used herein are defined in Section 2.1.</w:t>
      </w:r>
    </w:p>
    <w:p>
      <w:pPr>
        <w:spacing w:after="0" w:line="18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WHEREAS, the Company has determined that it is in the best interests of the Company and its shareholders to enter into an employment agreement with the Executive and the Executive is willing to serve as an employee of the Company.</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NOW, THEREFORE, in consideration of the mutual covenants and agreements set forth herein, it is agreed by and between the Executive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TERMS</w:t>
      </w:r>
    </w:p>
    <w:p>
      <w:pPr>
        <w:spacing w:after="0" w:line="21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1.1 Employment. The Company will employ the Executive, and the Executive accepts employment with the Company, upon the terms and conditions set forth in this Agreement for the period beginning on the Effective Date and ending as provided in Section 1.4(a) hereof (the “</w:t>
      </w:r>
      <w:r>
        <w:rPr>
          <w:rFonts w:ascii="Arial" w:cs="Arial" w:eastAsia="Arial" w:hAnsi="Arial"/>
          <w:sz w:val="18"/>
          <w:szCs w:val="18"/>
          <w:i w:val="1"/>
          <w:iCs w:val="1"/>
          <w:color w:val="auto"/>
        </w:rPr>
        <w:t>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Period</w:t>
      </w:r>
      <w:r>
        <w:rPr>
          <w:rFonts w:ascii="Arial" w:cs="Arial" w:eastAsia="Arial" w:hAnsi="Arial"/>
          <w:sz w:val="18"/>
          <w:szCs w:val="18"/>
          <w:color w:val="auto"/>
        </w:rPr>
        <w:t>”).</w:t>
      </w:r>
    </w:p>
    <w:p>
      <w:pPr>
        <w:spacing w:after="0" w:line="181"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Position and Duties.</w:t>
      </w:r>
    </w:p>
    <w:p>
      <w:pPr>
        <w:spacing w:after="0" w:line="225" w:lineRule="exact"/>
        <w:rPr>
          <w:sz w:val="20"/>
          <w:szCs w:val="20"/>
          <w:color w:val="auto"/>
        </w:rPr>
      </w:pPr>
    </w:p>
    <w:p>
      <w:pPr>
        <w:jc w:val="both"/>
        <w:ind w:firstLine="721"/>
        <w:spacing w:after="0" w:line="276" w:lineRule="auto"/>
        <w:tabs>
          <w:tab w:leader="none" w:pos="1422" w:val="left"/>
        </w:tabs>
        <w:numPr>
          <w:ilvl w:val="0"/>
          <w:numId w:val="131"/>
        </w:numPr>
        <w:rPr>
          <w:rFonts w:ascii="Arial" w:cs="Arial" w:eastAsia="Arial" w:hAnsi="Arial"/>
          <w:sz w:val="17"/>
          <w:szCs w:val="17"/>
          <w:color w:val="auto"/>
        </w:rPr>
      </w:pPr>
      <w:r>
        <w:rPr>
          <w:rFonts w:ascii="Arial" w:cs="Arial" w:eastAsia="Arial" w:hAnsi="Arial"/>
          <w:sz w:val="17"/>
          <w:szCs w:val="17"/>
          <w:color w:val="auto"/>
        </w:rPr>
        <w:t>Generally. The Executive shall serve as the Executive Vice President – Business Development and Treasury, of the Company and, in such capacity shall be responsible for the general management of the treasury affairs of the Company, shall perform such duties as are customarily performed by an officer with similar title and responsibilities of a company of a similar size and shall have such power and authority as shall reasonably be required to enable him to perform his duties hereunder; provided, however, that in exercising such power and authority and performing such duties, he shall at all times be subject to the authority, control and direction of the Chief Executive Officer of the Company.</w:t>
      </w:r>
    </w:p>
    <w:p>
      <w:pPr>
        <w:spacing w:after="0" w:line="172" w:lineRule="exact"/>
        <w:rPr>
          <w:rFonts w:ascii="Arial" w:cs="Arial" w:eastAsia="Arial" w:hAnsi="Arial"/>
          <w:sz w:val="17"/>
          <w:szCs w:val="17"/>
          <w:color w:val="auto"/>
        </w:rPr>
      </w:pPr>
    </w:p>
    <w:p>
      <w:pPr>
        <w:jc w:val="both"/>
        <w:ind w:firstLine="721"/>
        <w:spacing w:after="0" w:line="293" w:lineRule="auto"/>
        <w:tabs>
          <w:tab w:leader="none" w:pos="146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Duties and Responsibilities. The Executive shall report to the Chief Executive Officer of the Company and shall devote his full business time and attention to the business and affairs of the Company and its Subsidiaries. The Executive shall perform his duties and responsibilities in a diligent, trustworthy, businesslike and efficient manner and shall use his best efforts during the Employment Period to protect, encourage and promote the best interests of the Company and its stockholders. The Executive shall not engage in any other business activities that could reasonably be expected to conflict with the Executive’s duties, responsibilities and obligations hereunder. During the Employment Period, the Executive shall promptly bring to the Company or its Subsidiaries, as applicable, all investment or business opportunities relating to the Business of which the Executive becomes aware.</w:t>
      </w:r>
    </w:p>
    <w:p>
      <w:pPr>
        <w:spacing w:after="0" w:line="164" w:lineRule="exact"/>
        <w:rPr>
          <w:rFonts w:ascii="Arial" w:cs="Arial" w:eastAsia="Arial" w:hAnsi="Arial"/>
          <w:sz w:val="16"/>
          <w:szCs w:val="16"/>
          <w:color w:val="auto"/>
        </w:rPr>
      </w:pPr>
    </w:p>
    <w:p>
      <w:pPr>
        <w:ind w:firstLine="721"/>
        <w:spacing w:after="0" w:line="277" w:lineRule="auto"/>
        <w:tabs>
          <w:tab w:leader="none" w:pos="147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Executive shall not engage in any other business activities that could reasonably be expected to conflict with the Executive’s duties, responsibilities and obligations hereunder.</w:t>
      </w:r>
    </w:p>
    <w:p>
      <w:pPr>
        <w:spacing w:after="0" w:line="170" w:lineRule="exact"/>
        <w:rPr>
          <w:rFonts w:ascii="Arial" w:cs="Arial" w:eastAsia="Arial" w:hAnsi="Arial"/>
          <w:sz w:val="18"/>
          <w:szCs w:val="18"/>
          <w:color w:val="auto"/>
        </w:rPr>
      </w:pPr>
    </w:p>
    <w:p>
      <w:pPr>
        <w:jc w:val="both"/>
        <w:ind w:firstLine="721"/>
        <w:spacing w:after="0" w:line="264" w:lineRule="auto"/>
        <w:tabs>
          <w:tab w:leader="none" w:pos="144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Principal Office. The principal place of performance by the Executive of his duties hereunder shall be the Company’s principal executive offices in the New York Metropolitan area, although the Executive may be required to travel outside of the area where the Company’s principal executive offices are located in connection with the business of the Company.</w:t>
      </w:r>
    </w:p>
    <w:p>
      <w:pPr>
        <w:spacing w:after="0" w:line="181"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Compensation.</w:t>
      </w:r>
    </w:p>
    <w:p>
      <w:pPr>
        <w:spacing w:after="0" w:line="225" w:lineRule="exact"/>
        <w:rPr>
          <w:sz w:val="20"/>
          <w:szCs w:val="20"/>
          <w:color w:val="auto"/>
        </w:rPr>
      </w:pPr>
    </w:p>
    <w:p>
      <w:pPr>
        <w:jc w:val="both"/>
        <w:ind w:firstLine="721"/>
        <w:spacing w:after="0" w:line="272" w:lineRule="auto"/>
        <w:tabs>
          <w:tab w:leader="none" w:pos="166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Base Salary. The Executive’s base salary shall be (i) $175,000 per annum (the “</w:t>
      </w:r>
      <w:r>
        <w:rPr>
          <w:rFonts w:ascii="Arial" w:cs="Arial" w:eastAsia="Arial" w:hAnsi="Arial"/>
          <w:sz w:val="17"/>
          <w:szCs w:val="17"/>
          <w:i w:val="1"/>
          <w:iCs w:val="1"/>
          <w:color w:val="auto"/>
        </w:rPr>
        <w:t>First Year Base Salary</w:t>
      </w:r>
      <w:r>
        <w:rPr>
          <w:rFonts w:ascii="Arial" w:cs="Arial" w:eastAsia="Arial" w:hAnsi="Arial"/>
          <w:sz w:val="17"/>
          <w:szCs w:val="17"/>
          <w:color w:val="auto"/>
        </w:rPr>
        <w:t>”) for the one year period commencing on the Effective Date and ending on the first anniversary of the Effective Date and (ii) $200,000 per annum (the “</w:t>
      </w:r>
      <w:r>
        <w:rPr>
          <w:rFonts w:ascii="Arial" w:cs="Arial" w:eastAsia="Arial" w:hAnsi="Arial"/>
          <w:sz w:val="17"/>
          <w:szCs w:val="17"/>
          <w:i w:val="1"/>
          <w:iCs w:val="1"/>
          <w:color w:val="auto"/>
        </w:rPr>
        <w:t>Second Year Base Salary</w:t>
      </w:r>
      <w:r>
        <w:rPr>
          <w:rFonts w:ascii="Arial" w:cs="Arial" w:eastAsia="Arial" w:hAnsi="Arial"/>
          <w:sz w:val="17"/>
          <w:szCs w:val="17"/>
          <w:color w:val="auto"/>
        </w:rPr>
        <w:t xml:space="preserve">”) for the one year period commencing on the first anniversary of the Effective Date and ending on the second anniversary of the Effective Date. </w:t>
      </w:r>
      <w:r>
        <w:rPr>
          <w:rFonts w:ascii="Arial" w:cs="Arial" w:eastAsia="Arial" w:hAnsi="Arial"/>
          <w:sz w:val="17"/>
          <w:szCs w:val="17"/>
          <w:i w:val="1"/>
          <w:iCs w:val="1"/>
          <w:color w:val="auto"/>
        </w:rPr>
        <w:t>Base Salary</w:t>
      </w:r>
      <w:r>
        <w:rPr>
          <w:rFonts w:ascii="Arial" w:cs="Arial" w:eastAsia="Arial" w:hAnsi="Arial"/>
          <w:sz w:val="17"/>
          <w:szCs w:val="17"/>
          <w:color w:val="auto"/>
        </w:rPr>
        <w:t>” means the First Year Base Salary or the Second Year Base Salary, whichever is in effect at the time of the determination. The Base Salary will be payable to the Executive by the Company in regular installments in accordance with the Company’s general payroll practices. The Executive shall receive such increases (but not decreases) in his Base Salary as the Board of Directors, or the compensation committee of the Board of Directors, may approve in its sole discretion from time to time. Following the initial two years, the Base Salary shall be reviewed at least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6" w:name="page147"/>
    <w:bookmarkEnd w:id="146"/>
    <w:p>
      <w:pPr>
        <w:jc w:val="both"/>
        <w:ind w:left="-721" w:firstLine="721"/>
        <w:spacing w:after="0" w:line="270" w:lineRule="auto"/>
        <w:tabs>
          <w:tab w:leader="none" w:pos="76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Cash Bonus. Executive shall be eligible for cash bonuses (“</w:t>
      </w:r>
      <w:r>
        <w:rPr>
          <w:rFonts w:ascii="Arial" w:cs="Arial" w:eastAsia="Arial" w:hAnsi="Arial"/>
          <w:sz w:val="17"/>
          <w:szCs w:val="17"/>
          <w:i w:val="1"/>
          <w:iCs w:val="1"/>
          <w:color w:val="auto"/>
        </w:rPr>
        <w:t>Cash Bonus</w:t>
      </w:r>
      <w:r>
        <w:rPr>
          <w:rFonts w:ascii="Arial" w:cs="Arial" w:eastAsia="Arial" w:hAnsi="Arial"/>
          <w:sz w:val="17"/>
          <w:szCs w:val="17"/>
          <w:color w:val="auto"/>
        </w:rPr>
        <w:t>”) as follows: (i) for any acquisition completed by the Company with a purchase price of an amount that is equal to or greater than $10 million, but less than $25 million, Executive shall be paid $50,000; (ii) for any acquisition completed by the Company with a purchase price of an amount that is equal to or greater than $25 million, but less than $75 million, Executive shall be paid $100,000; (iii) for any acquisition completed by the Company with a purchase price of an amount that is equal to or greater than $75 million, but less than $150 million, Executive shall be paid $125,000; and (iv) for any acquisition completed by the Company with a purchase price of an amount that is equal to or greater than $150 million, Executive shall be paid $150,000. The Cash Bonus shall be awarded to the Executive within 30 days of the closing of the acquisition to which the Cash Bonus relates. Executive shall be eligible to receive the Cash Bonus if Executive’s employment is less than a full year or ceases after the closing of the acquisition to which the Cash Bonus relates but prior to the day that is 30 days after such closing. The Executive is eligible to receive additional cash bonuses at the discretion of the Company’s compensation committee.</w:t>
      </w:r>
    </w:p>
    <w:p>
      <w:pPr>
        <w:spacing w:after="0" w:line="181" w:lineRule="exact"/>
        <w:rPr>
          <w:rFonts w:ascii="Arial" w:cs="Arial" w:eastAsia="Arial" w:hAnsi="Arial"/>
          <w:sz w:val="17"/>
          <w:szCs w:val="17"/>
          <w:color w:val="auto"/>
        </w:rPr>
      </w:pPr>
    </w:p>
    <w:p>
      <w:pPr>
        <w:ind w:left="-721" w:right="20" w:firstLine="721"/>
        <w:spacing w:after="0" w:line="277" w:lineRule="auto"/>
        <w:tabs>
          <w:tab w:leader="none" w:pos="68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Withholding. All payments made under this Agreement (including Base Salary, Cash Bonus, bonus payments, and other amounts) shall be subject to withholding for income taxes, payroll taxes and other legally required deductions.</w:t>
      </w:r>
    </w:p>
    <w:p>
      <w:pPr>
        <w:spacing w:after="0" w:line="170" w:lineRule="exact"/>
        <w:rPr>
          <w:rFonts w:ascii="Arial" w:cs="Arial" w:eastAsia="Arial" w:hAnsi="Arial"/>
          <w:sz w:val="18"/>
          <w:szCs w:val="18"/>
          <w:color w:val="auto"/>
        </w:rPr>
      </w:pPr>
    </w:p>
    <w:p>
      <w:pPr>
        <w:jc w:val="both"/>
        <w:ind w:left="-721" w:firstLine="721"/>
        <w:spacing w:after="0" w:line="297" w:lineRule="auto"/>
        <w:tabs>
          <w:tab w:leader="none" w:pos="73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Expenses. The Company will reimburse the Executive for all reasonable expenses incurred by him in the course of performing his duties under this Agreement that are consistent with the Company’s policies in effect at that time with respect to travel, entertainment and other business expenses, subject to the Company’s requirements with respect to reporting and documentation of such expenses. All expense reimbursement payments subject to this Section 1.3(d) shall be made within thirty (30) days after the date that the Executive notifies the Company of such expense; provided, however, that the Executive shall notify the Company of such expenses no later than six (6) months after the end of the calendar year in which such expenses were incurred.</w:t>
      </w:r>
    </w:p>
    <w:p>
      <w:pPr>
        <w:spacing w:after="0" w:line="158" w:lineRule="exact"/>
        <w:rPr>
          <w:rFonts w:ascii="Arial" w:cs="Arial" w:eastAsia="Arial" w:hAnsi="Arial"/>
          <w:sz w:val="16"/>
          <w:szCs w:val="16"/>
          <w:color w:val="auto"/>
        </w:rPr>
      </w:pPr>
    </w:p>
    <w:p>
      <w:pPr>
        <w:jc w:val="both"/>
        <w:ind w:left="-721" w:firstLine="721"/>
        <w:spacing w:after="0" w:line="264" w:lineRule="auto"/>
        <w:tabs>
          <w:tab w:leader="none" w:pos="68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Vacation; Holiday Pay and Sick Leave. The Executive shall be entitled to four (4) weeks’ paid vacation in each calendar year, which if not taken during any year may be carried forward to any subsequent year. Executive shall receive holiday pay and paid sick leave as provided to other executive employees of the Company.</w:t>
      </w:r>
    </w:p>
    <w:p>
      <w:pPr>
        <w:spacing w:after="0" w:line="181" w:lineRule="exact"/>
        <w:rPr>
          <w:rFonts w:ascii="Arial" w:cs="Arial" w:eastAsia="Arial" w:hAnsi="Arial"/>
          <w:sz w:val="18"/>
          <w:szCs w:val="18"/>
          <w:color w:val="auto"/>
        </w:rPr>
      </w:pPr>
    </w:p>
    <w:p>
      <w:pPr>
        <w:jc w:val="both"/>
        <w:ind w:left="-721" w:firstLine="721"/>
        <w:spacing w:after="0" w:line="255" w:lineRule="auto"/>
        <w:tabs>
          <w:tab w:leader="none" w:pos="8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Additional Benefits. During the Employment Period, the Executive shall be entitled to participate (for himself and, as applicable, his dependents) in the group medical, life, 401(k) and other insurance programs, employee benefit plans and perquisites which may be adopted by the Board, or the compensation committee of the Board, from time to time, for participation by the Company’s senior management or executives, as well as dental, life and disability insurance coverage, with payment of, or reimbursement for, such insurance premiums by the Company, subject to, in all cases, the terms and conditions established by the Board with respect to such plans (collectively, the “</w:t>
      </w:r>
      <w:r>
        <w:rPr>
          <w:rFonts w:ascii="Arial" w:cs="Arial" w:eastAsia="Arial" w:hAnsi="Arial"/>
          <w:sz w:val="18"/>
          <w:szCs w:val="18"/>
          <w:i w:val="1"/>
          <w:iCs w:val="1"/>
          <w:color w:val="auto"/>
        </w:rPr>
        <w:t>Benefits</w:t>
      </w:r>
      <w:r>
        <w:rPr>
          <w:rFonts w:ascii="Arial" w:cs="Arial" w:eastAsia="Arial" w:hAnsi="Arial"/>
          <w:sz w:val="18"/>
          <w:szCs w:val="18"/>
          <w:color w:val="auto"/>
        </w:rPr>
        <w:t>”); provided, however, that the Board, in its reasonable discretion, may revise the terms of any Benefits so long as such revision does not have a disproportionately negative impact on the Executive vis-à-vis other Company employees, to the extent applicable.</w:t>
      </w:r>
    </w:p>
    <w:p>
      <w:pPr>
        <w:spacing w:after="0" w:line="189" w:lineRule="exact"/>
        <w:rPr>
          <w:rFonts w:ascii="Arial" w:cs="Arial" w:eastAsia="Arial" w:hAnsi="Arial"/>
          <w:sz w:val="18"/>
          <w:szCs w:val="18"/>
          <w:color w:val="auto"/>
        </w:rPr>
      </w:pPr>
    </w:p>
    <w:p>
      <w:pPr>
        <w:jc w:val="both"/>
        <w:ind w:left="-721" w:firstLine="721"/>
        <w:spacing w:after="0" w:line="259" w:lineRule="auto"/>
        <w:tabs>
          <w:tab w:leader="none" w:pos="72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Indemnification. The Executive shall be entitled to indemnification by the Company in the same circumstances and to the same extent as the other executive officers and directors of the Company, which indemnification shall in no event be less favorable to the Executive than the fullest scope of indemnification permitted by applicable Delaware law (or any such greater scope of indemnification provided by agreement or by the terms of the Company’s Certificate of Incorporation or By-Laws to any executive officer or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401955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9"/>
          </w:cols>
          <w:pgMar w:left="961" w:top="881" w:right="239" w:bottom="1440" w:gutter="0" w:footer="0" w:header="0"/>
        </w:sectPr>
      </w:pPr>
    </w:p>
    <w:bookmarkStart w:id="147" w:name="page148"/>
    <w:bookmarkEnd w:id="147"/>
    <w:p>
      <w:pPr>
        <w:jc w:val="both"/>
        <w:ind w:left="-8" w:firstLine="721"/>
        <w:spacing w:after="0" w:line="259" w:lineRule="auto"/>
        <w:tabs>
          <w:tab w:leader="none" w:pos="14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Stock Options. In the event that the Company elects from time to time during the Employment Period to award to its senior management or executives, generally, options to purchase shares of the Company’s stock pursuant to any stock option plan or similar program, the Executive shall be entitled to participate in any such stock option plan or similar program on a basis consistent with the participation of other senior management or executives of the Company.</w:t>
      </w:r>
    </w:p>
    <w:p>
      <w:pPr>
        <w:spacing w:after="0" w:line="186" w:lineRule="exact"/>
        <w:rPr>
          <w:rFonts w:ascii="Arial" w:cs="Arial" w:eastAsia="Arial" w:hAnsi="Arial"/>
          <w:sz w:val="18"/>
          <w:szCs w:val="18"/>
          <w:color w:val="auto"/>
        </w:rPr>
      </w:pPr>
    </w:p>
    <w:p>
      <w:pPr>
        <w:jc w:val="both"/>
        <w:ind w:left="-8" w:firstLine="721"/>
        <w:spacing w:after="0" w:line="257" w:lineRule="auto"/>
        <w:tabs>
          <w:tab w:leader="none" w:pos="1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Warrant. On the Closing Date, the Executive shall receive a warrant (the “</w:t>
      </w:r>
      <w:r>
        <w:rPr>
          <w:rFonts w:ascii="Arial" w:cs="Arial" w:eastAsia="Arial" w:hAnsi="Arial"/>
          <w:sz w:val="18"/>
          <w:szCs w:val="18"/>
          <w:i w:val="1"/>
          <w:iCs w:val="1"/>
          <w:color w:val="auto"/>
        </w:rPr>
        <w:t>Warrant Grant</w:t>
      </w:r>
      <w:r>
        <w:rPr>
          <w:rFonts w:ascii="Arial" w:cs="Arial" w:eastAsia="Arial" w:hAnsi="Arial"/>
          <w:sz w:val="18"/>
          <w:szCs w:val="18"/>
          <w:color w:val="auto"/>
        </w:rPr>
        <w:t>”) to purchase 50,000 shares of Company’s common stock (the “</w:t>
      </w:r>
      <w:r>
        <w:rPr>
          <w:rFonts w:ascii="Arial" w:cs="Arial" w:eastAsia="Arial" w:hAnsi="Arial"/>
          <w:sz w:val="18"/>
          <w:szCs w:val="18"/>
          <w:i w:val="1"/>
          <w:iCs w:val="1"/>
          <w:color w:val="auto"/>
        </w:rPr>
        <w:t>Warrant</w:t>
      </w:r>
      <w:r>
        <w:rPr>
          <w:rFonts w:ascii="Arial" w:cs="Arial" w:eastAsia="Arial" w:hAnsi="Arial"/>
          <w:sz w:val="18"/>
          <w:szCs w:val="18"/>
          <w:color w:val="auto"/>
        </w:rPr>
        <w:t>”), each with an exercise price per share equal to the price per share of common stock (without allocating any value to any warrants, if any, sold with the common stock) sold in the private placement anticipated to close on or about the same day as the Closing Date. The warrant vests and becomes exercisable on the Closing Date and has a ten-year term. The shares of the Company’s Common Stock underlying the Warrant shall have customary piggy back registration and cashless exercise rights.</w:t>
      </w:r>
    </w:p>
    <w:p>
      <w:pPr>
        <w:spacing w:after="0" w:line="188" w:lineRule="exact"/>
        <w:rPr>
          <w:sz w:val="20"/>
          <w:szCs w:val="20"/>
          <w:color w:val="auto"/>
        </w:rPr>
      </w:pPr>
    </w:p>
    <w:p>
      <w:pPr>
        <w:ind w:left="712"/>
        <w:spacing w:after="0"/>
        <w:tabs>
          <w:tab w:leader="none" w:pos="1372"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Term and Termination.</w:t>
      </w:r>
    </w:p>
    <w:p>
      <w:pPr>
        <w:spacing w:after="0" w:line="225" w:lineRule="exact"/>
        <w:rPr>
          <w:sz w:val="20"/>
          <w:szCs w:val="20"/>
          <w:color w:val="auto"/>
        </w:rPr>
      </w:pPr>
    </w:p>
    <w:p>
      <w:pPr>
        <w:jc w:val="both"/>
        <w:ind w:left="-8" w:firstLine="721"/>
        <w:spacing w:after="0" w:line="286" w:lineRule="auto"/>
        <w:tabs>
          <w:tab w:leader="none" w:pos="157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Duration. The Employment Period shall commence on the Effective Date and the initial term shall terminate two (2) years from the Effective Date (the “</w:t>
      </w:r>
      <w:r>
        <w:rPr>
          <w:rFonts w:ascii="Arial" w:cs="Arial" w:eastAsia="Arial" w:hAnsi="Arial"/>
          <w:sz w:val="16"/>
          <w:szCs w:val="16"/>
          <w:i w:val="1"/>
          <w:iCs w:val="1"/>
          <w:color w:val="auto"/>
        </w:rPr>
        <w:t>Term</w:t>
      </w:r>
      <w:r>
        <w:rPr>
          <w:rFonts w:ascii="Arial" w:cs="Arial" w:eastAsia="Arial" w:hAnsi="Arial"/>
          <w:sz w:val="16"/>
          <w:szCs w:val="16"/>
          <w:color w:val="auto"/>
        </w:rPr>
        <w:t>”), unless earlier terminated by the Company or the Executive as set forth in this Section 1.4 . The Term shall renew automatically for one-year periods, unless either party gives the other party written notice of its intention not to renew the Agreement no later than 30 days prior to the expiration of the then current Term. The Employment Period shall be terminated prior to the then-applicable expiration of the Term upon the first to occur of</w:t>
      </w:r>
    </w:p>
    <w:p>
      <w:pPr>
        <w:spacing w:after="0" w:line="1" w:lineRule="exact"/>
        <w:rPr>
          <w:rFonts w:ascii="Arial" w:cs="Arial" w:eastAsia="Arial" w:hAnsi="Arial"/>
          <w:sz w:val="16"/>
          <w:szCs w:val="16"/>
          <w:color w:val="auto"/>
        </w:rPr>
      </w:pPr>
    </w:p>
    <w:p>
      <w:pPr>
        <w:ind w:left="232" w:hanging="232"/>
        <w:spacing w:after="0"/>
        <w:tabs>
          <w:tab w:leader="none" w:pos="23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termination of the Executive’s employment by the Company for Cause, (ii) termination of the Executive’s employment by the Company without Cause,</w:t>
      </w:r>
    </w:p>
    <w:p>
      <w:pPr>
        <w:spacing w:after="0" w:line="32" w:lineRule="exact"/>
        <w:rPr>
          <w:rFonts w:ascii="Arial" w:cs="Arial" w:eastAsia="Arial" w:hAnsi="Arial"/>
          <w:sz w:val="16"/>
          <w:szCs w:val="16"/>
          <w:color w:val="auto"/>
        </w:rPr>
      </w:pPr>
    </w:p>
    <w:p>
      <w:pPr>
        <w:jc w:val="both"/>
        <w:ind w:left="-8" w:firstLine="8"/>
        <w:spacing w:after="0" w:line="253" w:lineRule="auto"/>
        <w:tabs>
          <w:tab w:leader="none" w:pos="35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Executive’s resignation with Good Reason, (iv) the Executive’s resignation other than for Good Reason, or (v) the Executive’s death or Disability. The Executive shall not terminate the Employment Period, with or without Good Reason, unless he gives the Company written notice that he intends to terminate the Employment Period at least 90 days prior to the Executive’s proposed Termination Date. As a condition to Executive receiving any payments or benefits under Section 1.4(b), the Executive shall execute and deliver to the Company the General Release in the form attached hereto as Exhibit A .</w:t>
      </w:r>
    </w:p>
    <w:p>
      <w:pPr>
        <w:spacing w:after="0" w:line="191" w:lineRule="exact"/>
        <w:rPr>
          <w:rFonts w:ascii="Arial" w:cs="Arial" w:eastAsia="Arial" w:hAnsi="Arial"/>
          <w:sz w:val="18"/>
          <w:szCs w:val="18"/>
          <w:color w:val="auto"/>
        </w:rPr>
      </w:pPr>
    </w:p>
    <w:p>
      <w:pPr>
        <w:jc w:val="both"/>
        <w:ind w:left="-8" w:firstLine="721"/>
        <w:spacing w:after="0" w:line="267" w:lineRule="auto"/>
        <w:tabs>
          <w:tab w:leader="none" w:pos="1526"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Severance Upon Termination Without Cause, Upon Resignation by the Executive For Good Reason or Failure to Renew Term . If the Employment Period is terminated by the Company without Cause or if the Executive resigns for Good Reason, or if the Company fails to renew the Term (in which case termination of the Executive’s employment shall be effective at the expiration of the then-current Term), then the Executive will be entitled to receive (1) any unpaid Base Salary through and including the Termination Date and any other amounts, including any unpaid Cash Bonus amounts, or other entitlements then due and owing to the Executive as of the Termination Date; (2) an amount equal to the Executive’s Base Salary (at the rate in effect on the date the Executive’s employment is terminated) for a 12 month period following the Executive’s termination of employment as described in this Section 1.4(b) , payable in (A) substantially equal installments over the lesser of (i) a six-month period immediately following such termination, or (ii) such shorter period that is the longest period permissible in order for the payments not to be considered </w:t>
      </w:r>
      <w:r>
        <w:rPr>
          <w:rFonts w:ascii="Arial" w:cs="Arial" w:eastAsia="Arial" w:hAnsi="Arial"/>
          <w:sz w:val="17"/>
          <w:szCs w:val="17"/>
          <w:i w:val="1"/>
          <w:iCs w:val="1"/>
          <w:color w:val="auto"/>
        </w:rPr>
        <w:t>“nonqualified deferred compensation”</w:t>
      </w:r>
      <w:r>
        <w:rPr>
          <w:rFonts w:ascii="Arial" w:cs="Arial" w:eastAsia="Arial" w:hAnsi="Arial"/>
          <w:sz w:val="17"/>
          <w:szCs w:val="17"/>
          <w:color w:val="auto"/>
        </w:rPr>
        <w:t xml:space="preserve"> under Section 409A of the Code or any regulations, rulings or other regulatory guidance issued thereunder, or (B) if such payment terms would not satisfy the requirements of Section 409A of the Code and the regulations, rulings and other regulatory guidance issued thereunder, a lump sum on the date that is six months following the Executive’s </w:t>
      </w:r>
      <w:r>
        <w:rPr>
          <w:rFonts w:ascii="Arial" w:cs="Arial" w:eastAsia="Arial" w:hAnsi="Arial"/>
          <w:sz w:val="17"/>
          <w:szCs w:val="17"/>
          <w:i w:val="1"/>
          <w:iCs w:val="1"/>
          <w:color w:val="auto"/>
        </w:rPr>
        <w:t>“separation from service”</w:t>
      </w:r>
      <w:r>
        <w:rPr>
          <w:rFonts w:ascii="Arial" w:cs="Arial" w:eastAsia="Arial" w:hAnsi="Arial"/>
          <w:sz w:val="17"/>
          <w:szCs w:val="17"/>
          <w:color w:val="auto"/>
        </w:rPr>
        <w:t xml:space="preserve"> (within the meaning of Section 409A of the Code) occurring in connection with such termination and (3) continue to participate in the Company’s group medical plan on the same basis as he previously participated or receive payment of, or reimbursement for, COBRA premiums (or, if COBRA coverage is not available, reimbursement of premiums paid for other medical insurance in an amount not to exceed the COBRA premium) for a one-year period following the Executive’s termination of employment;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Executive is provided with health insurance coverage by a successor employer, any such coverage by the Company shall cease (each of (1), (2) and (3) referred to as the “</w:t>
      </w:r>
      <w:r>
        <w:rPr>
          <w:rFonts w:ascii="Arial" w:cs="Arial" w:eastAsia="Arial" w:hAnsi="Arial"/>
          <w:sz w:val="17"/>
          <w:szCs w:val="17"/>
          <w:i w:val="1"/>
          <w:iCs w:val="1"/>
          <w:color w:val="auto"/>
        </w:rPr>
        <w:t>Severance Payment</w:t>
      </w:r>
      <w:r>
        <w:rPr>
          <w:rFonts w:ascii="Arial" w:cs="Arial" w:eastAsia="Arial" w:hAnsi="Arial"/>
          <w:sz w:val="17"/>
          <w:szCs w:val="17"/>
          <w:color w:val="auto"/>
        </w:rPr>
        <w:t>”). The Executive also shall be entitled to receive payment for all reimbursable expenses or other entitlements then due and owing to the Executive as of the Termination Date. If the Executive breaches his obligations under Section 1.6, 1.7, 1.8 or 1.9 of this Agreement, the Company’s obligation to make any Severance Payments and provide any Benefits shall cease as of the date of such breach; provided, that if the Executive cures such breach within 10 days of receiving written notice from the Company of such breach (which notice the Company shall provide promptly to the Executive after learning of such breach), the Company shall promptly pay all Severance Payments not made during such period of dispute and resume making Severance Payments and providing Benefits promptly following such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148" w:name="page149"/>
    <w:bookmarkEnd w:id="148"/>
    <w:p>
      <w:pPr>
        <w:jc w:val="both"/>
        <w:ind w:left="-720" w:firstLine="721"/>
        <w:spacing w:after="0" w:line="293" w:lineRule="auto"/>
        <w:tabs>
          <w:tab w:leader="none" w:pos="86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Death and Disability. In the event of the death or Disability of the Executive, the Company shall pay the Executive his Base Salary through the Termination Date, at the rate then in effect, and all expenses or accrued Benefits arising prior to such termination which are payable to the Executive pursuant to this Agreement through the Termination Date. Any other rights and benefits the Executive may have under employee benefit plans and programs of the Company generally in the event of the Executive’s Disability shall be determined in accordance with the terms of such plans and programs. In the event of Executive’s death, any rights and benefits that the Executive’s estate or any other person may have under employee benefit plans and programs of the Company generally in the event of the Executive’s death shall be determined in accordance with the terms of such plans and programs.</w:t>
      </w:r>
    </w:p>
    <w:p>
      <w:pPr>
        <w:spacing w:after="0" w:line="164" w:lineRule="exact"/>
        <w:rPr>
          <w:rFonts w:ascii="Arial" w:cs="Arial" w:eastAsia="Arial" w:hAnsi="Arial"/>
          <w:sz w:val="16"/>
          <w:szCs w:val="16"/>
          <w:color w:val="auto"/>
        </w:rPr>
      </w:pPr>
    </w:p>
    <w:p>
      <w:pPr>
        <w:jc w:val="both"/>
        <w:ind w:left="-720" w:firstLine="721"/>
        <w:spacing w:after="0" w:line="279" w:lineRule="auto"/>
        <w:tabs>
          <w:tab w:leader="none" w:pos="732" w:val="left"/>
        </w:tabs>
        <w:numPr>
          <w:ilvl w:val="0"/>
          <w:numId w:val="138"/>
        </w:numPr>
        <w:rPr>
          <w:rFonts w:ascii="Arial" w:cs="Arial" w:eastAsia="Arial" w:hAnsi="Arial"/>
          <w:sz w:val="17"/>
          <w:szCs w:val="17"/>
          <w:color w:val="auto"/>
        </w:rPr>
      </w:pPr>
      <w:r>
        <w:rPr>
          <w:rFonts w:ascii="Arial" w:cs="Arial" w:eastAsia="Arial" w:hAnsi="Arial"/>
          <w:sz w:val="17"/>
          <w:szCs w:val="17"/>
          <w:color w:val="auto"/>
        </w:rPr>
        <w:t>Salary and Other Payments Through Termination. If the Executive’s employment with the Company is terminated during the Term (i) by the Company for Cause or (ii) by the Executive other than for Good Reason, the Executive will be entitled to receive his Base Salary through the Termination Date, but will not be entitled to receive any Severance Payments or Benefits after the Termination Date. The Executive shall be entitled to receive payment for all reimbursable expenses or other entitlements then due and owing to the Executive as of the Termination Date.</w:t>
      </w:r>
    </w:p>
    <w:p>
      <w:pPr>
        <w:spacing w:after="0" w:line="171" w:lineRule="exact"/>
        <w:rPr>
          <w:rFonts w:ascii="Arial" w:cs="Arial" w:eastAsia="Arial" w:hAnsi="Arial"/>
          <w:sz w:val="17"/>
          <w:szCs w:val="17"/>
          <w:color w:val="auto"/>
        </w:rPr>
      </w:pPr>
    </w:p>
    <w:p>
      <w:pPr>
        <w:ind w:left="-720" w:right="20" w:firstLine="721"/>
        <w:spacing w:after="0" w:line="342" w:lineRule="auto"/>
        <w:tabs>
          <w:tab w:leader="none" w:pos="811" w:val="left"/>
        </w:tabs>
        <w:numPr>
          <w:ilvl w:val="0"/>
          <w:numId w:val="138"/>
        </w:numPr>
        <w:rPr>
          <w:rFonts w:ascii="Arial" w:cs="Arial" w:eastAsia="Arial" w:hAnsi="Arial"/>
          <w:sz w:val="16"/>
          <w:szCs w:val="16"/>
          <w:color w:val="auto"/>
        </w:rPr>
      </w:pPr>
      <w:r>
        <w:rPr>
          <w:rFonts w:ascii="Arial" w:cs="Arial" w:eastAsia="Arial" w:hAnsi="Arial"/>
          <w:sz w:val="16"/>
          <w:szCs w:val="16"/>
          <w:color w:val="auto"/>
        </w:rPr>
        <w:t>Other Rights. Except as set forth in this Section 1.4 and Section 1.3, all of the Executive’s rights to receive Base Salary, Benefits and Cash Bonuses hereunder (if any) which accrue or become payable after the termination of the Employment Period shall cease upon such termination.</w:t>
      </w:r>
    </w:p>
    <w:p>
      <w:pPr>
        <w:spacing w:after="0" w:line="123" w:lineRule="exact"/>
        <w:rPr>
          <w:rFonts w:ascii="Arial" w:cs="Arial" w:eastAsia="Arial" w:hAnsi="Arial"/>
          <w:sz w:val="16"/>
          <w:szCs w:val="16"/>
          <w:color w:val="auto"/>
        </w:rPr>
      </w:pPr>
    </w:p>
    <w:p>
      <w:pPr>
        <w:jc w:val="both"/>
        <w:ind w:left="-720" w:firstLine="721"/>
        <w:spacing w:after="0" w:line="259" w:lineRule="auto"/>
        <w:tabs>
          <w:tab w:leader="none" w:pos="92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Continuing Benefits. Notwithstanding Section 1.4(e), termination pursuant to this Section 1.4 shall not modify or affect in any way whatsoever any vested right of the Executive to benefits payable under any retirement or pension plan or under any other employee benefit plan of the Company, and all such benefits shall continue, in accordance with, and subject to, the terms and conditions of such plans, to be payable in full to, or on account of, the Executive after such termination.</w:t>
      </w:r>
    </w:p>
    <w:p>
      <w:pPr>
        <w:spacing w:after="0" w:line="186" w:lineRule="exact"/>
        <w:rPr>
          <w:rFonts w:ascii="Arial" w:cs="Arial" w:eastAsia="Arial" w:hAnsi="Arial"/>
          <w:sz w:val="18"/>
          <w:szCs w:val="18"/>
          <w:color w:val="auto"/>
        </w:rPr>
      </w:pPr>
    </w:p>
    <w:p>
      <w:pPr>
        <w:ind w:left="-720" w:firstLine="721"/>
        <w:spacing w:after="0" w:line="277" w:lineRule="auto"/>
        <w:tabs>
          <w:tab w:leader="none" w:pos="8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 Duty of Mitigation. The Executive shall not be required to mitigate the amount of any payment provided for in this Article I by seeking other employment or otherwise.</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color w:val="auto"/>
        </w:rPr>
        <w:t>Confidential Information.</w:t>
      </w:r>
    </w:p>
    <w:p>
      <w:pPr>
        <w:spacing w:after="0" w:line="225" w:lineRule="exact"/>
        <w:rPr>
          <w:sz w:val="20"/>
          <w:szCs w:val="20"/>
          <w:color w:val="auto"/>
        </w:rPr>
      </w:pPr>
    </w:p>
    <w:p>
      <w:pPr>
        <w:jc w:val="both"/>
        <w:ind w:left="-720" w:firstLine="721"/>
        <w:spacing w:after="0" w:line="288" w:lineRule="auto"/>
        <w:tabs>
          <w:tab w:leader="none" w:pos="761"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Executive shall not disclose or, directly or indirectly, use at any time, during the Employment Period or thereafter, any Confidential Information (as defined below) of which the Executive is or becomes aware, whether or not such information is developed by him, alone or with others, except to the extent that (i) such disclosure or use is required by the Executive’s performance of the duties assigned to the Executive by the Board of Directors, (ii) the Executive is required by subpoena or similar process to disclose or discuss any Confidential Information, provided, that in such case, the Executive shall promptly inform the Company in writing of such event, shall cooperate with the Company in attempting to obtain a protective order or to otherwise limit or restrict such disclosure to the greatest extent possible, and shall disclose only that portion of the Confidential Information as is strictly required, or (iii) such Confidential Information is or becomes generally known to and available for use by the public, other than as a result of any action or inaction directly or indirectly by the Executive. At the Company’s expense, the Executive shall take all appropriate steps to safeguard Confidential Information and to protect it against disclosure, misuse, espionage, loss and theft. The Executive acknowledges that the Confidential Information obtained by him during the course of his employment with the Company is the sole and exclusive property of the Company and its Subsidiaries, as applicable.</w:t>
      </w:r>
    </w:p>
    <w:p>
      <w:pPr>
        <w:spacing w:after="0" w:line="169" w:lineRule="exact"/>
        <w:rPr>
          <w:rFonts w:ascii="Arial" w:cs="Arial" w:eastAsia="Arial" w:hAnsi="Arial"/>
          <w:sz w:val="16"/>
          <w:szCs w:val="16"/>
          <w:color w:val="auto"/>
        </w:rPr>
      </w:pPr>
    </w:p>
    <w:p>
      <w:pPr>
        <w:jc w:val="both"/>
        <w:ind w:left="-720" w:firstLine="721"/>
        <w:spacing w:after="0" w:line="272" w:lineRule="auto"/>
        <w:tabs>
          <w:tab w:leader="none" w:pos="79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Executive understands that the Company and its Subsidiaries will receive from third parties confidential or proprietary information (“</w:t>
      </w:r>
      <w:r>
        <w:rPr>
          <w:rFonts w:ascii="Arial" w:cs="Arial" w:eastAsia="Arial" w:hAnsi="Arial"/>
          <w:sz w:val="17"/>
          <w:szCs w:val="17"/>
          <w:i w:val="1"/>
          <w:iCs w:val="1"/>
          <w:color w:val="auto"/>
        </w:rPr>
        <w:t>Third Party Information</w:t>
      </w:r>
      <w:r>
        <w:rPr>
          <w:rFonts w:ascii="Arial" w:cs="Arial" w:eastAsia="Arial" w:hAnsi="Arial"/>
          <w:sz w:val="17"/>
          <w:szCs w:val="17"/>
          <w:color w:val="auto"/>
        </w:rPr>
        <w:t>”) subject to a duty on the part of the Company and its Subsidiaries to maintain the confidentiality of such information and to use it only for certain limited purposes. During the Employment Period and in the period specified in such confidentiality agreements, and without in any way limiting the provisions of Section 1.5(a) above, the Executive will hold Third Party Information in confidence, consistent with the obligations applicable to Confidential Information of the Company generally, and will not disclose to anyone (other than personnel and agents of the Company or its Subsidiaries who need to know such information in connection with their work for the Company or its Subsidiaries) or use, except in connection with his work for the Company or its Subsidiaries, Third Party Information unless expressly authorized by the Board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396240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882" w:right="239" w:bottom="1440" w:gutter="0" w:footer="0" w:header="0"/>
        </w:sectPr>
      </w:pPr>
    </w:p>
    <w:bookmarkStart w:id="149" w:name="page150"/>
    <w:bookmarkEnd w:id="149"/>
    <w:p>
      <w:pPr>
        <w:jc w:val="both"/>
        <w:ind w:firstLine="721"/>
        <w:spacing w:after="0" w:line="270" w:lineRule="auto"/>
        <w:tabs>
          <w:tab w:leader="none" w:pos="148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As used in this Agreement, the term “</w:t>
      </w:r>
      <w:r>
        <w:rPr>
          <w:rFonts w:ascii="Arial" w:cs="Arial" w:eastAsia="Arial" w:hAnsi="Arial"/>
          <w:sz w:val="17"/>
          <w:szCs w:val="17"/>
          <w:i w:val="1"/>
          <w:iCs w:val="1"/>
          <w:color w:val="auto"/>
        </w:rPr>
        <w:t>Confidential Information</w:t>
      </w:r>
      <w:r>
        <w:rPr>
          <w:rFonts w:ascii="Arial" w:cs="Arial" w:eastAsia="Arial" w:hAnsi="Arial"/>
          <w:sz w:val="17"/>
          <w:szCs w:val="17"/>
          <w:color w:val="auto"/>
        </w:rPr>
        <w:t>” means information that is not generally known to the public and that is related in any way to the actual or anticipated business of the Company, its Subsidiaries, its Affiliates or any of their respective predecessors in interest, including but not limited to (i) business development, growth and other strategic business plans, (ii) properties available for acquisition, financing development or sale, (iii) accounting and business methods, (iv) services or products and the marketing of such services and products, (v) fees, costs and pricing structures, (vi) designs, (vii) analysis, (viii) drawings, photographs and reports, (ix) computer software, including operating systems, applications and program listings, (x) flow charts, manuals and documentation, (xi) data bases, (xii) inventions, devices, new developments, methods and processes, whether patentable or unpatentable and whether or not reduced to practice, (xiii) copyrightable works, (xiv) all technology and trade secrets, (xv) confidential terms of material agreements and customer relationships, and (xvi) all similar and related information in whatever form or medium. Confidential Information also expressly excludes Executive’s general know-how and business contacts to the extent that the use of such information does not violate or breach the terms of Section 1.9.</w:t>
      </w:r>
    </w:p>
    <w:p>
      <w:pPr>
        <w:spacing w:after="0" w:line="178" w:lineRule="exact"/>
        <w:rPr>
          <w:sz w:val="20"/>
          <w:szCs w:val="20"/>
          <w:color w:val="auto"/>
        </w:rPr>
      </w:pPr>
    </w:p>
    <w:p>
      <w:pPr>
        <w:jc w:val="both"/>
        <w:ind w:firstLine="713"/>
        <w:spacing w:after="0" w:line="268" w:lineRule="auto"/>
        <w:rPr>
          <w:sz w:val="20"/>
          <w:szCs w:val="20"/>
          <w:color w:val="auto"/>
        </w:rPr>
      </w:pPr>
      <w:r>
        <w:rPr>
          <w:rFonts w:ascii="Arial" w:cs="Arial" w:eastAsia="Arial" w:hAnsi="Arial"/>
          <w:sz w:val="17"/>
          <w:szCs w:val="17"/>
          <w:color w:val="auto"/>
        </w:rPr>
        <w:t>1.6 Inventions and Patents. Executive acknowledges that all discoveries, concepts, ideas, inventions, innovations, improvements, developments, products, methods, processes, techniques, programs, designs, analyses, drawings, reports, patents, copyrightable works and mask works (whether or not including any Confidential Information) and all issuances, registrations or applications related thereto, all other proprietary information or intellectual property and all similar or related information (whether or not patentable) conceived, developed, contributed to, made, or reduced to practice by Executive (either alone or with others) while employed by Company or any of its Subsidiaries or Affiliates or any of their respective predecessors in interest (including prior to the date of this Agreement) or using the materials, facilities or resources of the Company or any of its Subsidiaries or Affiliates or any of their respective predecessors in interest (collectively, “</w:t>
      </w:r>
      <w:r>
        <w:rPr>
          <w:rFonts w:ascii="Arial" w:cs="Arial" w:eastAsia="Arial" w:hAnsi="Arial"/>
          <w:sz w:val="17"/>
          <w:szCs w:val="17"/>
          <w:i w:val="1"/>
          <w:iCs w:val="1"/>
          <w:color w:val="auto"/>
        </w:rPr>
        <w:t>Company Works</w:t>
      </w:r>
      <w:r>
        <w:rPr>
          <w:rFonts w:ascii="Arial" w:cs="Arial" w:eastAsia="Arial" w:hAnsi="Arial"/>
          <w:sz w:val="17"/>
          <w:szCs w:val="17"/>
          <w:color w:val="auto"/>
        </w:rPr>
        <w:t>”) is the sole and exclusive property of the Company and its Subsidiaries. Executive hereby assigns all right, title and interest in and to all Company Works to the Company and its Subsidiaries and waives any moral rights he may have therein, without further obligation or consideration. Any copyrightable work prepared in whole or in part by the Executive will be deemed “a work made for hire” under Section 201(b) of the 1976 Copyright Act, and the Company and its Subsidiaries shall own all of the rights comprised in the copyright therein. The Executive shall promptly and fully disclose in writing all Company Works to the Company and shall cooperate with the Company and its Subsidiaries to protect, maintain and enforce the Company’s and its Subsidiaries’ interests in and rights to such Company Works (including, without limitation, providing reasonable assistance in securing patent protection and copyright registrations and executing all affidavits, assignments, powers-of-attorney and other documents as reasonably requested by the Company, whether such requests occur prior to or after termination of the Executive’s employment with the Company).</w:t>
      </w:r>
    </w:p>
    <w:p>
      <w:pPr>
        <w:spacing w:after="0" w:line="183"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1.7 Delivery of Materials Upon Termination of Employment. As requested by the Company from time to time and in any event upon the termination of the Executive’s employment with the Company , the Executive shall promptly deliver to the Company, or at the Company’s election, destroy, all copies and embodiments, in whatever form or medium, of all Confidential Information, Company Works and other property and assets of the Company and its Subsidiaries in the Executive’s possession or within his control (including, but not limited to, office keys, access cards, written records, notes, photographs, manuals, notebooks, documentation, program listings, flow charts, magnetic media, disks, diskettes, tapes computers and handheld devices (including all software, files and documents thereon) and any other materials containing any Confidential Information or Company Works) irrespective of the location or form of such material and, if requested by the Company, shall provide the Company with written confirmation that all such materials have been delivered to the Company or destroyed,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0" w:name="page151"/>
    <w:bookmarkEnd w:id="150"/>
    <w:p>
      <w:pPr>
        <w:ind w:left="720"/>
        <w:spacing w:after="0"/>
        <w:tabs>
          <w:tab w:leader="none" w:pos="1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Non-Compete and Non-Solicitation Covenants.</w:t>
      </w:r>
    </w:p>
    <w:p>
      <w:pPr>
        <w:spacing w:after="0" w:line="225" w:lineRule="exact"/>
        <w:rPr>
          <w:sz w:val="20"/>
          <w:szCs w:val="20"/>
          <w:color w:val="auto"/>
        </w:rPr>
      </w:pPr>
    </w:p>
    <w:p>
      <w:pPr>
        <w:jc w:val="both"/>
        <w:ind w:firstLine="721"/>
        <w:spacing w:after="0" w:line="286" w:lineRule="auto"/>
        <w:tabs>
          <w:tab w:leader="none" w:pos="149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Executive acknowledges and agrees that the Executive’s services to the Company and its Subsidiaries are unique in nature and that the Company and its Subsidiaries would be irreparably damaged if the Executive were to provide similar services to any Person competing with the Company and its Subsidiaries or engaged in the Business. The Executive further acknowledges that, in the course of his employment with the Company, he will become familiar with the Company’s and its Subsidiaries’ trade secrets and with other Confidential Information. During the Noncompete Period, he shall not, directly or indirectly, whether for himself or for any other Person, permit his name to be used by or participate in any business or enterprise (including, without limitation, any division, group or franchise of a larger organization) that engages or proposes to engage in the Business in the Restricted Territories, other than the Company and its Subsidiaries or except as otherwise directed or authorized by the Board. For purposes of this Agreement, the term “participate in” shall include, without limitation, having any direct or indirect interest in any Person, whether as a sole proprietor, owner, stockholder, partner, member, joint venturer, creditor or otherwise, or rendering any direct or indirect service or assistance to any Person (whether as a director, officer, supervisor, employee, agent, consultant or otherwise). Nothing herein will prohibit the Executive from mere passive ownership of not more than five percent (5%) of the outstanding stock of any class of a publicly held corporation whose stock is traded on a national securities exchange or in the over-the-counter market. As used herein, the phrase “mere passive ownership” shall include voting or otherwise granting any consents or approvals required to be obtained from such Person as an owner of stock or other ownership interests in any entity pursuant to the charter or other organizational documents of such entity, but shall not include, without limitation, any involvement in the day-to-day operations of such entity.</w:t>
      </w:r>
    </w:p>
    <w:p>
      <w:pPr>
        <w:spacing w:after="0" w:line="171" w:lineRule="exact"/>
        <w:rPr>
          <w:rFonts w:ascii="Arial" w:cs="Arial" w:eastAsia="Arial" w:hAnsi="Arial"/>
          <w:sz w:val="16"/>
          <w:szCs w:val="16"/>
          <w:color w:val="auto"/>
        </w:rPr>
      </w:pPr>
    </w:p>
    <w:p>
      <w:pPr>
        <w:jc w:val="both"/>
        <w:ind w:firstLine="721"/>
        <w:spacing w:after="0" w:line="272" w:lineRule="auto"/>
        <w:tabs>
          <w:tab w:leader="none" w:pos="141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During the Nonsolicitation Period, the Executive will not directly, or indirectly through another Person, solicit, induce or attempt to induce any customer, supplier, licensee, or other business relation of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The Executive acknowledges and agrees that the Company and its Subsidiaries would be irreparably damaged if the Executive were to breach any of the provisions contained in this Section 1.8(b) ..</w:t>
      </w:r>
    </w:p>
    <w:p>
      <w:pPr>
        <w:spacing w:after="0" w:line="177" w:lineRule="exact"/>
        <w:rPr>
          <w:rFonts w:ascii="Arial" w:cs="Arial" w:eastAsia="Arial" w:hAnsi="Arial"/>
          <w:sz w:val="17"/>
          <w:szCs w:val="17"/>
          <w:color w:val="auto"/>
        </w:rPr>
      </w:pPr>
    </w:p>
    <w:p>
      <w:pPr>
        <w:jc w:val="both"/>
        <w:ind w:firstLine="721"/>
        <w:spacing w:after="0" w:line="264" w:lineRule="auto"/>
        <w:tabs>
          <w:tab w:leader="none" w:pos="140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Executive acknowledges that this Agreement, and specifically, this Section 1.8, does not preclude Executive from earning a livelihood, nor does it unreasonably impose limitations on Executive’s ability to earn a living. In addition, Executive agrees and acknowledges that the potential harm to the Company of its non-enforcement outweighs any harm to Executive of its enforcement by injunction or otherwise.</w:t>
      </w:r>
    </w:p>
    <w:p>
      <w:pPr>
        <w:spacing w:after="0" w:line="181" w:lineRule="exact"/>
        <w:rPr>
          <w:sz w:val="20"/>
          <w:szCs w:val="20"/>
          <w:color w:val="auto"/>
        </w:rPr>
      </w:pPr>
    </w:p>
    <w:p>
      <w:pPr>
        <w:jc w:val="both"/>
        <w:ind w:firstLine="713"/>
        <w:spacing w:after="0" w:line="287" w:lineRule="auto"/>
        <w:rPr>
          <w:sz w:val="20"/>
          <w:szCs w:val="20"/>
          <w:color w:val="auto"/>
        </w:rPr>
      </w:pPr>
      <w:r>
        <w:rPr>
          <w:rFonts w:ascii="Arial" w:cs="Arial" w:eastAsia="Arial" w:hAnsi="Arial"/>
          <w:sz w:val="16"/>
          <w:szCs w:val="16"/>
          <w:color w:val="auto"/>
        </w:rPr>
        <w:t>1.9 Enforcement. If, at the time of enforcement of Section 1.5, 1.6, 1.7, 1.8, 1.9 or 1.10, a court holds that the restrictions stated herein are unreasonable under circumstances then existing, the Parties agree that, to the extent permitted by applicable law, the maximum period, scope or geographical area reasonable under such circumstances will be substituted for the Noncompete Period, scope or area. Because the Executive’s services are unique and because the Executive has access to Confidential Information and Company Works, the Parties agree that money damages would be an inadequate remedy for any breach of Section 1.5, 1.6, 1.7, 1.8, 1.9 or 1.10. Therefore, in the event of a breach or threatened breach of Section 1.5, 1.6, 1.7, 1.8, 1.9 or 1.10, the Company or any of its Subsidiaries or any of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 The Parties hereby acknowledge and agree that (a) performance of the services of the Executive hereunder may occur in jurisdictions other than the jurisdiction whose law the Parties have agreed shall govern the construction, validity and interpretation of this Agreement, (b) the law of the State of New York shall govern construction, validity and interpretation of this Agreement to the fullest extent possible, and (c) Section 1.5, 1.6, 1.7, 1.8, 1.9 or 1.10 shall restrict the Executive only to the extent permitted by applicable law.</w:t>
      </w:r>
    </w:p>
    <w:p>
      <w:pPr>
        <w:spacing w:after="0" w:line="173"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1.10 Survival. Sections 1.5, 1.6, 1.7, 1.8, 1.9 and 1.10 will survive and continue in full force in accordance with their terms notwithstanding any termination of the Employment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DEFINED TERMS</w:t>
      </w:r>
    </w:p>
    <w:p>
      <w:pPr>
        <w:spacing w:after="0" w:line="211"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Definitions. For purposes of this Agreement, the following terms will have the following meanings: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 means the business of acquiring and licensing consumer brands worldwide.</w:t>
      </w:r>
    </w:p>
    <w:p>
      <w:pPr>
        <w:spacing w:after="0" w:line="225" w:lineRule="exact"/>
        <w:rPr>
          <w:sz w:val="20"/>
          <w:szCs w:val="20"/>
          <w:color w:val="auto"/>
        </w:rPr>
      </w:pPr>
    </w:p>
    <w:p>
      <w:pPr>
        <w:jc w:val="both"/>
        <w:ind w:firstLine="142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means with respect to the Executive, the occurrence of one or more of the following: (i) conviction of a felony involving moral turpitude, misappropriation of Company property, embezzlement of Company funds, violation of the securities laws or dishonesty, (ii) the willful and continued failure by the Executive to attempt in good faith to substantially perform his obligations under this Agreement (other than any such failure resulting from the Executive’s incapacity due to a Disability); (iii) reporting to work under the influence of alcohol or illegal drugs, or the use of illegal drugs (whether or not at the workplace), or (iv) any willful breach of Sections 1.6, 1.7, 1.8 or 1.9 of this Agreement. Notwithstanding the foregoing, termination by the Company for Cause (other than pursuant to clause (i) above) shall not be effective until and unless Executive fails to cure such alleged act or circumstance within 30 days of receipt of notice thereof, to the satisfaction of the Chief Executive Officer in the exercise of his reasonable judgment (or, if within such 30-day period the Executive commences and proceeds to take all reasonable actions to effect such cure, within such reasonable additional time period (no longer than 60 days) as may be necessary).</w:t>
      </w:r>
    </w:p>
    <w:p>
      <w:pPr>
        <w:spacing w:after="0" w:line="18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September 29,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xml:space="preserve"> means the Internal Revenue Code of 1986 and the Treasury regulations thereunder, each as amended from time to time.</w:t>
      </w:r>
    </w:p>
    <w:p>
      <w:pPr>
        <w:spacing w:after="0" w:line="237" w:lineRule="exact"/>
        <w:rPr>
          <w:sz w:val="20"/>
          <w:szCs w:val="20"/>
          <w:color w:val="auto"/>
        </w:rPr>
      </w:pPr>
    </w:p>
    <w:p>
      <w:pPr>
        <w:jc w:val="both"/>
        <w:ind w:firstLine="142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have the meaning set forth in a policy or policies of long-term disability insurance, if any, the Company obtains for the benefit of itself and/or its employees. If there is no definition of “disability” applicable under any such policy or policies, if any, then the Executive shall be considered disabled due to mental or physical impairment or disability, despite reasonable accommodations by the Company and its Subsidiaries, to perform his customary or other comparable duties with the Company or its Subsidiaries immediately prior to such disability for a period of at least 120 consecutive days or for at least 180 non-consecutive days in any 12-month period.</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September 16, 2011.</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Fiscal Year</w:t>
      </w:r>
      <w:r>
        <w:rPr>
          <w:rFonts w:ascii="Arial" w:cs="Arial" w:eastAsia="Arial" w:hAnsi="Arial"/>
          <w:sz w:val="18"/>
          <w:szCs w:val="18"/>
          <w:color w:val="auto"/>
        </w:rPr>
        <w:t>” means the fiscal year of the Company and its Subsidiaries.</w:t>
      </w:r>
    </w:p>
    <w:p>
      <w:pPr>
        <w:spacing w:after="0" w:line="225" w:lineRule="exact"/>
        <w:rPr>
          <w:sz w:val="20"/>
          <w:szCs w:val="20"/>
          <w:color w:val="auto"/>
        </w:rPr>
      </w:pPr>
    </w:p>
    <w:p>
      <w:pPr>
        <w:jc w:val="both"/>
        <w:ind w:firstLine="142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the occurrence, without the Executive’s written consent, of one or more of the following events: (i) the Company reduces the amount of Executive’s Base Salary or Cash Bonuses, (ii) the Company requires that the Executive relocate his principal place of employment to a site that is more than 50 miles from the Company’s offices in the New York area or if the Company changes the location of its headquarters without the consent of Executive to a location that is more than 50 miles from such location, (iii) the Company materially reduces the Executive’s responsibilities or removes the Executive from the position of Executive Vice President – Business Development and Treasury other than pursuant to a termination of his employment for Cause, or upon the Executive’s death or Disability, (iv) the failure or unreasonable delay of the Company to provide to the Executive any of the payments or benefits contemplated hereby or (v) the Company otherwise materially breaches the terms of this Agreement; provided that no such event shall constitute Good Reason hereunder unless (a) the Executive shall have given written notice to the Company of the Executive’s intent to resign for Good Reason within 30 days after the Executive becomes aware of the occurrence of any such event, which notice shall describe in reasonable detail the event or events constitute the basis for the Executive’s intention to resign for Good Reason and (b) such event or occurrence, if a breach susceptible to cure, shall not have been cured or otherwise shall not have been resolved to the Executive’s reasonable satisfaction, in each case within 30 days of the Company’s receipt of such notice. In such case the Executive’s resignation shall become effective on the 31 st day after the Company’s receipt of the aforementioned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2" w:name="page153"/>
    <w:bookmarkEnd w:id="152"/>
    <w:p>
      <w:pPr>
        <w:jc w:val="both"/>
        <w:ind w:right="20"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 Agreement</w:t>
      </w:r>
      <w:r>
        <w:rPr>
          <w:rFonts w:ascii="Arial" w:cs="Arial" w:eastAsia="Arial" w:hAnsi="Arial"/>
          <w:sz w:val="18"/>
          <w:szCs w:val="18"/>
          <w:color w:val="auto"/>
        </w:rPr>
        <w:t>” means the Merger Agreement entered into by and among NetFabric Holdings, Inc., the Company and a subsidiary of NetFabric Holdings, Inc. formed for the purpose of acquiring the Company.</w:t>
      </w:r>
    </w:p>
    <w:p>
      <w:pPr>
        <w:spacing w:after="0" w:line="17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Noncompete Period</w:t>
      </w:r>
      <w:r>
        <w:rPr>
          <w:rFonts w:ascii="Arial" w:cs="Arial" w:eastAsia="Arial" w:hAnsi="Arial"/>
          <w:sz w:val="18"/>
          <w:szCs w:val="18"/>
          <w:color w:val="auto"/>
        </w:rPr>
        <w:t>” means the Employment Period and 12 months thereafter.</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Nonsolicitation Period</w:t>
      </w:r>
      <w:r>
        <w:rPr>
          <w:rFonts w:ascii="Arial" w:cs="Arial" w:eastAsia="Arial" w:hAnsi="Arial"/>
          <w:sz w:val="18"/>
          <w:szCs w:val="18"/>
          <w:color w:val="auto"/>
        </w:rPr>
        <w:t>” means the Employment Period and 12 months thereafter.</w:t>
      </w:r>
    </w:p>
    <w:p>
      <w:pPr>
        <w:spacing w:after="0" w:line="225" w:lineRule="exact"/>
        <w:rPr>
          <w:sz w:val="20"/>
          <w:szCs w:val="20"/>
          <w:color w:val="auto"/>
        </w:rPr>
      </w:pPr>
    </w:p>
    <w:p>
      <w:pPr>
        <w:jc w:val="both"/>
        <w:ind w:firstLine="142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the United States of America any other nation, any state or other political subdivision thereof, or any entity exercising executive, legislative, judicial, regulatory or administrative functions of government.</w:t>
      </w:r>
    </w:p>
    <w:p>
      <w:pPr>
        <w:spacing w:after="0" w:line="181" w:lineRule="exact"/>
        <w:rPr>
          <w:sz w:val="20"/>
          <w:szCs w:val="20"/>
          <w:color w:val="auto"/>
        </w:rPr>
      </w:pPr>
    </w:p>
    <w:p>
      <w:pPr>
        <w:ind w:right="120" w:firstLine="14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Territories</w:t>
      </w:r>
      <w:r>
        <w:rPr>
          <w:rFonts w:ascii="Arial" w:cs="Arial" w:eastAsia="Arial" w:hAnsi="Arial"/>
          <w:sz w:val="18"/>
          <w:szCs w:val="18"/>
          <w:color w:val="auto"/>
        </w:rPr>
        <w:t>” means (i) the United States and its territories and possessions and (ii) any foreign country in which the Company engages in business as of the Termination Date.</w:t>
      </w:r>
    </w:p>
    <w:p>
      <w:pPr>
        <w:spacing w:after="0" w:line="170" w:lineRule="exact"/>
        <w:rPr>
          <w:sz w:val="20"/>
          <w:szCs w:val="20"/>
          <w:color w:val="auto"/>
        </w:rPr>
      </w:pPr>
    </w:p>
    <w:p>
      <w:pPr>
        <w:jc w:val="both"/>
        <w:ind w:firstLine="142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Subsidiary</w:t>
      </w:r>
      <w:r>
        <w:rPr>
          <w:rFonts w:ascii="Arial" w:cs="Arial" w:eastAsia="Arial" w:hAnsi="Arial"/>
          <w:sz w:val="17"/>
          <w:szCs w:val="17"/>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or manager or managing member of such limited liability company, partnership, association, or other business entity. For purposes hereof, references to a “Subsidiary” of any Person shall be given effect only at such times that such Person has one or more Subsidiaries, and, unless otherwise indicated, the term “Subsidiary” refers to a Subsidiary of the Company.</w:t>
      </w:r>
    </w:p>
    <w:p>
      <w:pPr>
        <w:spacing w:after="0" w:line="18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Date</w:t>
      </w:r>
      <w:r>
        <w:rPr>
          <w:rFonts w:ascii="Arial" w:cs="Arial" w:eastAsia="Arial" w:hAnsi="Arial"/>
          <w:sz w:val="18"/>
          <w:szCs w:val="18"/>
          <w:color w:val="auto"/>
        </w:rPr>
        <w:t>” means the effective date of the Executive’s termination of employment with the Company.</w:t>
      </w:r>
    </w:p>
    <w:p>
      <w:pPr>
        <w:spacing w:after="0" w:line="225" w:lineRule="exact"/>
        <w:rPr>
          <w:sz w:val="20"/>
          <w:szCs w:val="20"/>
          <w:color w:val="auto"/>
        </w:rPr>
      </w:pPr>
    </w:p>
    <w:p>
      <w:pPr>
        <w:ind w:left="720"/>
        <w:spacing w:after="0"/>
        <w:tabs>
          <w:tab w:leader="none" w:pos="14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Other Definitional Provisions.</w:t>
      </w:r>
    </w:p>
    <w:p>
      <w:pPr>
        <w:spacing w:after="0" w:line="225" w:lineRule="exact"/>
        <w:rPr>
          <w:sz w:val="20"/>
          <w:szCs w:val="20"/>
          <w:color w:val="auto"/>
        </w:rPr>
      </w:pPr>
    </w:p>
    <w:p>
      <w:pPr>
        <w:jc w:val="both"/>
        <w:ind w:firstLine="721"/>
        <w:spacing w:after="0" w:line="264" w:lineRule="auto"/>
        <w:tabs>
          <w:tab w:leader="none" w:pos="153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Section references contained in this Agreement are references to sections in this Agreement, unless otherwise specified. Each defined term used in this Agreement has a comparable meaning when used in its plural or singular form. Each gender-specific term used in this Agreement has a comparable meaning whether used in a masculine, feminine or gender-neutral form.</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41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Whenever the term “including” (whether or not that term is followed by the phrase “but not limited to” or “without limitation” or words of similar effect) is used in this Agreement in connection with a listing of items within a particular classification, that listing will be interpreted to be illustrative only and will not be interpreted as a limitation on, or an exclusive listing of, the items within that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TERMS</w:t>
      </w:r>
    </w:p>
    <w:p>
      <w:pPr>
        <w:spacing w:after="0" w:line="211" w:lineRule="exact"/>
        <w:rPr>
          <w:sz w:val="20"/>
          <w:szCs w:val="20"/>
          <w:color w:val="auto"/>
        </w:rPr>
      </w:pPr>
    </w:p>
    <w:p>
      <w:pPr>
        <w:jc w:val="both"/>
        <w:ind w:firstLine="713"/>
        <w:spacing w:after="0" w:line="253" w:lineRule="auto"/>
        <w:rPr>
          <w:sz w:val="20"/>
          <w:szCs w:val="20"/>
          <w:color w:val="auto"/>
        </w:rPr>
      </w:pPr>
      <w:r>
        <w:rPr>
          <w:rFonts w:ascii="Arial" w:cs="Arial" w:eastAsia="Arial" w:hAnsi="Arial"/>
          <w:sz w:val="18"/>
          <w:szCs w:val="18"/>
          <w:color w:val="auto"/>
        </w:rPr>
        <w:t>3.1 Defense of Claims. The Executive agrees that, during the Employment Period, and for a period of six months after termination of the Executive’s employment, upon request by the Company, the Executive shall reasonably cooperate with the Company in connection with any matters the Executive worked on during his employment with the Company and any related transitional matters. In addition, during the Employment Period and thereafter, the Executive agrees to reasonably cooperate with the Company in the defense of any claims or actions that may be made by or against the Company that affect the Executive’s prior areas of responsibility or involve matters about which the Executive has knowledge, except if the Executive’s reasonable interests are adverse to the Company in such claim or action and provided that after the Employment Period such level of cooperation shall be reasonable and shall take due account of the Executive’s work and personal commitments. The Company agrees to promptly reimburse the Executive for all of the Executive’s reasonable travel and other direct expenses incurred, or to be reasonably incurred, to comply with the Executive’s obligations under this Section 3.1.</w:t>
      </w:r>
    </w:p>
    <w:p>
      <w:pPr>
        <w:spacing w:after="0" w:line="197" w:lineRule="exact"/>
        <w:rPr>
          <w:sz w:val="20"/>
          <w:szCs w:val="20"/>
          <w:color w:val="auto"/>
        </w:rPr>
      </w:pPr>
    </w:p>
    <w:p>
      <w:pPr>
        <w:jc w:val="both"/>
        <w:ind w:firstLine="713"/>
        <w:spacing w:after="0" w:line="269" w:lineRule="auto"/>
        <w:rPr>
          <w:sz w:val="20"/>
          <w:szCs w:val="20"/>
          <w:color w:val="auto"/>
        </w:rPr>
      </w:pPr>
      <w:r>
        <w:rPr>
          <w:rFonts w:ascii="Arial" w:cs="Arial" w:eastAsia="Arial" w:hAnsi="Arial"/>
          <w:sz w:val="17"/>
          <w:szCs w:val="17"/>
          <w:color w:val="auto"/>
        </w:rPr>
        <w:t>3.2 Nondisparagement. The Executive agrees to refrain from (i) making, directly or indirectly, any derogatory comments concerning the Company or its Subsidiaries or any current or former officers, directors, employees or shareholders thereof or (ii) taking any other action with respect to the Company or its Subsidiaries which is reasonably expected to result, or does result in, damage to the business or reputation of the Company, its Subsidiaries or any of its current or former officers, directors, employees or shareholders. The Company agrees to refrain from (i) making, directly or indirectly, any derogatory comments concerning the Executive or (ii) taking any other action with respect to the Executive which is reasonably expected to result, or does result in, damage to the reputation of the Executive. Notwithstanding anything to the contrary contained herein, nothing in this Agreement shall prohibit or restrict either party from, truthfully and in good faith: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or the Executive’s designated legal, compliance or human resources officers; or (iii) filing, testifying, participating in or otherwise assisting in a proceeding relating to an alleged violation of any federal, state or municipal law relating to fraud, or any rule or regulation of the Securities and Exchange Commission or any self-regulatory organization.</w:t>
      </w:r>
    </w:p>
    <w:p>
      <w:pPr>
        <w:spacing w:after="0" w:line="183"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3.3 Source of Payments. All payments provided under this Agreement, other than payments made pursuant to a plan which provides otherwise and except as otherwise provided herein,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or its Subsidiaries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58"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3.4 Notices. Any notice provided for in this Agreement must be in writing and must be either personally delivered, mailed by first class mail (postage prepaid and return receipt requested), sent by reputable overnight courier service (charges prepaid) or sent by facsimile (with receipt confirmed) to the recipient at the address or facsimile number indicated below:</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XCel Brands,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4" w:name="page155"/>
    <w:bookmarkEnd w:id="154"/>
    <w:p>
      <w:pPr>
        <w:ind w:left="1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Blank Rome</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NY 10174-0208</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Attn: Robert Mittman, Esquire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Facsimile: (212) 885-5557</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 the Executive:</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Seth Burroughs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 XCel Brands, Inc.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such other address or to the attention of such other Person as the recipient Party will have specified by prior written notice to the sending Party. Any notice under this Agreement will be deemed to have been given when so delivered or sent.</w:t>
      </w:r>
    </w:p>
    <w:p>
      <w:pPr>
        <w:spacing w:after="0" w:line="170"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3.5 Severability. Subject to the express provisions of Section 1.10 relating to certain specified changes,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3.6 Complete Agreement. This Agreement embodies the complete agreement and understanding among the Parties with regard to the subject matter hereof and supersedes and preempts any prior understandings, agreements or representations by or among the Parties, written or oral, which may have related to the subject matter hereof in any way. To the extent that this Agreement provides greater benefits to the Executive or fewer obligations of the Executive than available or set forth under the Company’s employee handbook or other corporate policies, then this Agreement shall prevail.</w:t>
      </w:r>
    </w:p>
    <w:p>
      <w:pPr>
        <w:spacing w:after="0" w:line="154"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3.7 Counterparts. This Agreement may be executed in separate counterparts, each of which is deemed to be an original and all of which taken together constitute one and the same agreement.</w:t>
      </w:r>
    </w:p>
    <w:p>
      <w:pPr>
        <w:spacing w:after="0" w:line="170"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3.8 Assignment. Without the Executive’s consent, the Company may not assign its rights and obligations under this Agreement except (i) to a “Successor” (as defined below) or (ii) to an entity that is formed and controlled by the Company or any of its Subsidiaries. This Agreement is personal to the Executive, and the Executive shall not have the right to assign the Executive’s interest in this Agreement, any rights under this Agreement or any duties imposed under this Agreement, nor shall the Executive have the right to pledge, hypothecate, transfer, assign or otherwise encumber the Executive’s right to receive any form of compensation hereunder without the prior written consent of the Board. As used in Sections 3.8 and 3.9 , “</w:t>
      </w:r>
      <w:r>
        <w:rPr>
          <w:rFonts w:ascii="Arial" w:cs="Arial" w:eastAsia="Arial" w:hAnsi="Arial"/>
          <w:sz w:val="18"/>
          <w:szCs w:val="18"/>
          <w:i w:val="1"/>
          <w:iCs w:val="1"/>
          <w:color w:val="auto"/>
        </w:rPr>
        <w:t>Successor</w:t>
      </w:r>
      <w:r>
        <w:rPr>
          <w:rFonts w:ascii="Arial" w:cs="Arial" w:eastAsia="Arial" w:hAnsi="Arial"/>
          <w:sz w:val="18"/>
          <w:szCs w:val="18"/>
          <w:color w:val="auto"/>
        </w:rPr>
        <w:t>” shall include any Person that at any time, whether by purchase, merger or otherwise, directly or indirectly acquires all or substantially all of the assets of, or ownership interests in, the Company and its Subsidiaries.</w:t>
      </w:r>
    </w:p>
    <w:p>
      <w:pPr>
        <w:spacing w:after="0" w:line="18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3.9 Successors and Assigns. This Agreement is intended to bind and inure to the benefit of and be enforceable by the Company, the Executive, and their respective heirs, successors and permitted assigns.</w:t>
      </w:r>
    </w:p>
    <w:p>
      <w:pPr>
        <w:spacing w:after="0" w:line="170"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3.10 Choice of Law. This Agreement and the performance of the parties hereunder shall be governed by the internal laws (and not the law of conflicts) of the State of New York. Any claim or controversy arising out of or in connection with this Agreement, or the breach thereof, shall be adjudicated exclusively by the Supreme Court, New York County, State of New York, or by a federal court sitting in Manhattan in New York City, State of New York. The parties hereto agree to the personal jurisdiction of such courts and agree to accept process by regular mail in connection with any such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5" w:name="page156"/>
    <w:bookmarkEnd w:id="155"/>
    <w:p>
      <w:pPr>
        <w:jc w:val="both"/>
        <w:ind w:firstLine="713"/>
        <w:spacing w:after="0" w:line="259" w:lineRule="auto"/>
        <w:rPr>
          <w:sz w:val="20"/>
          <w:szCs w:val="20"/>
          <w:color w:val="auto"/>
        </w:rPr>
      </w:pPr>
      <w:r>
        <w:rPr>
          <w:rFonts w:ascii="Arial" w:cs="Arial" w:eastAsia="Arial" w:hAnsi="Arial"/>
          <w:sz w:val="18"/>
          <w:szCs w:val="18"/>
          <w:color w:val="auto"/>
        </w:rPr>
        <w:t>3.11 Waiver of Jury Trial.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187" w:lineRule="exact"/>
        <w:rPr>
          <w:sz w:val="20"/>
          <w:szCs w:val="20"/>
          <w:color w:val="auto"/>
        </w:rPr>
      </w:pPr>
    </w:p>
    <w:p>
      <w:pPr>
        <w:jc w:val="both"/>
        <w:ind w:firstLine="713"/>
        <w:spacing w:after="0" w:line="273" w:lineRule="auto"/>
        <w:rPr>
          <w:sz w:val="20"/>
          <w:szCs w:val="20"/>
          <w:color w:val="auto"/>
        </w:rPr>
      </w:pPr>
      <w:r>
        <w:rPr>
          <w:rFonts w:ascii="Arial" w:cs="Arial" w:eastAsia="Arial" w:hAnsi="Arial"/>
          <w:sz w:val="17"/>
          <w:szCs w:val="17"/>
          <w:color w:val="auto"/>
        </w:rPr>
        <w:t>3.12 Legal Fees and Court Costs. In the event that any action, suit or other proceeding in law or in equity is brought to enforce the provisions of this Agreement, and such action results in the award of a judgment for money damages or in the granting of any injunction in favor of the Company, all expenses (including reasonable attorneys’ fees) of the Company in such action, suit or other proceeding shall be paid by the Executive. In the event that any action, suit or other proceeding in law or in equity is brought to enforce the provisions of this Agreement, and such action results in the award of a judgment for money damages or in the granting of any injunction in favor of the Executive, all expenses (including reasonable attorneys’ fees and travel expenses) of the Executive in such action, suit or other proceeding shall be paid by the Company.</w:t>
      </w:r>
    </w:p>
    <w:p>
      <w:pPr>
        <w:spacing w:after="0" w:line="178"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3.13 Remedies. Each Party will be entitled to enforce its rights under this Agreement specifically, to recover damages and costs caused by any breach of any provision of this Agreement and to exercise all other rights existing in its favor. Subject to Section 3.12 , nothing herein shall prohibit any arbitrator or judicial authority from awarding attorneys’ fees or costs to a prevailing Party in any arbitration or other proceeding to the extent that such arbitrator or authority may lawfully do so.</w:t>
      </w:r>
    </w:p>
    <w:p>
      <w:pPr>
        <w:spacing w:after="0" w:line="187"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3.14 Amendment and Waiver. The provisions of this Agreement may be amended or waived only with the prior written consent of the Company and the Executive, and no course of conduct or failure or delay in enforcing the provisions of this Agreement will affect the validity, binding effect or enforceability of this Agreement.</w:t>
      </w:r>
    </w:p>
    <w:p>
      <w:pPr>
        <w:spacing w:after="0" w:line="18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3.15 Third Party Beneficiaries. This Agreement will not confer any rights or remedies upon any Person other than the Parties and their respective successors and permitted assigns and other than, in the event of the Executive’s death, his estate, to which all of Executive’s rights and remedies set forth herein shall accrue.</w:t>
      </w:r>
    </w:p>
    <w:p>
      <w:pPr>
        <w:spacing w:after="0" w:line="181"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3.16 The Executive’s Representations. The Executive hereby represents and warrants to the Company that (a) the execution, delivery and performance of this Agreement by the Executive do not and shall not conflict with, breach, violate or cause a default under any contract, agreement, instrument, order, judgment or decree to which the Executive is a party or by which he is bound, (b) the Executive is not a party to or bound by any employment agreement, noncompete agreement or confidentiality agreement with any other Person (or other agreement with any other person containing a restriction on the Executive’s right to do business or obligating him to do business with any other Person on a priority or preferential basis), (c) upon the execution and delivery of this Agreement by the Company, this Agreement shall be the valid and binding obligation of the Executive, enforceable in accordance with its terms and (d) upon the execution and delivery of this Agreement by the Company, Executive shall not be in violation of clause (i) set forth in the definition of Cause and shall not be disabled.</w:t>
      </w:r>
    </w:p>
    <w:p>
      <w:pPr>
        <w:spacing w:after="0" w:line="192" w:lineRule="exact"/>
        <w:rPr>
          <w:sz w:val="20"/>
          <w:szCs w:val="20"/>
          <w:color w:val="auto"/>
        </w:rPr>
      </w:pPr>
    </w:p>
    <w:p>
      <w:pPr>
        <w:jc w:val="both"/>
        <w:ind w:firstLine="713"/>
        <w:spacing w:after="0" w:line="269" w:lineRule="auto"/>
        <w:rPr>
          <w:sz w:val="20"/>
          <w:szCs w:val="20"/>
          <w:color w:val="auto"/>
        </w:rPr>
      </w:pPr>
      <w:r>
        <w:rPr>
          <w:rFonts w:ascii="Arial" w:cs="Arial" w:eastAsia="Arial" w:hAnsi="Arial"/>
          <w:sz w:val="17"/>
          <w:szCs w:val="17"/>
          <w:color w:val="auto"/>
        </w:rPr>
        <w:t xml:space="preserve">3.17 Amendment to Comply with Section 409A of the Code. To the extent that this Agreement or any part thereof is deemed to be a nonqualified deferred compensation plan subject to Section 409A of the Code and the Treasury Regulations (including proposed regulations) and guidance promulgated thereunder, (a) the provisions of this Agreement shall be interpreted in a manner to the maximum extent possible to comply in good faith with Code Section 409A and (b) the parties hereto agree to amend this Agreement for purposes of complying with Code Section 409A promptly upon issuance of any Treasury regulations or guidance thereunder,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 that any such amendment shall not materially change the present value of the benefits payable to the Executive hereunder or otherwise materially adversely affect the Executive, the Company, or any affiliate of the Company, without the consent of such party. With regard to any provision herein that provides for reimbursement of costs and expenses or in-kind benefits, except as permitted by Code Section 409A,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and (iii) such payments shall be made on or before the last day of the Executive’s taxable year following the taxable year in which the expense was incurred.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PAGE]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IN WITNESS WHEREOF, the Parties have executed this Employment Agreement as of the date first written above.</w:t>
      </w: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580" w:type="dxa"/>
            <w:vAlign w:val="bottom"/>
          </w:tcPr>
          <w:p>
            <w:pPr>
              <w:spacing w:after="0"/>
              <w:rPr>
                <w:sz w:val="16"/>
                <w:szCs w:val="16"/>
                <w:color w:val="auto"/>
              </w:rPr>
            </w:pPr>
          </w:p>
        </w:tc>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Robert W. D’Loren</w:t>
            </w:r>
          </w:p>
        </w:tc>
      </w:tr>
      <w:tr>
        <w:trPr>
          <w:trHeight w:val="230"/>
        </w:trPr>
        <w:tc>
          <w:tcPr>
            <w:tcW w:w="5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Chairman and CEO</w:t>
            </w:r>
          </w:p>
        </w:tc>
      </w:tr>
    </w:tbl>
    <w:p>
      <w:pPr>
        <w:spacing w:after="0" w:line="20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Seth Burroughs</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Seth Burroughs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-130810</wp:posOffset>
            </wp:positionV>
            <wp:extent cx="36188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426085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882"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RELEASE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Seth Burroughs, on behalf of myself and my heirs, successors and assigns, in consideration of the performance by XCel Brands,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corporation (together with its Subsidiaries, the “</w:t>
      </w:r>
      <w:r>
        <w:rPr>
          <w:rFonts w:ascii="Arial" w:cs="Arial" w:eastAsia="Arial" w:hAnsi="Arial"/>
          <w:sz w:val="17"/>
          <w:szCs w:val="17"/>
          <w:i w:val="1"/>
          <w:iCs w:val="1"/>
          <w:color w:val="auto"/>
        </w:rPr>
        <w:t>Company</w:t>
      </w:r>
      <w:r>
        <w:rPr>
          <w:rFonts w:ascii="Arial" w:cs="Arial" w:eastAsia="Arial" w:hAnsi="Arial"/>
          <w:sz w:val="17"/>
          <w:szCs w:val="17"/>
          <w:color w:val="auto"/>
        </w:rPr>
        <w:t>”), of its material obligations under the Employment Agreement, dated as of July XX, 2011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Agreement</w:t>
      </w:r>
      <w:r>
        <w:rPr>
          <w:rFonts w:ascii="Arial" w:cs="Arial" w:eastAsia="Arial" w:hAnsi="Arial"/>
          <w:sz w:val="16"/>
          <w:szCs w:val="16"/>
          <w:color w:val="auto"/>
        </w:rPr>
        <w:t>”), do hereby release and forever discharge as of the date hereof the Company, its Affiliates, each such Person’s respective successors and assigns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each of the foregoing Persons’ respective present and former directors, officers, partners, stockholders, members, managers, agents, representatives,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(and each such Person’s respective successors and assigns) (collectively, the “</w:t>
      </w:r>
      <w:r>
        <w:rPr>
          <w:rFonts w:ascii="Arial" w:cs="Arial" w:eastAsia="Arial" w:hAnsi="Arial"/>
          <w:sz w:val="18"/>
          <w:szCs w:val="18"/>
          <w:i w:val="1"/>
          <w:iCs w:val="1"/>
          <w:color w:val="auto"/>
        </w:rPr>
        <w:t>Released Parties</w:t>
      </w:r>
      <w:r>
        <w:rPr>
          <w:rFonts w:ascii="Arial" w:cs="Arial" w:eastAsia="Arial" w:hAnsi="Arial"/>
          <w:sz w:val="18"/>
          <w:szCs w:val="18"/>
          <w:color w:val="auto"/>
        </w:rPr>
        <w:t>”) to the extent provided below.</w:t>
      </w:r>
    </w:p>
    <w:p>
      <w:pPr>
        <w:spacing w:after="0" w:line="211" w:lineRule="exact"/>
        <w:rPr>
          <w:sz w:val="20"/>
          <w:szCs w:val="20"/>
          <w:color w:val="auto"/>
        </w:rPr>
      </w:pPr>
    </w:p>
    <w:p>
      <w:pPr>
        <w:ind w:right="160" w:firstLine="8"/>
        <w:spacing w:after="0" w:line="259" w:lineRule="auto"/>
        <w:tabs>
          <w:tab w:leader="none" w:pos="63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understand that any payments or benefits paid or granted to me under Section 1.4(b) of the Agreement represent, in part, consideration for signing this General Release and are not salary, wages or benefits to which I was already entitled. I understand and agree that I will not receive the payments and benefits specified in Section 1.4(b) of the Agreement unless I execute this General Release and do not revoke this General Release within the time period permitted hereafter or breach this General Release.</w:t>
      </w:r>
    </w:p>
    <w:p>
      <w:pPr>
        <w:spacing w:after="0" w:line="186" w:lineRule="exact"/>
        <w:rPr>
          <w:rFonts w:ascii="Arial" w:cs="Arial" w:eastAsia="Arial" w:hAnsi="Arial"/>
          <w:sz w:val="18"/>
          <w:szCs w:val="18"/>
          <w:color w:val="auto"/>
        </w:rPr>
      </w:pPr>
    </w:p>
    <w:p>
      <w:pPr>
        <w:ind w:right="40" w:firstLine="8"/>
        <w:spacing w:after="0" w:line="284" w:lineRule="auto"/>
        <w:tabs>
          <w:tab w:leader="none" w:pos="63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 knowingly and voluntarily release and forever discharge the Company and the other Released Parties from any and all claims,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which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Occupational Safety and Health Act of 1970, as amended, under the Worker Adjustment and Retraining Notification Act of 1988, as amended, under the Family and Medical Leave Act of 1993, as amended, under the Fair Credit Reporting Act of 1970, as amended, and under the Sarbanes-Oxley Act of 2002, under the Civil Rights Act of 1870, 42 U.S.C. § 1981, as amended, under the Civil Rights Act of 1871, as amended, under the Americans With Disabilities Act of 1990, as amended, under the Americans with Disabilities Act Amendments of 2008, under the Rehabilitation Act of 1973, as amended, under the Immigration Reform and Control Act of 1986, as amended, under the Vietnam Era Veterans Readjustment Assistance Act of 1974, as amended, under the Uniformed Service Employment and Reemployment Rights Act of 1994, as amended, under the Consolidated Omnibus Budget Reconciliation Act of 1985 (“COBRA”), and any and all claims under the New York State Human Rights Law, under the New York City Human Rights Law, and under the New York Labor Laws, and any and all claims under any other federal, state, or local labor law, civil rights law, fair employment practices law, human rights law, family and medical leave law, occupational safety and health law, whistleblower protection law, and equal pay law; or any and all claims of slander, libel, defamation, invasion of privacy, intentional or negligent infliction of emotional distress, intentional or negligent misrepresentation, fraud, prima facie torts or other tort; or any and all claims based on the design or administration of any of the Company’s employee benefit plan or program, or arising under any Company policy, practice, or procedure, or employee benefit plan; any and all claims for wages, commissions bonuses, vacation pay or other paid time off, employee benefits equity-based compensation, or other compensation or payments of any kind or nature, or for continued employment with the Company in any position; or under any other local, state, or federal law, regulation or ordinance; or under any public policy, contract or tort, or under common law; or any claim for wrongful discharge, breach of contract, or infliction of emotional distress; or any claim for costs, fees, or other expenses, including attorneys’ fees incurred in these matters) (all of the foregoing collectively referred to herein as the “Claims”); provided , however, that nothing contained in this General Release shall apply to, or release the Company from, (i) any obligation of the Company contained in the Agreement to be performed after the date hereof or (ii) any vested or accrued benefits pursuant to any employee benefit plan, program or policy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530225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8" w:name="page159"/>
    <w:bookmarkEnd w:id="158"/>
    <w:p>
      <w:pPr>
        <w:ind w:left="640" w:hanging="632"/>
        <w:spacing w:after="0"/>
        <w:tabs>
          <w:tab w:leader="none" w:pos="6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 above.</w:t>
      </w:r>
    </w:p>
    <w:p>
      <w:pPr>
        <w:spacing w:after="0" w:line="248" w:lineRule="exact"/>
        <w:rPr>
          <w:rFonts w:ascii="Arial" w:cs="Arial" w:eastAsia="Arial" w:hAnsi="Arial"/>
          <w:sz w:val="16"/>
          <w:szCs w:val="16"/>
          <w:color w:val="auto"/>
        </w:rPr>
      </w:pPr>
    </w:p>
    <w:p>
      <w:pPr>
        <w:ind w:right="100" w:firstLine="8"/>
        <w:spacing w:after="0" w:line="259" w:lineRule="auto"/>
        <w:tabs>
          <w:tab w:leader="none" w:pos="6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86" w:lineRule="exact"/>
        <w:rPr>
          <w:rFonts w:ascii="Arial" w:cs="Arial" w:eastAsia="Arial" w:hAnsi="Arial"/>
          <w:sz w:val="18"/>
          <w:szCs w:val="18"/>
          <w:color w:val="auto"/>
        </w:rPr>
      </w:pPr>
    </w:p>
    <w:p>
      <w:pPr>
        <w:ind w:right="100" w:firstLine="8"/>
        <w:spacing w:after="0" w:line="288" w:lineRule="auto"/>
        <w:tabs>
          <w:tab w:leader="none" w:pos="63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Persons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169" w:lineRule="exact"/>
        <w:rPr>
          <w:rFonts w:ascii="Arial" w:cs="Arial" w:eastAsia="Arial" w:hAnsi="Arial"/>
          <w:sz w:val="16"/>
          <w:szCs w:val="16"/>
          <w:color w:val="auto"/>
        </w:rPr>
      </w:pPr>
    </w:p>
    <w:p>
      <w:pPr>
        <w:ind w:right="60" w:firstLine="8"/>
        <w:spacing w:after="0" w:line="277" w:lineRule="auto"/>
        <w:tabs>
          <w:tab w:leader="none" w:pos="6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70" w:lineRule="exact"/>
        <w:rPr>
          <w:rFonts w:ascii="Arial" w:cs="Arial" w:eastAsia="Arial" w:hAnsi="Arial"/>
          <w:sz w:val="18"/>
          <w:szCs w:val="18"/>
          <w:color w:val="auto"/>
        </w:rPr>
      </w:pPr>
    </w:p>
    <w:p>
      <w:pPr>
        <w:ind w:right="100" w:firstLine="8"/>
        <w:spacing w:after="0" w:line="264" w:lineRule="auto"/>
        <w:tabs>
          <w:tab w:leader="none" w:pos="63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81" w:lineRule="exact"/>
        <w:rPr>
          <w:rFonts w:ascii="Arial" w:cs="Arial" w:eastAsia="Arial" w:hAnsi="Arial"/>
          <w:sz w:val="18"/>
          <w:szCs w:val="18"/>
          <w:color w:val="auto"/>
        </w:rPr>
      </w:pPr>
    </w:p>
    <w:p>
      <w:pPr>
        <w:ind w:right="20" w:firstLine="8"/>
        <w:spacing w:after="0" w:line="264" w:lineRule="auto"/>
        <w:tabs>
          <w:tab w:leader="none" w:pos="6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the National Association of Securities Dealers, Inc. or any other self-regulatory organization or governmental entity.</w:t>
      </w:r>
    </w:p>
    <w:p>
      <w:pPr>
        <w:spacing w:after="0" w:line="181" w:lineRule="exact"/>
        <w:rPr>
          <w:rFonts w:ascii="Arial" w:cs="Arial" w:eastAsia="Arial" w:hAnsi="Arial"/>
          <w:sz w:val="18"/>
          <w:szCs w:val="18"/>
          <w:color w:val="auto"/>
        </w:rPr>
      </w:pPr>
    </w:p>
    <w:p>
      <w:pPr>
        <w:ind w:left="640" w:hanging="632"/>
        <w:spacing w:after="0"/>
        <w:tabs>
          <w:tab w:leader="none" w:pos="6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Without limitation of any provision of the Agreement, I hereby expressly re-affirm my obligations under Sections 1.5, 1.6 , 1.7 , 1.8 , 1.9 , 1.10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3.1 .</w:t>
      </w:r>
    </w:p>
    <w:p>
      <w:pPr>
        <w:spacing w:after="0" w:line="210" w:lineRule="exact"/>
        <w:rPr>
          <w:rFonts w:ascii="Arial" w:cs="Arial" w:eastAsia="Arial" w:hAnsi="Arial"/>
          <w:sz w:val="16"/>
          <w:szCs w:val="16"/>
          <w:color w:val="auto"/>
        </w:rPr>
      </w:pPr>
    </w:p>
    <w:p>
      <w:pPr>
        <w:jc w:val="both"/>
        <w:ind w:firstLine="8"/>
        <w:spacing w:after="0" w:line="279" w:lineRule="auto"/>
        <w:tabs>
          <w:tab w:leader="none" w:pos="717"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“Affiliate” means, with respect to any Person, any Person that controls, is controlled by or is under common control with such Person or an Affiliate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9" w:name="page160"/>
    <w:bookmarkEnd w:id="159"/>
    <w:p>
      <w:pPr>
        <w:ind w:right="60"/>
        <w:spacing w:after="0" w:line="342" w:lineRule="auto"/>
        <w:rPr>
          <w:sz w:val="20"/>
          <w:szCs w:val="20"/>
          <w:color w:val="auto"/>
        </w:rPr>
      </w:pPr>
      <w:r>
        <w:rPr>
          <w:rFonts w:ascii="Arial" w:cs="Arial" w:eastAsia="Arial" w:hAnsi="Arial"/>
          <w:sz w:val="16"/>
          <w:szCs w:val="16"/>
          <w:color w:val="auto"/>
        </w:rPr>
        <w:t>“Person”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“Subsidiary”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225" w:lineRule="exact"/>
        <w:rPr>
          <w:sz w:val="20"/>
          <w:szCs w:val="20"/>
          <w:color w:val="auto"/>
        </w:rPr>
      </w:pPr>
    </w:p>
    <w:p>
      <w:pPr>
        <w:ind w:left="700" w:hanging="692"/>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25" w:lineRule="exact"/>
        <w:rPr>
          <w:rFonts w:ascii="Arial" w:cs="Arial" w:eastAsia="Arial" w:hAnsi="Arial"/>
          <w:sz w:val="18"/>
          <w:szCs w:val="18"/>
          <w:color w:val="auto"/>
        </w:rPr>
      </w:pPr>
    </w:p>
    <w:p>
      <w:pPr>
        <w:ind w:right="20" w:firstLine="8"/>
        <w:spacing w:after="0" w:line="259"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86" w:lineRule="exact"/>
        <w:rPr>
          <w:rFonts w:ascii="Arial" w:cs="Arial" w:eastAsia="Arial" w:hAnsi="Arial"/>
          <w:sz w:val="18"/>
          <w:szCs w:val="18"/>
          <w:color w:val="auto"/>
        </w:rPr>
      </w:pPr>
    </w:p>
    <w:p>
      <w:pPr>
        <w:ind w:left="700" w:hanging="692"/>
        <w:spacing w:after="0"/>
        <w:tabs>
          <w:tab w:leader="none" w:pos="7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225" w:lineRule="exact"/>
        <w:rPr>
          <w:rFonts w:ascii="Arial" w:cs="Arial" w:eastAsia="Arial" w:hAnsi="Arial"/>
          <w:sz w:val="18"/>
          <w:szCs w:val="18"/>
          <w:color w:val="auto"/>
        </w:rPr>
      </w:pPr>
    </w:p>
    <w:p>
      <w:pPr>
        <w:ind w:right="20" w:firstLine="8"/>
        <w:spacing w:after="0" w:line="308" w:lineRule="auto"/>
        <w:tabs>
          <w:tab w:leader="none" w:pos="70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 HAVE BEEN ADVISED TO CONSULT WITH AN ATTORNEY (VIA THE AGREEMENT AND THIS RELEASE) BEFORE EXECUTING IT AND I HAVE DONE SO OR, AFTER CAREFUL READING AND CONSIDERATION, I HAVE CHOSEN NOT TO DO SO OF MY OWN VOLITION;</w:t>
      </w:r>
    </w:p>
    <w:p>
      <w:pPr>
        <w:spacing w:after="0" w:line="146" w:lineRule="exact"/>
        <w:rPr>
          <w:rFonts w:ascii="Arial" w:cs="Arial" w:eastAsia="Arial" w:hAnsi="Arial"/>
          <w:sz w:val="17"/>
          <w:szCs w:val="17"/>
          <w:color w:val="auto"/>
        </w:rPr>
      </w:pPr>
    </w:p>
    <w:p>
      <w:pPr>
        <w:ind w:left="700" w:hanging="692"/>
        <w:spacing w:after="0"/>
        <w:tabs>
          <w:tab w:leader="none" w:pos="7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 HAVE HAD AT LEAST 21 DAYS FROM THE DATE OF MY RECEIPT OF THIS RELEASE SUBSTANTIALLY IN ITS FINAL FORM ON</w:t>
      </w:r>
    </w:p>
    <w:p>
      <w:pPr>
        <w:spacing w:after="0" w:line="34" w:lineRule="exact"/>
        <w:rPr>
          <w:rFonts w:ascii="Arial" w:cs="Arial" w:eastAsia="Arial" w:hAnsi="Arial"/>
          <w:sz w:val="17"/>
          <w:szCs w:val="17"/>
          <w:color w:val="auto"/>
        </w:rPr>
      </w:pP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_______________ __, _____ TO CONSIDER IT AND THE CHANGES MADE SINCE THE _______________ __, _____ VERSION OF THIS RELEASE ARE NOT MATERIAL AND WILL NOT RESTART THE REQUIRED 21-DAY PERIOD;</w:t>
      </w:r>
    </w:p>
    <w:p>
      <w:pPr>
        <w:spacing w:after="0" w:line="183" w:lineRule="exact"/>
        <w:rPr>
          <w:rFonts w:ascii="Arial" w:cs="Arial" w:eastAsia="Arial" w:hAnsi="Arial"/>
          <w:sz w:val="17"/>
          <w:szCs w:val="17"/>
          <w:color w:val="auto"/>
        </w:rPr>
      </w:pPr>
    </w:p>
    <w:p>
      <w:pPr>
        <w:ind w:right="340" w:firstLine="8"/>
        <w:spacing w:after="0" w:line="277" w:lineRule="auto"/>
        <w:tabs>
          <w:tab w:leader="none" w:pos="6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CHANGES TO THE AGREEMENT SINCE _______________ ___, _____ EITHER ARE NOT MATERIAL OR WERE MADE AT MY REQUEST.</w:t>
      </w:r>
    </w:p>
    <w:p>
      <w:pPr>
        <w:spacing w:after="0" w:line="170" w:lineRule="exact"/>
        <w:rPr>
          <w:rFonts w:ascii="Arial" w:cs="Arial" w:eastAsia="Arial" w:hAnsi="Arial"/>
          <w:sz w:val="18"/>
          <w:szCs w:val="18"/>
          <w:color w:val="auto"/>
        </w:rPr>
      </w:pPr>
    </w:p>
    <w:p>
      <w:pPr>
        <w:ind w:right="800" w:firstLine="8"/>
        <w:spacing w:after="0" w:line="264" w:lineRule="auto"/>
        <w:tabs>
          <w:tab w:leader="none" w:pos="70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RELEASE TO REVOKE IT AND THAT THIS RELEASE SHALL NOT BECOME EFFECTIVE OR ENFORCEABLE UNTIL THE EIGHTH DAY FOLLOWING EXECUTION OF THE AGREEMENT;</w:t>
      </w:r>
    </w:p>
    <w:p>
      <w:pPr>
        <w:spacing w:after="0" w:line="181" w:lineRule="exact"/>
        <w:rPr>
          <w:rFonts w:ascii="Arial" w:cs="Arial" w:eastAsia="Arial" w:hAnsi="Arial"/>
          <w:sz w:val="18"/>
          <w:szCs w:val="18"/>
          <w:color w:val="auto"/>
        </w:rPr>
      </w:pPr>
    </w:p>
    <w:p>
      <w:pPr>
        <w:ind w:left="720" w:hanging="712"/>
        <w:spacing w:after="0"/>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ACKNOWLEDGE THAT MY acceptance of any of the monies paid by the COMPANY as described in sections __ of the employment</w:t>
      </w:r>
    </w:p>
    <w:p>
      <w:pPr>
        <w:spacing w:after="0" w:line="23" w:lineRule="exact"/>
        <w:rPr>
          <w:rFonts w:ascii="Arial" w:cs="Arial" w:eastAsia="Arial" w:hAnsi="Arial"/>
          <w:sz w:val="18"/>
          <w:szCs w:val="18"/>
          <w:color w:val="auto"/>
        </w:rPr>
      </w:pPr>
    </w:p>
    <w:p>
      <w:pPr>
        <w:ind w:right="120"/>
        <w:spacing w:after="0" w:line="323" w:lineRule="auto"/>
        <w:rPr>
          <w:rFonts w:ascii="Arial" w:cs="Arial" w:eastAsia="Arial" w:hAnsi="Arial"/>
          <w:sz w:val="18"/>
          <w:szCs w:val="18"/>
          <w:color w:val="auto"/>
        </w:rPr>
      </w:pPr>
      <w:r>
        <w:rPr>
          <w:rFonts w:ascii="Arial" w:cs="Arial" w:eastAsia="Arial" w:hAnsi="Arial"/>
          <w:sz w:val="16"/>
          <w:szCs w:val="16"/>
          <w:color w:val="auto"/>
        </w:rPr>
        <w:t>Agreement, at any time more than seven days after the execution of this Agreement will constitute an admission by ME that I did not revoke this Agreement during the revocation period of seven days; and will further constitute an admission by ME that this Agreement has become effective and enforceable.</w:t>
      </w:r>
    </w:p>
    <w:p>
      <w:pPr>
        <w:spacing w:after="0" w:line="138" w:lineRule="exact"/>
        <w:rPr>
          <w:rFonts w:ascii="Arial" w:cs="Arial" w:eastAsia="Arial" w:hAnsi="Arial"/>
          <w:sz w:val="18"/>
          <w:szCs w:val="18"/>
          <w:color w:val="auto"/>
        </w:rPr>
      </w:pPr>
    </w:p>
    <w:p>
      <w:pPr>
        <w:ind w:right="740" w:firstLine="8"/>
        <w:spacing w:after="0" w:line="277" w:lineRule="auto"/>
        <w:tabs>
          <w:tab w:leader="none" w:pos="66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160" w:name="page161"/>
    <w:bookmarkEnd w:id="160"/>
    <w:p>
      <w:pPr>
        <w:ind w:firstLine="8"/>
        <w:spacing w:after="0" w:line="308" w:lineRule="auto"/>
        <w:tabs>
          <w:tab w:leader="none" w:pos="66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__,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9"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Seth Burroughs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first written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8776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Title:</w:t>
        <w:tab/>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882" w:right="77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EMPLOYMENT AGREEMENT</w:t>
      </w:r>
    </w:p>
    <w:p>
      <w:pPr>
        <w:spacing w:after="0" w:line="229"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THIS AMENDED AND RESTATED EMPLOYMENT AGREEMENT (this “Agreement”) is made as of February __, 2012 by and between XCel Brands, Inc. a Delaware corporation (the “Company”), and Marisa Gardini (the “Executive”), each a “Party” and collectively the “Parties.” This Agreement amends and restates that certain employment agreement dated as of May 19, 2011, by and between the Company and the Executive. Unless otherwise indicated, capitalized terms used herein are defined in Section 2.1 of this Agreement.</w:t>
      </w:r>
    </w:p>
    <w:p>
      <w:pPr>
        <w:spacing w:after="0" w:line="18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WHEREAS, the Company has determined that it is in the best interests of the Company and its shareholders to enter into an employment agreement with the Executive and the Executive is willing to serve as an employee of the Company.</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NOW, THEREFORE, in consideration of the mutual covenants and agreements set forth herein, as defined below, it is agreed by and between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Executive and the Company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TERMS</w:t>
      </w:r>
    </w:p>
    <w:p>
      <w:pPr>
        <w:spacing w:after="0" w:line="211" w:lineRule="exact"/>
        <w:rPr>
          <w:sz w:val="20"/>
          <w:szCs w:val="20"/>
          <w:color w:val="auto"/>
        </w:rPr>
      </w:pPr>
    </w:p>
    <w:p>
      <w:pPr>
        <w:jc w:val="both"/>
        <w:ind w:firstLine="891"/>
        <w:spacing w:after="0" w:line="264" w:lineRule="auto"/>
        <w:rPr>
          <w:sz w:val="20"/>
          <w:szCs w:val="20"/>
          <w:color w:val="auto"/>
        </w:rPr>
      </w:pPr>
      <w:r>
        <w:rPr>
          <w:rFonts w:ascii="Arial" w:cs="Arial" w:eastAsia="Arial" w:hAnsi="Arial"/>
          <w:sz w:val="18"/>
          <w:szCs w:val="18"/>
          <w:color w:val="auto"/>
        </w:rPr>
        <w:t>1.1 Employment. The Company will employ the Executive, and the Executive accepts employment with the Company, upon the terms and conditions set forth in this Agreement for the period beginning on the Effective Date and ending as provided in Section 1.4(a) hereof (the “Employment Period”).</w:t>
      </w:r>
    </w:p>
    <w:p>
      <w:pPr>
        <w:spacing w:after="0" w:line="181"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Position and Duties.</w:t>
      </w:r>
    </w:p>
    <w:p>
      <w:pPr>
        <w:spacing w:after="0" w:line="225" w:lineRule="exact"/>
        <w:rPr>
          <w:sz w:val="20"/>
          <w:szCs w:val="20"/>
          <w:color w:val="auto"/>
        </w:rPr>
      </w:pPr>
    </w:p>
    <w:p>
      <w:pPr>
        <w:jc w:val="both"/>
        <w:ind w:firstLine="899"/>
        <w:spacing w:after="0" w:line="257" w:lineRule="auto"/>
        <w:tabs>
          <w:tab w:leader="none" w:pos="164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Generally. The Executive shall serve as the SVP Strategic Planning of the Company and, in such capacity shall be responsible for the strategic planning functions of the Business and shall perform such duties as are customarily performed by an officer with similar title and responsibilities of a company of a similar size and shall have such power and authority as shall reasonably be required to enable her to perform her duties hereunder; provided , however, that in exercising such power and authority and performing such duties, she shall at all times be subject to the authority, control and direction of the Chairman and CEO of the Company.</w:t>
      </w:r>
    </w:p>
    <w:p>
      <w:pPr>
        <w:spacing w:after="0" w:line="188" w:lineRule="exact"/>
        <w:rPr>
          <w:rFonts w:ascii="Arial" w:cs="Arial" w:eastAsia="Arial" w:hAnsi="Arial"/>
          <w:sz w:val="18"/>
          <w:szCs w:val="18"/>
          <w:color w:val="auto"/>
        </w:rPr>
      </w:pPr>
    </w:p>
    <w:p>
      <w:pPr>
        <w:jc w:val="both"/>
        <w:ind w:firstLine="899"/>
        <w:spacing w:after="0" w:line="297" w:lineRule="auto"/>
        <w:tabs>
          <w:tab w:leader="none" w:pos="16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Duties and Responsibilities. The Executive shall report to the Chairman and CEO of the Company and shall devote her full business time and attention to the business and affairs of the Company and its Subsidiaries. The Executive shall perform her duties and responsibilities in a diligent, trustworthy, businesslike and efficient manner. The Executive shall not engage in any other business activities that conflict with the Executive’s duties, responsibilities and obligations hereunder, except for the engagement referred to in Section 7.14 of the Purchase Agreement. During the Employment Period, the Executive shall promptly bring to the Company all investment or business opportunities related to the Business, of which the Executive becomes aware.</w:t>
      </w:r>
    </w:p>
    <w:p>
      <w:pPr>
        <w:spacing w:after="0" w:line="158" w:lineRule="exact"/>
        <w:rPr>
          <w:rFonts w:ascii="Arial" w:cs="Arial" w:eastAsia="Arial" w:hAnsi="Arial"/>
          <w:sz w:val="16"/>
          <w:szCs w:val="16"/>
          <w:color w:val="auto"/>
        </w:rPr>
      </w:pPr>
    </w:p>
    <w:p>
      <w:pPr>
        <w:jc w:val="both"/>
        <w:ind w:firstLine="899"/>
        <w:spacing w:after="0" w:line="259" w:lineRule="auto"/>
        <w:tabs>
          <w:tab w:leader="none" w:pos="17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Principal Office. The principal place of performance by the Executive of her duties hereunder shall be at the Company’s principal executive offices in Manhattan, New York, although the Executive may be required to travel, upon reasonable advance notice, outside of the area where the Company’s principal executive offices are located in connection with the business of the Company. All required travel shall be in accordance with the Company’s travel policy.</w:t>
      </w:r>
    </w:p>
    <w:p>
      <w:pPr>
        <w:spacing w:after="0" w:line="187"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Compensation.</w:t>
      </w:r>
    </w:p>
    <w:p>
      <w:pPr>
        <w:spacing w:after="0" w:line="225" w:lineRule="exact"/>
        <w:rPr>
          <w:sz w:val="20"/>
          <w:szCs w:val="20"/>
          <w:color w:val="auto"/>
        </w:rPr>
      </w:pPr>
    </w:p>
    <w:p>
      <w:pPr>
        <w:jc w:val="both"/>
        <w:ind w:firstLine="899"/>
        <w:spacing w:after="0" w:line="255" w:lineRule="auto"/>
        <w:tabs>
          <w:tab w:leader="none" w:pos="18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Base Salary. The Executive’s base salary shall be $250,000, $250,000 and $500,000 per annum, respectively, in the first three successive 12 month periods following the Effective Date (respectively, the “Base Salary”). The Base Salary will be payable to the Executive by the Company in regular installments in accordance with the Company’s general payroll practices. The Executive shall receive such increases (but not decreases) in her Base Salary as the Board of Directors of the Company (the “Board”), or the compensation committee of the Board, may approve in its sole discretion from time to time. The Executive’s Base Salary will be reviewed for potential upward adjustment on the third anniversary of this Agreement and each anniversary thereafter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2" w:name="page163"/>
    <w:bookmarkEnd w:id="162"/>
    <w:p>
      <w:pPr>
        <w:jc w:val="both"/>
        <w:ind w:left="-899" w:firstLine="899"/>
        <w:spacing w:after="0" w:line="279" w:lineRule="auto"/>
        <w:tabs>
          <w:tab w:leader="none" w:pos="1037" w:val="left"/>
        </w:tabs>
        <w:numPr>
          <w:ilvl w:val="0"/>
          <w:numId w:val="149"/>
        </w:numPr>
        <w:rPr>
          <w:rFonts w:ascii="Arial" w:cs="Arial" w:eastAsia="Arial" w:hAnsi="Arial"/>
          <w:sz w:val="17"/>
          <w:szCs w:val="17"/>
          <w:color w:val="auto"/>
        </w:rPr>
      </w:pPr>
      <w:r>
        <w:rPr>
          <w:rFonts w:ascii="Arial" w:cs="Arial" w:eastAsia="Arial" w:hAnsi="Arial"/>
          <w:sz w:val="17"/>
          <w:szCs w:val="17"/>
          <w:color w:val="auto"/>
        </w:rPr>
        <w:t>Bonus. The Executive shall have the right to participate in all employee bonus plans offered to other executives and senior management and, such other bonus payments as the Board, or the compensation committee of the Board, may approve in its sole discretion. Such bonus payments, if any, shall be paid at the same time paid to other recipients but in no event later than sixty (60) days after the end of the applicable calendar year or fiscal period. All bonuses payable under this Section 1.3(b) shall be, collectively, referred to herein as “Bonus.”</w:t>
      </w:r>
    </w:p>
    <w:p>
      <w:pPr>
        <w:spacing w:after="0" w:line="171" w:lineRule="exact"/>
        <w:rPr>
          <w:rFonts w:ascii="Arial" w:cs="Arial" w:eastAsia="Arial" w:hAnsi="Arial"/>
          <w:sz w:val="17"/>
          <w:szCs w:val="17"/>
          <w:color w:val="auto"/>
        </w:rPr>
      </w:pPr>
    </w:p>
    <w:p>
      <w:pPr>
        <w:ind w:left="-899" w:firstLine="899"/>
        <w:spacing w:after="0" w:line="277" w:lineRule="auto"/>
        <w:tabs>
          <w:tab w:leader="none" w:pos="68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Withholding. All payments made under this Agreement (including Base Salary, Bonus payments, and other amounts) shall be subject to withholding for income taxes, payroll taxes and other legally required deductions.</w:t>
      </w:r>
    </w:p>
    <w:p>
      <w:pPr>
        <w:spacing w:after="0" w:line="170" w:lineRule="exact"/>
        <w:rPr>
          <w:rFonts w:ascii="Arial" w:cs="Arial" w:eastAsia="Arial" w:hAnsi="Arial"/>
          <w:sz w:val="18"/>
          <w:szCs w:val="18"/>
          <w:color w:val="auto"/>
        </w:rPr>
      </w:pPr>
    </w:p>
    <w:p>
      <w:pPr>
        <w:jc w:val="both"/>
        <w:ind w:left="-899" w:firstLine="899"/>
        <w:spacing w:after="0" w:line="270" w:lineRule="auto"/>
        <w:tabs>
          <w:tab w:leader="none" w:pos="85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Expenses. The Company will reimburse the Executive for all reasonable expenses incurred by her in the course of performing her duties under this Agreement that are consistent with the Company’s policies in effect at that time with respect to travel, entertainment and other business expenses, subject to the Company’s requirements with respect to reporting and documentation of such expenses. Subject to this Section 1.3(d), all expense reimbursement payments for documented expenses shall be made in accordance with the Company expense reimbursement policy. In addition, the Company shall reimburse the Executive for $25,000 of undocumented expenses each calendar year (pro-rated for any partial calendar year during the Employment Period), without regard to whether such expenses would be reimbursable under the Company’s expense reimbursement policy. All expense reimbursement payments pursuant to this Section 1.3(d) shall be made within thirty (30) days after the date that the Executive notifies the Company of such expense; provided, however, that the Executive shall notify the Company of such expenses no later than six (6) months after the end of the calendar year in which such expenses were incurred.</w:t>
      </w:r>
    </w:p>
    <w:p>
      <w:pPr>
        <w:spacing w:after="0" w:line="181" w:lineRule="exact"/>
        <w:rPr>
          <w:rFonts w:ascii="Arial" w:cs="Arial" w:eastAsia="Arial" w:hAnsi="Arial"/>
          <w:sz w:val="17"/>
          <w:szCs w:val="17"/>
          <w:color w:val="auto"/>
        </w:rPr>
      </w:pPr>
    </w:p>
    <w:p>
      <w:pPr>
        <w:jc w:val="both"/>
        <w:ind w:left="-899" w:firstLine="899"/>
        <w:spacing w:after="0" w:line="264" w:lineRule="auto"/>
        <w:tabs>
          <w:tab w:leader="none" w:pos="71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Vacation; Holiday Pay and Sick Leave. The Executive shall be entitled to four (4) weeks’ paid vacation in each calendar year, which if and to the extent not taken during any year may be carried forward to any subsequent year. Executive shall receive holiday pay and paid sick leave as provided to other executive employees of the Company.</w:t>
      </w:r>
    </w:p>
    <w:p>
      <w:pPr>
        <w:spacing w:after="0" w:line="397" w:lineRule="exact"/>
        <w:rPr>
          <w:rFonts w:ascii="Arial" w:cs="Arial" w:eastAsia="Arial" w:hAnsi="Arial"/>
          <w:sz w:val="18"/>
          <w:szCs w:val="18"/>
          <w:color w:val="auto"/>
        </w:rPr>
      </w:pPr>
    </w:p>
    <w:p>
      <w:pPr>
        <w:jc w:val="both"/>
        <w:ind w:left="-899" w:firstLine="899"/>
        <w:spacing w:after="0" w:line="272" w:lineRule="auto"/>
        <w:tabs>
          <w:tab w:leader="none" w:pos="76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Additional Benefits. During the Employment Period, the Executive shall be entitled to participate (for herself and, as applicable, her dependents) in the group medical, life, 401(k) and other insurance programs, equity and equity-based incentive plans, employee benefit plans and perquisites which may be adopted by the Board, or the compensation committee of the Board, from time to time, for participation by the Company’s senior management or executives, as well as dental, life and disability insurance coverage, with payment of, or reimbursement for, such insurance premiums by the Company, subject to, in all cases, the terms and conditions established by the Board with respect to such plans (collectively, the “Benefits”); provided , however , that the Board, in its reasonable discretion, may revise the terms of any Benefits so long as such revision does not have a disproportionately negative impact on the Executive vis-à-vis other Company employees to the extent applicable.</w:t>
      </w:r>
    </w:p>
    <w:p>
      <w:pPr>
        <w:spacing w:after="0" w:line="177" w:lineRule="exact"/>
        <w:rPr>
          <w:rFonts w:ascii="Arial" w:cs="Arial" w:eastAsia="Arial" w:hAnsi="Arial"/>
          <w:sz w:val="17"/>
          <w:szCs w:val="17"/>
          <w:color w:val="auto"/>
        </w:rPr>
      </w:pPr>
    </w:p>
    <w:p>
      <w:pPr>
        <w:jc w:val="both"/>
        <w:ind w:left="-899" w:firstLine="899"/>
        <w:spacing w:after="0" w:line="259" w:lineRule="auto"/>
        <w:tabs>
          <w:tab w:leader="none" w:pos="73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Indemnification. The Executive shall be entitled to indemnification by the Company in the same circumstances and to the same extent as the other executive officers and directors of the Company, which indemnification shall in no event be less favorable to the Executive than the fullest scope of indemnification permitted by applicable Delaware law (or any such greater scope of indemnification provided by agreement or by the terms of the Company’s Certificate of Incorporation or By-Laws to any executive officer or director of the Company).</w:t>
      </w:r>
    </w:p>
    <w:p>
      <w:pPr>
        <w:spacing w:after="0" w:line="186" w:lineRule="exact"/>
        <w:rPr>
          <w:rFonts w:ascii="Arial" w:cs="Arial" w:eastAsia="Arial" w:hAnsi="Arial"/>
          <w:sz w:val="18"/>
          <w:szCs w:val="18"/>
          <w:color w:val="auto"/>
        </w:rPr>
      </w:pPr>
    </w:p>
    <w:p>
      <w:pPr>
        <w:jc w:val="both"/>
        <w:ind w:left="-899" w:firstLine="899"/>
        <w:spacing w:after="0" w:line="276" w:lineRule="auto"/>
        <w:tabs>
          <w:tab w:leader="none" w:pos="70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D&amp;O Insurance. The Company shall acquire and maintain Directors’ and Officers’ insurance for the Company’s directors and officers (including the Executive), with coverage in amounts reasonably sufficient to protect the Company’s directors and officers, but in all events with coverage in amounts no less than such amounts customarily maintained by similarly situated companies. Upon a Change of Control, the Company shall purchase, or cause to be purchased, a tail policy for a period of one year in an amount reasonably sufficient to protect the Company’s former directors and officers, but in all events with coverage in amounts no less than such amounts obtained by similarly situated companies in similar events.</w:t>
      </w:r>
    </w:p>
    <w:p>
      <w:pPr>
        <w:spacing w:after="0" w:line="172" w:lineRule="exact"/>
        <w:rPr>
          <w:rFonts w:ascii="Arial" w:cs="Arial" w:eastAsia="Arial" w:hAnsi="Arial"/>
          <w:sz w:val="17"/>
          <w:szCs w:val="17"/>
          <w:color w:val="auto"/>
        </w:rPr>
      </w:pPr>
    </w:p>
    <w:p>
      <w:pPr>
        <w:jc w:val="both"/>
        <w:ind w:left="-899" w:firstLine="899"/>
        <w:spacing w:after="0" w:line="264" w:lineRule="auto"/>
        <w:tabs>
          <w:tab w:leader="none" w:pos="6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Benefits. During the Employment Period, the Company shall: (i) reimburse Executive for up to Three Thousand Dollars ($3,000) per year for Executive to acquire and maintain a life insurance policy on the Executive; and (ii) allow the Executive to participate in the Company’s disability insurance policy on the Executive (the “Disability Policy”), which shall name the Executive as loss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398780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882" w:right="239" w:bottom="1440" w:gutter="0" w:footer="0" w:header="0"/>
        </w:sectPr>
      </w:pPr>
    </w:p>
    <w:bookmarkStart w:id="163" w:name="page164"/>
    <w:bookmarkEnd w:id="163"/>
    <w:p>
      <w:pPr>
        <w:ind w:left="900"/>
        <w:spacing w:after="0"/>
        <w:tabs>
          <w:tab w:leader="none" w:pos="1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Term and Termination.</w:t>
      </w:r>
    </w:p>
    <w:p>
      <w:pPr>
        <w:spacing w:after="0" w:line="225" w:lineRule="exact"/>
        <w:rPr>
          <w:sz w:val="20"/>
          <w:szCs w:val="20"/>
          <w:color w:val="auto"/>
        </w:rPr>
      </w:pPr>
    </w:p>
    <w:p>
      <w:pPr>
        <w:jc w:val="both"/>
        <w:ind w:firstLine="899"/>
        <w:spacing w:after="0" w:line="268" w:lineRule="auto"/>
        <w:tabs>
          <w:tab w:leader="none" w:pos="164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Duration. This Agreement shall be effective upon the Closing (as defined in the Purchase Agreement). The Employment Period shall commence on the Effective Date and the initial term shall terminate three (3) years from the Effective Date (the “Initial Term”), unless earlier terminated by the Company or the Executive as set forth in this Section 1.4. After the Initial Term, the Company shall have the option to renew this Agreement for two successive one-year periods (each a “Renewal Period”) on the same terms and conditions as those in effect during the third year of the Initial Term. The Initial Term plus any Renewal Period exercised by the Company is referred to herein as the “Term “. Thereafter, the Term shall renew automatically for one-year periods, unless either party gives the other party written notice of its intention not to renew the Agreement no later than 30 days prior to the expiration of the then current Term. The Employment Period shall be terminated prior to the then-applicable expiration of the Term upon the first to occur of (i) termination of the Executive’s employment by the Company for Cause, (ii) termination of the Executive’s employment by the Company without Cause, (iii) the Executive’s resignation with Good Reason, (iv) the Executive’s resignation other than for Good Reason, or (v) the Executive’s death or Disability. The Executive shall not terminate the Employment Period, with or without Good Reason, unless she gives the Company written notice that she intends to terminate the Employment Period at least 90 days prior to the Executive’s proposed Termination Date. As a condition to Executive receiving any payments or benefits under Section 1.4(b)(2) and (3) or Section 1.4(c) (except amounts payable pursuant to Section 1.4(b)(1) ), the Executive shall execute and deliver to the Company the General Release of claims related solely to Executive’s employment with the Company within 60 days after the Termination Date in the form attached hereto as Exhibit A . If the Executive does not execute and deliver the General Release within that time period then the amounts otherwise payable pursuant to Section 1.4(b)(2) shall be forfeited. The first payment under this Section 1.4 shall include any amounts payable under this Section 1.4 for periods prior to execution of such General Release.</w:t>
      </w:r>
    </w:p>
    <w:p>
      <w:pPr>
        <w:spacing w:after="0" w:line="180" w:lineRule="exact"/>
        <w:rPr>
          <w:rFonts w:ascii="Arial" w:cs="Arial" w:eastAsia="Arial" w:hAnsi="Arial"/>
          <w:sz w:val="17"/>
          <w:szCs w:val="17"/>
          <w:color w:val="auto"/>
        </w:rPr>
      </w:pPr>
    </w:p>
    <w:p>
      <w:pPr>
        <w:jc w:val="both"/>
        <w:ind w:firstLine="899"/>
        <w:spacing w:after="0" w:line="283" w:lineRule="auto"/>
        <w:tabs>
          <w:tab w:leader="none" w:pos="1652"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Severance Upon Termination Without Cause, Upon Resignation by the Executive For Good Reason or Failure to Renew Term . If the Employment Period is terminated by the Company without Cause or if the Executive resigns for Good Reason, or if the Company fails to renew the Term (in which case termination of the Executive’s employment shall be effective at the expiration of the then-current Term), then the Executive will be entitled to receive (1) any unpaid Base Salary through and including the date of termination or resignation and any other amounts, including any amounts due for Bonus, or other entitlements then due and owing to the Executive as of the Termination Date; (2) an amount equal to the Executive’s Base Salary (at the rate that would have been effect pursuant to Section 1.3(a) had such employment not been terminated) for the longer of (x) six (6) months from the Termination Date, or (y) the remainder of the then-current Term, but in no event exceeding eighteen (18) months (as the case may be, the “Severance Period”), payable in substantially equal installments over the Severance Period in accordance with the Company’s normal payroll practices; provided , however , that prior to the date that is six months and one day after the Termination Date, no payments would be made that exceed the lesser of two times: (i) the sum of (A) the</w:t>
      </w:r>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Executive’s Base Salary (at the rate in effect on the date of termination), (B) the Bonus paid to Executive pursuant to Section 1.3(b) in the prior calendar year, and (C) any other taxable compensation paid to the Executive in the prior calendar year, or (ii) the maximum amount that may be taken into account under a qualified plan pursuant to Section 401(a)(17) of the Code for the year in which the Executive has a termination of employment; and any amount in excess of the applicable limits shall be paid on the date that is six months and one day after the Termination Date; and any amount in excess of the applicable limits shall be paid on the date that is six months and one day after the Termination Date; and (3) continue to participate in the Company’s group medical plan on the same basis as she previously participated or , if such participation would violate the provisions of Section 409A of the Code or applicable nondiscrimination regulations under the Patient Protection and Affordable Care Act (PPACA), receive reimbursement for, COBRA premiums (or, if COBRA coverage is not available, reimbursement of premiums paid for other medical insurance in an amount not to exceed the COBRA premium) for the Severance Period; provided that if the Executive is provided with health insurance coverage by a successor employer, any such coverage by the Company under subclause (3) shall cease (each of (1), (2) and (3) referred to as the “Severance Payment”). The Executive also shall be entitled to receive payment for (i) all reimbursable expenses or other entitlements then due and owing to the Executive as of the Termination Date under Section 1.3(d) (other than non-accountable expenses which shall be reimbursed pursuant to clause (ii) below), which payments shall be made in accordance with the Company expense reimbursement policy; provided , however , in no event shall any expense reimbursements by the Company be made later than the last day of the calendar year after the calendar year in which the expense was incurred, and (ii) all non-accountable expenses incurred prior to the Termination Date that are reimbursable under Section 1.3(d) , which payments shall be made in accordance with the terms of Section 1.3(d) . If the Executive breaches her obligations under Section 1.6 , 1.7 , 1.8 or 1.9 of this Agreement, the Company’s obligation to make any Severance Payments and provide any Benefits shall cease as of the date of such breach; provided, that if the Executive cures such breach within 10 days of receiving written notice from the Company of such breach (which notice the Company shall provide promptly to the Executive after learning of such breach), the Company shall promptly pay all Severance Payments not made during such period of dispute and resume making Severance Payments and providing Benefits promptly following such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4" w:name="page165"/>
    <w:bookmarkEnd w:id="164"/>
    <w:p>
      <w:pPr>
        <w:jc w:val="both"/>
        <w:ind w:firstLine="899"/>
        <w:spacing w:after="0" w:line="284" w:lineRule="auto"/>
        <w:tabs>
          <w:tab w:leader="none" w:pos="186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Severance upon a Change of Control. Anything contained herein to the contrary notwithstanding, in the event the Executive’s employment hereunder is terminated within six (6) months following a Change of Control by the Company without Cause or by the Executive with Good Reason, the Executive shall be entitled to receive the Severance Payment as described in sub-section (b) above; provided , however , that, that in lieu of the calculation contained in Section 1.4(b)(2) , Executive shall be entitled to receive a lump sum amount within 60 days after the Termination Date equal to two times the sum of (i) the Executive’s Base Salary (at the average rate that would have been effect pursuant to Section 1.3(a) during the two years following the Termination Date) and (ii) the Bonus paid or due to the Executive pursuant to Section 1.3(b) in the year prior to such Change of Control, if any; provided , however , that prior to the date that is six months and one day after the Termination Date, no payment would be made that exceeds the lesser of two times: (i)</w:t>
      </w:r>
    </w:p>
    <w:p>
      <w:pPr>
        <w:spacing w:after="0" w:line="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sum of (A) the Executive’s Base Salary (at the rate in effect on the date of termination), (B) the Bonus paid to Executive pursuant to Section 1.3(b) in the prior calendar year, and (C) any other taxable compensation paid to the Executive in the prior calendar year, or (ii) the maximum amount that may be taken into account under a qualified plan pursuant to Section 401(a)(17) of the Code for the year in which the Executive has a termination of employment, and any amount in excess of such limits shall be paid on the date that is six months and one day after the Termination Date; and further provided , however , that if such lump sum severance payment, either alone or together with other payments or benefits, either cash or non-cash, that the Executive has the right to receive from the Company, including, but not limited to, accelerated vesting or payment of any deferred compensation, options, stock appreciation rights or any benefits payable to the Executive under any plan for the benefit of employees, would constitute an “excess parachute payment” (as defined in Section 280G of the Code), then such lump sum severance payment or other benefit shall be reduced to the largest amount that will not result in receipt by the Executive of an “excess parachute payment.” The determination of the amount of the payment described in this subsection shall be made by the Company’s independent auditors at the sole expense of the Company. For purposes of clarification the value of any options described above will be determined by the Company’s independent auditors using a Black-Scholes valuation methodology.</w:t>
      </w:r>
    </w:p>
    <w:p>
      <w:pPr>
        <w:spacing w:after="0" w:line="187" w:lineRule="exact"/>
        <w:rPr>
          <w:sz w:val="20"/>
          <w:szCs w:val="20"/>
          <w:color w:val="auto"/>
        </w:rPr>
      </w:pPr>
    </w:p>
    <w:p>
      <w:pPr>
        <w:jc w:val="both"/>
        <w:ind w:firstLine="899"/>
        <w:spacing w:after="0" w:line="255" w:lineRule="auto"/>
        <w:tabs>
          <w:tab w:leader="none" w:pos="160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Death and Disability. In the event of the Company terminates this Agreement due to the death of the Executive, the Company shall pay the Executive her Base Salary through the date of termination, at the rate then in effect, and all expenses or accrued Benefits arising prior to such termination which are payable to the Executive pursuant to this Agreement through the date of termination. Any other rights and benefits the Executive may have under employee benefit plans and programs of the Company generally in the event of the Executive’s Disability shall be determined in accordance with the terms of such plans and programs. In the event of Executive’s death, any rights and benefits that the Executive’s estate or any other person may have under employee benefit plans and programs of the Company generally in the event of the Executive’s death shall be determined in accordance with the terms of such plans and programs.</w:t>
      </w:r>
    </w:p>
    <w:p>
      <w:pPr>
        <w:spacing w:after="0" w:line="189" w:lineRule="exact"/>
        <w:rPr>
          <w:rFonts w:ascii="Arial" w:cs="Arial" w:eastAsia="Arial" w:hAnsi="Arial"/>
          <w:sz w:val="18"/>
          <w:szCs w:val="18"/>
          <w:color w:val="auto"/>
        </w:rPr>
      </w:pPr>
    </w:p>
    <w:p>
      <w:pPr>
        <w:jc w:val="both"/>
        <w:ind w:firstLine="899"/>
        <w:spacing w:after="0" w:line="290" w:lineRule="auto"/>
        <w:tabs>
          <w:tab w:leader="none" w:pos="1641"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Salary and Other Payments Through Termination. If the Executive’s employment with the Company is terminated during the Term (i) by the Company for Cause or (ii) by the Executive other than for Good Reason, the Executive will be entitled to receive her Base Salary through the Termination Date, but will not be entitled to receive any Severance Payments or Benefits after the Termination Date. The Executive shall also be entitled to receive payment for (i) all reimbursable expenses or other entitlements then due and owing to the Executive as of the Termination Date under Section 1.3(d) (other than non-accountable expenses which shall be reimbursed pursuant to clause (ii) below), which payments shall be made in accordance with the Company expense reimbursement policy; provided , however , in no event shall any expense reimbursements by the Company be made later than the last day of the calendar year after the calendar year in which the expense was incurred, and (ii) all non-accountable expenses incurred prior to the Termination Date that are reimbursable under Section 1.3(d) , which payments shall be made in accordance with the terms of Section 1.3(d)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65" w:name="page166"/>
    <w:bookmarkEnd w:id="165"/>
    <w:p>
      <w:pPr>
        <w:ind w:left="-899" w:right="20" w:firstLine="899"/>
        <w:spacing w:after="0" w:line="308" w:lineRule="auto"/>
        <w:tabs>
          <w:tab w:leader="none" w:pos="74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Other Rights. Except as set forth in this Section 1.4, all of the Executive’s rights to receive Base Salary, Benefits and annual bonuses hereunder (if any) which accrue or become payable after the termination of the Employment Period shall cease upon such termination.</w:t>
      </w:r>
    </w:p>
    <w:p>
      <w:pPr>
        <w:spacing w:after="0" w:line="146" w:lineRule="exact"/>
        <w:rPr>
          <w:rFonts w:ascii="Arial" w:cs="Arial" w:eastAsia="Arial" w:hAnsi="Arial"/>
          <w:sz w:val="17"/>
          <w:szCs w:val="17"/>
          <w:color w:val="auto"/>
        </w:rPr>
      </w:pPr>
    </w:p>
    <w:p>
      <w:pPr>
        <w:jc w:val="both"/>
        <w:ind w:left="-899" w:firstLine="899"/>
        <w:spacing w:after="0" w:line="259" w:lineRule="auto"/>
        <w:tabs>
          <w:tab w:leader="none" w:pos="84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Continuing Benefits. Notwithstanding Section 1.4(f), termination pursuant to this Section 1.4 shall not modify or affect in any way whatsoever any vested right of the Executive to benefits payable under any retirement or pension plan or under any other employee benefit plan of the Company, and all such benefits shall continue, in accordance with, and subject to, the terms and conditions of such plans, to be payable in full to, or on account of, the Executive after such termination.</w:t>
      </w:r>
    </w:p>
    <w:p>
      <w:pPr>
        <w:spacing w:after="0" w:line="186" w:lineRule="exact"/>
        <w:rPr>
          <w:rFonts w:ascii="Arial" w:cs="Arial" w:eastAsia="Arial" w:hAnsi="Arial"/>
          <w:sz w:val="18"/>
          <w:szCs w:val="18"/>
          <w:color w:val="auto"/>
        </w:rPr>
      </w:pPr>
    </w:p>
    <w:p>
      <w:pPr>
        <w:jc w:val="both"/>
        <w:ind w:left="-899" w:firstLine="899"/>
        <w:spacing w:after="0" w:line="264" w:lineRule="auto"/>
        <w:tabs>
          <w:tab w:leader="none" w:pos="80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 Duty of Mitigation. The Executive shall not be required to mitigate the amount of any payment provided for in this Article I by seeking other employment or otherwise, nor shall the amount of any payment or benefit provided for under Article I be reduced by any compensation earned by Executive after the Termination Date.</w:t>
      </w:r>
    </w:p>
    <w:p>
      <w:pPr>
        <w:spacing w:after="0" w:line="181" w:lineRule="exact"/>
        <w:rPr>
          <w:rFonts w:ascii="Arial" w:cs="Arial" w:eastAsia="Arial" w:hAnsi="Arial"/>
          <w:sz w:val="18"/>
          <w:szCs w:val="18"/>
          <w:color w:val="auto"/>
        </w:rPr>
      </w:pPr>
    </w:p>
    <w:p>
      <w:pPr>
        <w:jc w:val="both"/>
        <w:ind w:left="-899" w:firstLine="899"/>
        <w:spacing w:after="0" w:line="255" w:lineRule="auto"/>
        <w:tabs>
          <w:tab w:leader="none" w:pos="7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Acceleration of Vesting. If the Company shall terminate the Executive’s employment without Cause or the Executive terminates her employment with Good Reason, then notwithstanding the vesting and exercisability schedule in any stock option or other grant agreement between the Company and the Executive, all unvested stock options, shares of restricted stock and other equity awards granted by the Company to the Executive pursuant to any such agreement shall immediately vest, and all such stock options shall become exercisable and shall remain exercisable for the remaining term of the applicable option. In the event of conflict between any stock option or other grant agreement between the Company and the Executive and this Agreement, the stock option or other grant agreement shall control.</w:t>
      </w:r>
    </w:p>
    <w:p>
      <w:pPr>
        <w:spacing w:after="0" w:line="193" w:lineRule="exact"/>
        <w:rPr>
          <w:sz w:val="20"/>
          <w:szCs w:val="20"/>
          <w:color w:val="auto"/>
        </w:rPr>
      </w:pPr>
    </w:p>
    <w:p>
      <w:pPr>
        <w:ind w:left="1"/>
        <w:spacing w:after="0"/>
        <w:tabs>
          <w:tab w:leader="none" w:pos="7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Confidential Information.</w:t>
      </w:r>
    </w:p>
    <w:p>
      <w:pPr>
        <w:spacing w:after="0" w:line="225" w:lineRule="exact"/>
        <w:rPr>
          <w:sz w:val="20"/>
          <w:szCs w:val="20"/>
          <w:color w:val="auto"/>
        </w:rPr>
      </w:pPr>
    </w:p>
    <w:p>
      <w:pPr>
        <w:jc w:val="both"/>
        <w:ind w:left="-899" w:firstLine="899"/>
        <w:spacing w:after="0" w:line="253" w:lineRule="auto"/>
        <w:tabs>
          <w:tab w:leader="none" w:pos="69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Executive shall not disclose or, directly or indirectly, use at any time, during the Employment Period or thereafter, any Confidential Information (as defined below) of which the Executive is or becomes aware, whether or not such information is developed by her, alone or with others, except to the extent that (i) such disclosure or use is required by the Executive’s performance of the duties assigned to the Executive by the Board of Directors, (ii) the Executive is required by subpoena or similar process to disclose or discuss any Confidential Information, provided, that in such case, the Executive shall promptly inform the Company in writing of such event, shall reasonably cooperate with the Company in attempting to obtain a protective order or to otherwise limit or restrict such disclosure to the greatest extent possible, and shall disclose only that portion of the Confidential Information as is strictly required, or (iii) such Confidential Information is or becomes generally known to and available for use by the public, other than as a result of any action or inaction directly or indirectly by the Executive. At the Company’s expense, the Executive shall take all reasonable steps to safeguard Confidential Information in her possession and to protect it against disclosure, misuse, espionage, loss and theft. The Executive acknowledges that the Confidential Information obtained by her during the course of her employment with the Company is the sole and exclusive property of the Company and its Subsidiaries, as applicable.</w:t>
      </w:r>
    </w:p>
    <w:p>
      <w:pPr>
        <w:spacing w:after="0" w:line="192" w:lineRule="exact"/>
        <w:rPr>
          <w:rFonts w:ascii="Arial" w:cs="Arial" w:eastAsia="Arial" w:hAnsi="Arial"/>
          <w:sz w:val="18"/>
          <w:szCs w:val="18"/>
          <w:color w:val="auto"/>
        </w:rPr>
      </w:pPr>
    </w:p>
    <w:p>
      <w:pPr>
        <w:jc w:val="both"/>
        <w:ind w:left="-899" w:firstLine="899"/>
        <w:spacing w:after="0" w:line="272" w:lineRule="auto"/>
        <w:tabs>
          <w:tab w:leader="none" w:pos="71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Executive understands that the Company and its Subsidiaries will receive from third parties confidential or proprietary information (“Third Party Information”) subject to a duty on the part of the Company and its Subsidiaries to maintain the confidentiality of such information and to use it only for certain limited purposes. During the Employment Period and in the period specified in such confidentiality agreements, and without in any way limiting the provisions of Section 1.5(a) above, the Executive will hold Third Party Information in confidence, consistent with the obligations applicable to Confidential Information of the Company generally, and will not disclose to anyone (other than personnel and agents of the Company or its Subsidiaries who need to know such information in connection with their work for the Company or its Subsidiaries) or use, except in connection with her work for the Company or its Subsidiaries, Third Party Information unless expressly authorized by the Board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396240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882" w:right="239" w:bottom="1440" w:gutter="0" w:footer="0" w:header="0"/>
        </w:sectPr>
      </w:pPr>
    </w:p>
    <w:bookmarkStart w:id="166" w:name="page167"/>
    <w:bookmarkEnd w:id="166"/>
    <w:p>
      <w:pPr>
        <w:jc w:val="both"/>
        <w:ind w:firstLine="899"/>
        <w:spacing w:after="0" w:line="270" w:lineRule="auto"/>
        <w:tabs>
          <w:tab w:leader="none" w:pos="160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As used in this Agreement, the term “Confidential Information” means information that is not generally known to the public and that is related in any way to the actual or anticipated business of the Company, its Subsidiaries, its Affiliates or any of their respective predecessors in interest, including but not limited to (i) business development, growth and other strategic business plans, (ii) properties available for acquisition, financing development or sale, (iii) accounting and business methods, (iv) services or products and the marketing of such services and products, (v) fees, costs and pricing structures, (vi) designs, (vii) analysis, (viii) drawings, photographs and reports, (ix) computer software, including operating systems, applications and program listings, (x) flow charts, manuals and documentation, (xi) data bases, (xii) inventions, devices, new developments, methods and processes, whether patentable or unpatentable and whether or not reduced to practice, (xiii) copyrightable works, (xiv) all technology and trade secrets, (xv) confidential terms of material agreements and customer relationships, and (xvi) all similar and related information in whatever form or medium. Confidential Information shall not include any information that has become generally available to the public prior to the date the Executive proposes to disclose or use such information or general know-how of the Executive.</w:t>
      </w:r>
    </w:p>
    <w:p>
      <w:pPr>
        <w:spacing w:after="0" w:line="178" w:lineRule="exact"/>
        <w:rPr>
          <w:sz w:val="20"/>
          <w:szCs w:val="20"/>
          <w:color w:val="auto"/>
        </w:rPr>
      </w:pPr>
    </w:p>
    <w:p>
      <w:pPr>
        <w:jc w:val="both"/>
        <w:ind w:firstLine="891"/>
        <w:spacing w:after="0" w:line="268" w:lineRule="auto"/>
        <w:rPr>
          <w:sz w:val="20"/>
          <w:szCs w:val="20"/>
          <w:color w:val="auto"/>
        </w:rPr>
      </w:pPr>
      <w:r>
        <w:rPr>
          <w:rFonts w:ascii="Arial" w:cs="Arial" w:eastAsia="Arial" w:hAnsi="Arial"/>
          <w:sz w:val="17"/>
          <w:szCs w:val="17"/>
          <w:color w:val="auto"/>
        </w:rPr>
        <w:t>1.6 Inventions and Patents. Executive acknowledges that all discoveries, concepts, ideas, inventions, innovations, improvements, developments, products, methods, processes, techniques, programs, designs, analyses, drawings, reports, patents, copyrightable works and mask works (whether or not including any Confidential Information) and all issuances, registrations or applications related thereto, all other proprietary information or intellectual property and all similar or related information (whether or not patentable) conceived, developed, contributed to, made, or reduced to practice by Executive (either alone or with others) while employed by Company or any of its Subsidiaries or Affiliates or using the materials, facilities or resources of the Company or any of its Subsidiaries or Affiliates (collectively, “Company Works”) is the sole and exclusive property of the Company and its Subsidiaries. Executive hereby assigns all right, title and interest in and to all Company Works to the Company and its Subsidiaries and waives any moral rights she may have therein, without further obligation or consideration. Any copyrightable work prepared in whole or in part by the Executive during the Employment Period will be deemed “a work made for hire” under Section 201(b) of the 1976 Copyright Act, and the Company and its Subsidiaries shall own all of the rights comprised in the copyright therein. The Executive shall promptly and fully disclose in writing all Company Works to the Company and shall cooperate with the Company and its Subsidiaries to protect, maintain and enforce the Company’s and its Subsidiaries’ interests in and rights to such Company Works (including, without limitation, providing reasonable assistance in securing patent protection and copyright registrations and executing all affidavits, assignments, powers-of-attorney and other documents as reasonably requested by the Company, whether such requests occur prior to or after termination of the Executive’s employment with the Company).</w:t>
      </w:r>
    </w:p>
    <w:p>
      <w:pPr>
        <w:spacing w:after="0" w:line="185" w:lineRule="exact"/>
        <w:rPr>
          <w:sz w:val="20"/>
          <w:szCs w:val="20"/>
          <w:color w:val="auto"/>
        </w:rPr>
      </w:pPr>
    </w:p>
    <w:p>
      <w:pPr>
        <w:jc w:val="both"/>
        <w:ind w:firstLine="891"/>
        <w:spacing w:after="0" w:line="254" w:lineRule="auto"/>
        <w:rPr>
          <w:sz w:val="20"/>
          <w:szCs w:val="20"/>
          <w:color w:val="auto"/>
        </w:rPr>
      </w:pPr>
      <w:r>
        <w:rPr>
          <w:rFonts w:ascii="Arial" w:cs="Arial" w:eastAsia="Arial" w:hAnsi="Arial"/>
          <w:sz w:val="18"/>
          <w:szCs w:val="18"/>
          <w:color w:val="auto"/>
        </w:rPr>
        <w:t>1.7 Delivery of Materials Upon Termination of Employment. As requested by the Company from time to time and in any event upon the termination of the Executive’s employment with the Company, the Executive shall promptly deliver to the Company, or at the Company’s election destroy, all copies and embodiments, in whatever form or medium, of all Confidential Information, Company Works and other property and assets of the Company and its Subsidiaries in the Executive’s possession or within her control (including, but not limited to, office keys, access cards, written records, notes, photographs, manuals, notebooks, documentation, program listings, flow charts, magnetic media, disks, diskettes, tapes, computers and handheld devices (including all software, files and documents thereon) and any other materials containing any Confidential Information or Company Works) irrespective of the location or form of such material and, if requested by the Company, shall provide the Company with written confirmation that all such materials have been delivered to the Company or destroyed, as applicable.</w:t>
      </w:r>
    </w:p>
    <w:p>
      <w:pPr>
        <w:spacing w:after="0" w:line="192" w:lineRule="exact"/>
        <w:rPr>
          <w:sz w:val="20"/>
          <w:szCs w:val="20"/>
          <w:color w:val="auto"/>
        </w:rPr>
      </w:pPr>
    </w:p>
    <w:p>
      <w:pPr>
        <w:ind w:left="900"/>
        <w:spacing w:after="0"/>
        <w:tabs>
          <w:tab w:leader="none" w:pos="1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Non-Compete and Non-Solicitation Covenants.</w:t>
      </w:r>
    </w:p>
    <w:p>
      <w:pPr>
        <w:spacing w:after="0" w:line="225" w:lineRule="exact"/>
        <w:rPr>
          <w:sz w:val="20"/>
          <w:szCs w:val="20"/>
          <w:color w:val="auto"/>
        </w:rPr>
      </w:pPr>
    </w:p>
    <w:p>
      <w:pPr>
        <w:jc w:val="both"/>
        <w:ind w:firstLine="899"/>
        <w:spacing w:after="0" w:line="286" w:lineRule="auto"/>
        <w:tabs>
          <w:tab w:leader="none" w:pos="161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Executive acknowledges and agrees that the Executive’s services to the Company and its Subsidiaries are unique in nature and that the Company and its Subsidiaries would be irreparably damaged if the Executive violated her obligations under this Section 1.8 . The Executive further acknowledges that, in the course of her employment with the Company, she will become familiar with the Company’s and its Subsidiaries’ trade secrets and with other Confidential Information. During the Non-compete Period, she shall not, directly or indirectly, whether for herself or for any other Person, permit her name to be used by or participate in any business or enterprise (including, without limitation, any division, group or franchise of a larger organization) that engages or proposes to engage in the Business in the Restricted Territories, other than the Company and its Subsidiaries or except as otherwise directed or authorized by the Board. For purposes of this Agreement, the term “participate in” shall include, without limitation, having any direct or indirect interest in any Person, whether as a sole proprietor, owner, stockholder, partner, member, joint venturer, creditor or otherwise, or rendering any direct or indirect service or assistance to any Person (whether as a director, officer, supervisor, employee, agent, consultant or otherwise). Nothing herein will prohibit the Executive from (i) mere passive ownership of not more than three percent (3%) of the outstanding stock of any class of a publicly held corporation whose stock is traded on a national securities exchange or in the over-the-counter market, and (ii) engaging in such business as contemplated by Section 7.14 of the Purchase Agreement. As used herein, the phrase “mere passive ownership” shall include voting or otherwise granting any consents or approvals required to be obtained from such Person as an owner of stock or other ownership interests in any entity pursuant to the charter or other organizational documents of such entity, but shall not include, without limitation, any involvement in the day-to-day operations of such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7" w:name="page168"/>
    <w:bookmarkEnd w:id="167"/>
    <w:p>
      <w:pPr>
        <w:jc w:val="both"/>
        <w:ind w:firstLine="899"/>
        <w:spacing w:after="0" w:line="271" w:lineRule="auto"/>
        <w:tabs>
          <w:tab w:leader="none" w:pos="172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During the Nonsolicitation Period, the Executive will not directly, or indirectly through another Person,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 The Executive acknowledges and agrees that the Company and its Subsidiaries would be irreparably damaged if the Executive were to breach any of the provisions contained in this Section 1.8(b) .</w:t>
      </w:r>
    </w:p>
    <w:p>
      <w:pPr>
        <w:spacing w:after="0" w:line="178" w:lineRule="exact"/>
        <w:rPr>
          <w:rFonts w:ascii="Arial" w:cs="Arial" w:eastAsia="Arial" w:hAnsi="Arial"/>
          <w:sz w:val="17"/>
          <w:szCs w:val="17"/>
          <w:color w:val="auto"/>
        </w:rPr>
      </w:pPr>
    </w:p>
    <w:p>
      <w:pPr>
        <w:jc w:val="both"/>
        <w:ind w:firstLine="899"/>
        <w:spacing w:after="0" w:line="264" w:lineRule="auto"/>
        <w:tabs>
          <w:tab w:leader="none" w:pos="162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Executive acknowledges that this Agreement, and specifically, this Section 1.8, does not preclude Executive from earning a livelihood, nor does it unreasonably impose limitations on Executive’s ability to earn a living. In addition, Executive agrees and acknowledges that the potential harm to the Company of its non-enforcement outweighs any harm to Executive of its enforcement by injunction or otherwise.</w:t>
      </w:r>
    </w:p>
    <w:p>
      <w:pPr>
        <w:spacing w:after="0" w:line="181" w:lineRule="exact"/>
        <w:rPr>
          <w:sz w:val="20"/>
          <w:szCs w:val="20"/>
          <w:color w:val="auto"/>
        </w:rPr>
      </w:pPr>
    </w:p>
    <w:p>
      <w:pPr>
        <w:jc w:val="both"/>
        <w:ind w:firstLine="891"/>
        <w:spacing w:after="0" w:line="287" w:lineRule="auto"/>
        <w:rPr>
          <w:sz w:val="20"/>
          <w:szCs w:val="20"/>
          <w:color w:val="auto"/>
        </w:rPr>
      </w:pPr>
      <w:r>
        <w:rPr>
          <w:rFonts w:ascii="Arial" w:cs="Arial" w:eastAsia="Arial" w:hAnsi="Arial"/>
          <w:sz w:val="16"/>
          <w:szCs w:val="16"/>
          <w:color w:val="auto"/>
        </w:rPr>
        <w:t>1.9 Enforcement. If, at the time of enforcement of Section 1.5, 1.6, 1.7, 1.8 or 1.10, a court holds that the restrictions stated herein are unreasonable under circumstances then existing, the Parties agree that, to the extent permitted by applicable law, the maximum period, scope or geographical area reasonable under such circumstances will be substituted for the period, scope or area. Because the Executive’s services are unique and because the Executive has access to Confidential Information and Company Works, the Parties agree that money damages would be an inadequate remedy for any breach of Section 1.5 , 1.6 , 1.7 , 1.8 or 1.10 . Therefore, in the event of a breach or threatened breach of Section 1.5 , 1.6 , 1.7 , 1.8 or 1.10 , the Company or any of its Subsidiaries or any of their respective successors or assigns may, in addition to other rights and remedies existing in their favor, apply to any court of competent jurisdiction for specific performance and/or injunctive or other relief in order to enforce, or prevent any violations of, the provisions hereof (without posting a bond or other security). The Parties hereby acknowledge and agree that (a) performance of the services of the Executive hereunder may occur in jurisdictions other than the jurisdiction whose law the Parties have agreed shall govern the construction, validity and interpretation of this Agreement, (b) the law of the State of New York shall govern construction, validity and interpretation of this Agreement to the fullest extent possible, and (c) Section 1.5 , 1.6 , 1.7 , 1.8 or 1.10 shall restrict the Executive only to the extent permitted by applicable law.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ind w:left="900"/>
              <w:spacing w:after="0"/>
              <w:rPr>
                <w:sz w:val="20"/>
                <w:szCs w:val="20"/>
                <w:color w:val="auto"/>
              </w:rPr>
            </w:pPr>
            <w:r>
              <w:rPr>
                <w:rFonts w:ascii="Arial" w:cs="Arial" w:eastAsia="Arial" w:hAnsi="Arial"/>
                <w:sz w:val="18"/>
                <w:szCs w:val="18"/>
                <w:color w:val="auto"/>
              </w:rPr>
              <w:t>1.10</w:t>
            </w:r>
          </w:p>
        </w:tc>
        <w:tc>
          <w:tcPr>
            <w:tcW w:w="9820" w:type="dxa"/>
            <w:vAlign w:val="bottom"/>
          </w:tcPr>
          <w:p>
            <w:pPr>
              <w:ind w:left="500"/>
              <w:spacing w:after="0"/>
              <w:rPr>
                <w:sz w:val="20"/>
                <w:szCs w:val="20"/>
                <w:color w:val="auto"/>
              </w:rPr>
            </w:pPr>
            <w:r>
              <w:rPr>
                <w:rFonts w:ascii="Arial" w:cs="Arial" w:eastAsia="Arial" w:hAnsi="Arial"/>
                <w:sz w:val="18"/>
                <w:szCs w:val="18"/>
                <w:color w:val="auto"/>
              </w:rPr>
              <w:t>Survival.  Sections 1.4, 1.5, 1.6, 1.7, 1.8 and 1.10 will survive and continue in full force in accordance with their terms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notwithstanding any termination of the Employment Period.</w:t>
            </w:r>
          </w:p>
        </w:tc>
      </w:tr>
      <w:tr>
        <w:trPr>
          <w:trHeight w:val="414"/>
        </w:trPr>
        <w:tc>
          <w:tcPr>
            <w:tcW w:w="1600" w:type="dxa"/>
            <w:vAlign w:val="bottom"/>
          </w:tcPr>
          <w:p>
            <w:pPr>
              <w:spacing w:after="0"/>
              <w:rPr>
                <w:sz w:val="24"/>
                <w:szCs w:val="24"/>
                <w:color w:val="auto"/>
              </w:rPr>
            </w:pPr>
          </w:p>
        </w:tc>
        <w:tc>
          <w:tcPr>
            <w:tcW w:w="9820" w:type="dxa"/>
            <w:vAlign w:val="bottom"/>
          </w:tcPr>
          <w:p>
            <w:pPr>
              <w:jc w:val="center"/>
              <w:ind w:right="1490"/>
              <w:spacing w:after="0"/>
              <w:rPr>
                <w:sz w:val="20"/>
                <w:szCs w:val="20"/>
                <w:color w:val="auto"/>
              </w:rPr>
            </w:pPr>
            <w:r>
              <w:rPr>
                <w:rFonts w:ascii="Arial" w:cs="Arial" w:eastAsia="Arial" w:hAnsi="Arial"/>
                <w:sz w:val="18"/>
                <w:szCs w:val="18"/>
                <w:b w:val="1"/>
                <w:bCs w:val="1"/>
                <w:color w:val="auto"/>
              </w:rPr>
              <w:t>ARTICLE II</w:t>
            </w:r>
          </w:p>
        </w:tc>
      </w:tr>
      <w:tr>
        <w:trPr>
          <w:trHeight w:val="234"/>
        </w:trPr>
        <w:tc>
          <w:tcPr>
            <w:tcW w:w="1600" w:type="dxa"/>
            <w:vAlign w:val="bottom"/>
          </w:tcPr>
          <w:p>
            <w:pPr>
              <w:spacing w:after="0"/>
              <w:rPr>
                <w:sz w:val="20"/>
                <w:szCs w:val="20"/>
                <w:color w:val="auto"/>
              </w:rPr>
            </w:pPr>
          </w:p>
        </w:tc>
        <w:tc>
          <w:tcPr>
            <w:tcW w:w="9820" w:type="dxa"/>
            <w:vAlign w:val="bottom"/>
          </w:tcPr>
          <w:p>
            <w:pPr>
              <w:jc w:val="center"/>
              <w:ind w:right="1510"/>
              <w:spacing w:after="0"/>
              <w:rPr>
                <w:sz w:val="20"/>
                <w:szCs w:val="20"/>
                <w:color w:val="auto"/>
              </w:rPr>
            </w:pPr>
            <w:r>
              <w:rPr>
                <w:rFonts w:ascii="Arial" w:cs="Arial" w:eastAsia="Arial" w:hAnsi="Arial"/>
                <w:sz w:val="18"/>
                <w:szCs w:val="18"/>
                <w:b w:val="1"/>
                <w:bCs w:val="1"/>
                <w:color w:val="auto"/>
              </w:rPr>
              <w:t>DEFINED TERMS</w:t>
            </w:r>
          </w:p>
        </w:tc>
      </w:tr>
      <w:tr>
        <w:trPr>
          <w:trHeight w:val="432"/>
        </w:trPr>
        <w:tc>
          <w:tcPr>
            <w:tcW w:w="1600" w:type="dxa"/>
            <w:vAlign w:val="bottom"/>
          </w:tcPr>
          <w:p>
            <w:pPr>
              <w:ind w:left="900"/>
              <w:spacing w:after="0"/>
              <w:rPr>
                <w:sz w:val="20"/>
                <w:szCs w:val="20"/>
                <w:color w:val="auto"/>
              </w:rPr>
            </w:pPr>
            <w:r>
              <w:rPr>
                <w:rFonts w:ascii="Arial" w:cs="Arial" w:eastAsia="Arial" w:hAnsi="Arial"/>
                <w:sz w:val="18"/>
                <w:szCs w:val="18"/>
                <w:color w:val="auto"/>
              </w:rPr>
              <w:t>2.1</w:t>
            </w:r>
          </w:p>
        </w:tc>
        <w:tc>
          <w:tcPr>
            <w:tcW w:w="9820" w:type="dxa"/>
            <w:vAlign w:val="bottom"/>
          </w:tcPr>
          <w:p>
            <w:pPr>
              <w:ind w:left="400"/>
              <w:spacing w:after="0"/>
              <w:rPr>
                <w:sz w:val="20"/>
                <w:szCs w:val="20"/>
                <w:color w:val="auto"/>
              </w:rPr>
            </w:pPr>
            <w:r>
              <w:rPr>
                <w:rFonts w:ascii="Arial" w:cs="Arial" w:eastAsia="Arial" w:hAnsi="Arial"/>
                <w:sz w:val="18"/>
                <w:szCs w:val="18"/>
                <w:color w:val="auto"/>
                <w:w w:val="97"/>
              </w:rPr>
              <w:t>Definitions. All capitalized terms used but not defined herein shall have the meanings given to such terms in the Purchase</w:t>
            </w:r>
          </w:p>
        </w:tc>
      </w:tr>
    </w:tbl>
    <w:p>
      <w:pPr>
        <w:spacing w:after="0"/>
        <w:rPr>
          <w:sz w:val="20"/>
          <w:szCs w:val="20"/>
          <w:color w:val="auto"/>
        </w:rPr>
      </w:pPr>
      <w:r>
        <w:rPr>
          <w:rFonts w:ascii="Arial" w:cs="Arial" w:eastAsia="Arial" w:hAnsi="Arial"/>
          <w:sz w:val="18"/>
          <w:szCs w:val="18"/>
          <w:color w:val="auto"/>
        </w:rPr>
        <w:t>Agreement. For purposes of this Agreement, the following terms will have the following meanings:</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“Business” means the business of acquiring and licensing consumer brands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68" w:name="page169"/>
    <w:bookmarkEnd w:id="168"/>
    <w:p>
      <w:pPr>
        <w:jc w:val="both"/>
        <w:ind w:firstLine="713"/>
        <w:spacing w:after="0" w:line="285" w:lineRule="auto"/>
        <w:rPr>
          <w:sz w:val="20"/>
          <w:szCs w:val="20"/>
          <w:color w:val="auto"/>
        </w:rPr>
      </w:pPr>
      <w:r>
        <w:rPr>
          <w:rFonts w:ascii="Arial" w:cs="Arial" w:eastAsia="Arial" w:hAnsi="Arial"/>
          <w:sz w:val="16"/>
          <w:szCs w:val="16"/>
          <w:color w:val="auto"/>
        </w:rPr>
        <w:t>“Cause” means with respect to the Executive, the occurrence of one or more of the following: (i) conviction of, or entry of a plea of guilty or nolo contendere to, a felony involving moral turpitude, misappropriation of Company property, embezzlement of Company funds, violation of the securities laws or material dishonesty with respect to the Company; (ii) persistent and repeated refusal to comply with no less than three written lawful directives of the Chairman and CEO or Board with respect to an item that the Chairman and CEO or Board deems material to the business prospects and/or operations of the Company, other than such directives requiring the Executive in her reasonable judgment after consultation with counsel, to act in a manner inconsistent with her fiduciary obligations or those inconsistent with the Executive’s position as SVP Strategic Planning; (iii) reporting to work under the influence of alcohol or illegal drugs, or the use of illegal drugs (whether or not at the workplace), or (iv) any willful breach of Section 1.6 , 1.7 , 1.8 or 1.9 of this Agreement. Notwithstanding the foregoing, termination by the Company for Cause (other than pursuant to clause (i) above) shall not be effective until and unless (i) Executive fails to cure such alleged act or circumstance within 30 days of receipt of notice thereof, to the satisfaction of the Board in the exercise of its reasonable judgment (or, if within such 30-day period the Executive commences and proceeds to take all reasonable actions to effect such cure, within such reasonable additional time period (no longer than 60 days) as may be necessary), and (ii) notice of intention to terminate for Cause has been given by the Company within forty-five (45) days after the Board learns of the act, failure or event constituting “Cause,” and (iii) the Board has voted (at a meeting of the Board duly called and held as to which termination of Executive is an agenda item) by a vote of at least a two-thirds of the members of the Board (other than Executive) to terminate Executive for Cause after Executive has been given notice of the particular acts or circumstances which are the basis for the termination for Cause and has been afforded an opportunity to appear with counsel and present her positions at such meeting and to present her case thereat, and (iv) the Board has given notice of termination to Executive within five (5) days after such meeting voting in favor of termination.</w:t>
      </w:r>
    </w:p>
    <w:p>
      <w:pPr>
        <w:spacing w:after="0" w:line="178" w:lineRule="exact"/>
        <w:rPr>
          <w:sz w:val="20"/>
          <w:szCs w:val="20"/>
          <w:color w:val="auto"/>
        </w:rPr>
      </w:pPr>
    </w:p>
    <w:p>
      <w:pPr>
        <w:jc w:val="both"/>
        <w:ind w:firstLine="760"/>
        <w:spacing w:after="0" w:line="259" w:lineRule="auto"/>
        <w:rPr>
          <w:sz w:val="20"/>
          <w:szCs w:val="20"/>
          <w:color w:val="auto"/>
        </w:rPr>
      </w:pPr>
      <w:r>
        <w:rPr>
          <w:rFonts w:ascii="Arial" w:cs="Arial" w:eastAsia="Arial" w:hAnsi="Arial"/>
          <w:sz w:val="18"/>
          <w:szCs w:val="18"/>
          <w:color w:val="auto"/>
        </w:rPr>
        <w:t>”Change of Control” means the occurrence of any of the following (i) a merger or consolidation to which the Company is a party (other than one in which the stockholders of the Company prior to the event own a majority of the voting power of the surviving or resulting corporation) (ii) a sale, lease, transfer, exclusive license or other disposition of all or substantially all of the assets of the Company, or (iii) a sale or transfer by the Company’s stockholders of voting control, in a single transaction or a series of transactions.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”Code” means the Internal Revenue Code of 1986 and the Treasury regulations thereunder, each as amended from time to time.</w:t>
      </w:r>
    </w:p>
    <w:p>
      <w:pPr>
        <w:spacing w:after="0" w:line="225"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“Disability” shall have the meaning set forth in a policy or policies of long term disability insurance, if any, the Company obtains for the benefit of itself and/or its employees. If there is no definition of “disability” applicable under any such policy or policies, if any, then the Executive shall be considered disabled due to mental or physical impairment or disability despite reasonable accommodations by the Company and its Subsidiaries, to perform his customary or other comparable duties with the Company or its Subsidiaries immediately prior to such disability for a period of at least 120 consecutive days or for at least 180 non-consecutive days in any 12 month period.</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“Effective Date” means the Closing Date (as defined in the Purchase Agreement).</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“Fiscal Year” means the fiscal year of the Company and its Subsidiaries.</w:t>
      </w:r>
    </w:p>
    <w:p>
      <w:pPr>
        <w:spacing w:after="0" w:line="225" w:lineRule="exact"/>
        <w:rPr>
          <w:sz w:val="20"/>
          <w:szCs w:val="20"/>
          <w:color w:val="auto"/>
        </w:rPr>
      </w:pPr>
    </w:p>
    <w:p>
      <w:pPr>
        <w:jc w:val="both"/>
        <w:ind w:firstLine="713"/>
        <w:spacing w:after="0" w:line="285" w:lineRule="auto"/>
        <w:rPr>
          <w:sz w:val="20"/>
          <w:szCs w:val="20"/>
          <w:color w:val="auto"/>
        </w:rPr>
      </w:pPr>
      <w:r>
        <w:rPr>
          <w:rFonts w:ascii="Arial" w:cs="Arial" w:eastAsia="Arial" w:hAnsi="Arial"/>
          <w:sz w:val="16"/>
          <w:szCs w:val="16"/>
          <w:color w:val="auto"/>
        </w:rPr>
        <w:t>“Good Reason” means the occurrence, without the Executive’s written consent, of one or more of the following events: (i) the Company reduces the amount of Executive’s Base Salary, (ii) the Company requires that the Executive relocate her principal place of employment to a site that is more than 15 miles from the Company’s offices in the New York area, or if the Company changes the location of its headquarters with the consent of Executive to a location that is more than 15 miles from such location, (iii) the Company materially reduces the Executive’s responsibilities or removes the Executive from the position of President – Isaac Mizrahi Brand other than pursuant to a termination of her employment for Cause, or upon the Executive’s death or Disability,</w:t>
      </w:r>
    </w:p>
    <w:p>
      <w:pPr>
        <w:spacing w:after="0" w:line="2" w:lineRule="exact"/>
        <w:rPr>
          <w:sz w:val="20"/>
          <w:szCs w:val="20"/>
          <w:color w:val="auto"/>
        </w:rPr>
      </w:pPr>
    </w:p>
    <w:p>
      <w:pPr>
        <w:jc w:val="both"/>
        <w:ind w:firstLine="8"/>
        <w:spacing w:after="0" w:line="281" w:lineRule="auto"/>
        <w:tabs>
          <w:tab w:leader="none" w:pos="324"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failure or unreasonable delay of the Company to provide the Executive any of the payments contemplated hereby, or (v) the Company otherwise materially breaches the terms of this Agreement; provided that no such event shall constitute Good Reason hereunder unless (a) the Executive shall have given written notice to the Company of the Executive’s intent to resign for Good Reason within 30 days after the Executive becomes aware of the occurrence of any such event, which notice shall describe in reasonable detail the event or events constitution the basis for the Executive’s intention to resign for Good Reason and (b) such event or occurrence, if a breach susceptible to cure, shall not have been cured or otherwise shall not have been resolved to the Executive’s reasonable satisfaction, in each case within 30 days of the Company’s receipt of such notice; provided , however , except in the case of a failure to make a timely payment that is caused by a third party payroll service provider, in which case the Company shall have ten (10) Business Days to cure, as to any breach by the Company of its obligation to make any payment to Executive when due, the Executive shall have no notice obligation and the Company</w:t>
      </w:r>
    </w:p>
    <w:p>
      <w:pPr>
        <w:spacing w:after="0" w:line="5"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shall have no right to cure. In such case the Executive’s resignation shall become effective on the 31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after the Company’s receipt of the aforementioned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69" w:name="page170"/>
    <w:bookmarkEnd w:id="169"/>
    <w:p>
      <w:pPr>
        <w:jc w:val="both"/>
        <w:ind w:firstLine="713"/>
        <w:spacing w:after="0" w:line="264" w:lineRule="auto"/>
        <w:rPr>
          <w:sz w:val="20"/>
          <w:szCs w:val="20"/>
          <w:color w:val="auto"/>
        </w:rPr>
      </w:pPr>
      <w:r>
        <w:rPr>
          <w:rFonts w:ascii="Arial" w:cs="Arial" w:eastAsia="Arial" w:hAnsi="Arial"/>
          <w:sz w:val="18"/>
          <w:szCs w:val="18"/>
          <w:color w:val="auto"/>
        </w:rPr>
        <w:t>“Non-compete Period” means the Employment Period and 12 months thereafter; provided that, in the event, but only in the event, the Executive’s employment hereunder is terminated by the Company without Cause or by the Executive with Good Reason, “Non-Compete Period” shall mean the Employment Period.</w:t>
      </w:r>
    </w:p>
    <w:p>
      <w:pPr>
        <w:spacing w:after="0" w:line="1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“Nonsolicitation Period” means the Employment Period and 12 months thereafter.</w:t>
      </w:r>
    </w:p>
    <w:p>
      <w:pPr>
        <w:spacing w:after="0" w:line="225"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“Person” means an individual, a partnership, a corporation, a limited liability company, an association, a joint stock company, a trust, a joint venture, an unincorporated organization, or the United States of America any other nation, any state or other political subdivision thereof, or any entity exercising executive, legislative, judicial, regulatory or administrative functions of government.</w:t>
      </w:r>
    </w:p>
    <w:p>
      <w:pPr>
        <w:spacing w:after="0" w:line="181" w:lineRule="exact"/>
        <w:rPr>
          <w:sz w:val="20"/>
          <w:szCs w:val="20"/>
          <w:color w:val="auto"/>
        </w:rPr>
      </w:pPr>
    </w:p>
    <w:p>
      <w:pPr>
        <w:jc w:val="both"/>
        <w:ind w:right="20" w:firstLine="713"/>
        <w:spacing w:after="0" w:line="277" w:lineRule="auto"/>
        <w:rPr>
          <w:sz w:val="20"/>
          <w:szCs w:val="20"/>
          <w:color w:val="auto"/>
        </w:rPr>
      </w:pPr>
      <w:r>
        <w:rPr>
          <w:rFonts w:ascii="Arial" w:cs="Arial" w:eastAsia="Arial" w:hAnsi="Arial"/>
          <w:sz w:val="18"/>
          <w:szCs w:val="18"/>
          <w:color w:val="auto"/>
        </w:rPr>
        <w:t>“Purchase Agreement” means the Asset Purchase Agreement, dated May 19, 2011, by and among the Company, IM Ready-Made, LLC and certain other parties thereto.</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“Restricted Territories” means the United States and the rest of the world.</w:t>
      </w:r>
    </w:p>
    <w:p>
      <w:pPr>
        <w:spacing w:after="0" w:line="225" w:lineRule="exact"/>
        <w:rPr>
          <w:sz w:val="20"/>
          <w:szCs w:val="20"/>
          <w:color w:val="auto"/>
        </w:rPr>
      </w:pPr>
    </w:p>
    <w:p>
      <w:pPr>
        <w:jc w:val="both"/>
        <w:ind w:firstLine="713"/>
        <w:spacing w:after="0" w:line="288" w:lineRule="auto"/>
        <w:rPr>
          <w:sz w:val="20"/>
          <w:szCs w:val="20"/>
          <w:color w:val="auto"/>
        </w:rPr>
      </w:pPr>
      <w:r>
        <w:rPr>
          <w:rFonts w:ascii="Arial" w:cs="Arial" w:eastAsia="Arial" w:hAnsi="Arial"/>
          <w:sz w:val="16"/>
          <w:szCs w:val="16"/>
          <w:color w:val="auto"/>
        </w:rPr>
        <w:t>“Subsidiary”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any Person shall be given effect only at such times that such Person has one or more Subsidiaries, and, unless otherwise indicated, the term “Subsidiary” refers to a Subsidiary of the Company.</w:t>
      </w:r>
    </w:p>
    <w:p>
      <w:pPr>
        <w:spacing w:after="0" w:line="16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“Termination Date” means the effective date of the Executive’s termination of employment with the Company.</w:t>
      </w:r>
    </w:p>
    <w:p>
      <w:pPr>
        <w:spacing w:after="0" w:line="225" w:lineRule="exact"/>
        <w:rPr>
          <w:sz w:val="20"/>
          <w:szCs w:val="20"/>
          <w:color w:val="auto"/>
        </w:rPr>
      </w:pPr>
    </w:p>
    <w:p>
      <w:pPr>
        <w:ind w:left="90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Other Definitional Provisions.</w:t>
      </w:r>
    </w:p>
    <w:p>
      <w:pPr>
        <w:spacing w:after="0" w:line="225" w:lineRule="exact"/>
        <w:rPr>
          <w:sz w:val="20"/>
          <w:szCs w:val="20"/>
          <w:color w:val="auto"/>
        </w:rPr>
      </w:pPr>
    </w:p>
    <w:p>
      <w:pPr>
        <w:jc w:val="both"/>
        <w:ind w:firstLine="899"/>
        <w:spacing w:after="0" w:line="264" w:lineRule="auto"/>
        <w:tabs>
          <w:tab w:leader="none" w:pos="164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Section references contained in this Agreement are references to sections in this Agreement, unless otherwise specified. Each defined term used in this Agreement has a comparable meaning when used in its plural or singular form. Each gender-specific term used in this Agreement has a comparable meaning whether used in a masculine, feminine or gender-neutral form.</w:t>
      </w:r>
    </w:p>
    <w:p>
      <w:pPr>
        <w:spacing w:after="0" w:line="181" w:lineRule="exact"/>
        <w:rPr>
          <w:rFonts w:ascii="Arial" w:cs="Arial" w:eastAsia="Arial" w:hAnsi="Arial"/>
          <w:sz w:val="18"/>
          <w:szCs w:val="18"/>
          <w:color w:val="auto"/>
        </w:rPr>
      </w:pPr>
    </w:p>
    <w:p>
      <w:pPr>
        <w:jc w:val="both"/>
        <w:ind w:firstLine="899"/>
        <w:spacing w:after="0" w:line="264" w:lineRule="auto"/>
        <w:tabs>
          <w:tab w:leader="none" w:pos="160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Whenever the term “including” (whether or not that term is followed by the phrase “but not limited to” or “without limitation” or words of similar effect) is used in this Agreement in connection with a listing of items within a particular classification, that listing will be interpreted to be illustrative only and will not be interpreted as a limitation on, or an exclusive listing of, the items within that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TERMS</w:t>
      </w:r>
    </w:p>
    <w:p>
      <w:pPr>
        <w:spacing w:after="0" w:line="211" w:lineRule="exact"/>
        <w:rPr>
          <w:sz w:val="20"/>
          <w:szCs w:val="20"/>
          <w:color w:val="auto"/>
        </w:rPr>
      </w:pPr>
    </w:p>
    <w:p>
      <w:pPr>
        <w:jc w:val="both"/>
        <w:ind w:firstLine="891"/>
        <w:spacing w:after="0" w:line="253" w:lineRule="auto"/>
        <w:rPr>
          <w:sz w:val="20"/>
          <w:szCs w:val="20"/>
          <w:color w:val="auto"/>
        </w:rPr>
      </w:pPr>
      <w:r>
        <w:rPr>
          <w:rFonts w:ascii="Arial" w:cs="Arial" w:eastAsia="Arial" w:hAnsi="Arial"/>
          <w:sz w:val="18"/>
          <w:szCs w:val="18"/>
          <w:color w:val="auto"/>
        </w:rPr>
        <w:t>3.1 Defense of Claims. The Executive agrees that, during the Employment Period, and for a period of six months after termination of the Executive’s employment, upon request by the Company, the Executive shall reasonably cooperate with the Company in connection with any matters the Executive worked on during her employment with the Company and any related transitional matters. In addition, during the Employment Period and thereafter, the Executive agrees to reasonably cooperate with the Company in the defense of any claims or actions that may be made by or against the Company that affect the Executive’s prior areas of responsibility or involve matters about which the Executive has knowledge, except if the Executive’s reasonable interests are adverse to the Company in such claim or action and provided that after the Employment Period such level of cooperation shall be reasonable and shall take due account of the Executive’s work and personal commitments. The Company agrees to promptly reimburse the Executive for all of the Executive’s reasonable travel and other direct expenses incurred, or to be reasonably incurred, to comply with the Executive’s obligations under this Section 3.1 .</w:t>
      </w:r>
    </w:p>
    <w:p>
      <w:pPr>
        <w:spacing w:after="0" w:line="197" w:lineRule="exact"/>
        <w:rPr>
          <w:sz w:val="20"/>
          <w:szCs w:val="20"/>
          <w:color w:val="auto"/>
        </w:rPr>
      </w:pPr>
    </w:p>
    <w:p>
      <w:pPr>
        <w:jc w:val="both"/>
        <w:ind w:firstLine="891"/>
        <w:spacing w:after="0" w:line="253" w:lineRule="auto"/>
        <w:rPr>
          <w:sz w:val="20"/>
          <w:szCs w:val="20"/>
          <w:color w:val="auto"/>
        </w:rPr>
      </w:pPr>
      <w:r>
        <w:rPr>
          <w:rFonts w:ascii="Arial" w:cs="Arial" w:eastAsia="Arial" w:hAnsi="Arial"/>
          <w:sz w:val="18"/>
          <w:szCs w:val="18"/>
          <w:color w:val="auto"/>
        </w:rPr>
        <w:t>3.2 Nondisparagement. The Executive agrees to refrain from making any false or disparaging statements, in public or private, which is reasonably likely to materially impair the reputation, goodwill or commercial interest of the Company. The Company agrees to refrain from making any false or disparaging statements, in public or private, which is reasonably likely to materially impair the reputation, goodwill or commercial interest of the Executive. Notwithstanding anything to the contrary contained herein, nothing in this Agreement shall prohibit or restrict either party from, truthfully and in good faith: (i) making any disclosure of information required by law; (ii) providing information to, or testifying or otherwise assisting in any investigation or proceeding brought by, any federal regulatory or law enforcement agency or legislative body, any self-regulatory organization, or the Company’s or the Executive’s designated legal, compliance or human resources officers; or (iii) filing, testifying, participating in or otherwise assisting in a proceeding relating to an alleged violation of any federal, state or municipal law relating to fraud, or any rule or regulation of the Securities and Exchange Commission or any self-regulatory organization.</w:t>
      </w:r>
    </w:p>
    <w:p>
      <w:pPr>
        <w:spacing w:after="0" w:line="197" w:lineRule="exact"/>
        <w:rPr>
          <w:sz w:val="20"/>
          <w:szCs w:val="20"/>
          <w:color w:val="auto"/>
        </w:rPr>
      </w:pPr>
    </w:p>
    <w:p>
      <w:pPr>
        <w:jc w:val="both"/>
        <w:ind w:firstLine="891"/>
        <w:spacing w:after="0" w:line="297" w:lineRule="auto"/>
        <w:rPr>
          <w:sz w:val="20"/>
          <w:szCs w:val="20"/>
          <w:color w:val="auto"/>
        </w:rPr>
      </w:pPr>
      <w:r>
        <w:rPr>
          <w:rFonts w:ascii="Arial" w:cs="Arial" w:eastAsia="Arial" w:hAnsi="Arial"/>
          <w:sz w:val="16"/>
          <w:szCs w:val="16"/>
          <w:color w:val="auto"/>
        </w:rPr>
        <w:t>3.3 Source of Payments. All payments provided under this Agreement, other than payments made pursuant to a plan which provides otherwise and except as otherwise provided herein, shall be paid in cash from the general funds of the Company, and no special or separate fund shall be established, and no other segregation of assets shall be made, to assure payment. The Executive shall have no right, title or interest whatsoever in or to any investments which the Company or its Subsidiaries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158" w:lineRule="exact"/>
        <w:rPr>
          <w:sz w:val="20"/>
          <w:szCs w:val="20"/>
          <w:color w:val="auto"/>
        </w:rPr>
      </w:pPr>
    </w:p>
    <w:p>
      <w:pPr>
        <w:jc w:val="both"/>
        <w:ind w:firstLine="891"/>
        <w:spacing w:after="0" w:line="264" w:lineRule="auto"/>
        <w:rPr>
          <w:sz w:val="20"/>
          <w:szCs w:val="20"/>
          <w:color w:val="auto"/>
        </w:rPr>
      </w:pPr>
      <w:r>
        <w:rPr>
          <w:rFonts w:ascii="Arial" w:cs="Arial" w:eastAsia="Arial" w:hAnsi="Arial"/>
          <w:sz w:val="18"/>
          <w:szCs w:val="18"/>
          <w:color w:val="auto"/>
        </w:rPr>
        <w:t>3.4 Notices. Any notice provided for in this Agreement must be in writing and must be either personally delivered, mailed by first class mail (postage prepaid and return receipt requested), sent by reputable overnight courier service (charges prepaid) or sent by facsimile (with receipt confirmed) to the recipient at the address or facsimile number indicated below:</w:t>
      </w:r>
    </w:p>
    <w:p>
      <w:pPr>
        <w:spacing w:after="0" w:line="397"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 the Company:</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XCel Brands, Inc.</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New York 10018</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Blank Rome</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Chrysler Building</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405 Lexington Avenue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10174-0208</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Attn: Robert Mittman, Esquire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(212) 885-5557</w:t>
      </w:r>
    </w:p>
    <w:p>
      <w:pPr>
        <w:spacing w:after="0" w:line="21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To the Executive:</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Marisa Gardini</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c/o XCel Brands, Inc.</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475 Tenth Avenue, 4th Floor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New York 10018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1" w:name="page172"/>
    <w:bookmarkEnd w:id="171"/>
    <w:p>
      <w:pPr>
        <w:ind w:left="18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Robinson &amp; Cole LLP</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885 Third Avenue, 28th Floor</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Attention: Eric J. Dale, Esq.</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Facsimile: 212-451-2999</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or such other address or to the attention of such other Person as the recipient Party will have specified by prior written notice to the sending Party. Any notice under this Agreement will be deemed to have been given when so delivered or sent or, if mailed, five days after deposit in the U.S. mail.</w:t>
      </w:r>
    </w:p>
    <w:p>
      <w:pPr>
        <w:spacing w:after="0" w:line="147" w:lineRule="exact"/>
        <w:rPr>
          <w:sz w:val="20"/>
          <w:szCs w:val="20"/>
          <w:color w:val="auto"/>
        </w:rPr>
      </w:pPr>
    </w:p>
    <w:p>
      <w:pPr>
        <w:jc w:val="both"/>
        <w:ind w:firstLine="713"/>
        <w:spacing w:after="0" w:line="257" w:lineRule="auto"/>
        <w:rPr>
          <w:sz w:val="20"/>
          <w:szCs w:val="20"/>
          <w:color w:val="auto"/>
        </w:rPr>
      </w:pPr>
      <w:r>
        <w:rPr>
          <w:rFonts w:ascii="Arial" w:cs="Arial" w:eastAsia="Arial" w:hAnsi="Arial"/>
          <w:sz w:val="18"/>
          <w:szCs w:val="18"/>
          <w:color w:val="auto"/>
        </w:rPr>
        <w:t>3.5 Severability. Subject to the express provisions of Section 1.10 relating to certain specified changes,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 had never been contained herein.</w:t>
      </w:r>
    </w:p>
    <w:p>
      <w:pPr>
        <w:spacing w:after="0" w:line="188"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3.6 Complete Agreement. This Agreement embodies the complete agreement and understanding among the Parties with regard to the subject matter hereof and supersedes and preempts any prior understandings, agreements or representations by or among the Parties, written or oral, which may have related to the subject matter hereof in any way. To the extent that this Agreement provides greater benefits to the Executive than available under the Company’s employee handbook or other corporate policies, then this Agreement shall prevail.</w:t>
      </w:r>
    </w:p>
    <w:p>
      <w:pPr>
        <w:spacing w:after="0" w:line="18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3.7 Counterparts. This Agreement may be executed in separate counterparts, each of which is deemed to be an original and all of which taken together constitute one and the same agreement.</w:t>
      </w:r>
    </w:p>
    <w:p>
      <w:pPr>
        <w:spacing w:after="0" w:line="170" w:lineRule="exact"/>
        <w:rPr>
          <w:sz w:val="20"/>
          <w:szCs w:val="20"/>
          <w:color w:val="auto"/>
        </w:rPr>
      </w:pPr>
    </w:p>
    <w:p>
      <w:pPr>
        <w:jc w:val="both"/>
        <w:ind w:firstLine="713"/>
        <w:spacing w:after="0" w:line="291" w:lineRule="auto"/>
        <w:rPr>
          <w:sz w:val="20"/>
          <w:szCs w:val="20"/>
          <w:color w:val="auto"/>
        </w:rPr>
      </w:pPr>
      <w:r>
        <w:rPr>
          <w:rFonts w:ascii="Arial" w:cs="Arial" w:eastAsia="Arial" w:hAnsi="Arial"/>
          <w:sz w:val="16"/>
          <w:szCs w:val="16"/>
          <w:color w:val="auto"/>
        </w:rPr>
        <w:t>3.8 Assignment. Without the Executive’s consent, the Company may not assign its rights and obligations under this Agreement except (i) to a “Successor” (as defined below) or (ii) to an entity that is formed and controlled by the Company or any of its Subsidiaries, provided that in the case of (ii) the Company shall remain liable for all of its obligations hereunder. This Agreement is personal to the Executive, and the Executive shall not have the right to assign the Executive’s interest in this Agreement, any rights under this Agreement or any duties imposed under this Agreement, nor shall the Executive have the right to pledge, hypothecate, transfer, assign or otherwise encumber the Executive’s right to receive any form of compensation hereunder without the prior written consent of the Board. As used in this Section 3.8 , “Successor” shall include any Person that at any time, whether by purchase, merger or otherwise, directly or indirectly acquires all or substantially all of the assets of, or ownership interests in, the Company and its Subsidiaries.</w:t>
      </w:r>
    </w:p>
    <w:p>
      <w:pPr>
        <w:spacing w:after="0" w:line="167"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3.9 Successors and Assigns. This Agreement is intended to bind and inure to the benefit of and be enforceable by the Company, the Executive, and their respective heirs, successors and permitted assigns.</w:t>
      </w:r>
    </w:p>
    <w:p>
      <w:pPr>
        <w:spacing w:after="0" w:line="170" w:lineRule="exact"/>
        <w:rPr>
          <w:sz w:val="20"/>
          <w:szCs w:val="20"/>
          <w:color w:val="auto"/>
        </w:rPr>
      </w:pPr>
    </w:p>
    <w:p>
      <w:pPr>
        <w:jc w:val="both"/>
        <w:ind w:firstLine="713"/>
        <w:spacing w:after="0" w:line="302" w:lineRule="auto"/>
        <w:rPr>
          <w:sz w:val="20"/>
          <w:szCs w:val="20"/>
          <w:color w:val="auto"/>
        </w:rPr>
      </w:pPr>
      <w:r>
        <w:rPr>
          <w:rFonts w:ascii="Arial" w:cs="Arial" w:eastAsia="Arial" w:hAnsi="Arial"/>
          <w:sz w:val="16"/>
          <w:szCs w:val="16"/>
          <w:color w:val="auto"/>
        </w:rPr>
        <w:t>3.10 Choice of Law. This Agreement and the performance of the parties hereunder shall be governed by the internal laws (and not the law of conflicts) of the State of New York. Any claim or controversy arising out of or in connection with this Agreement, or the breach thereof, shall be adjudicated exclusively by the Supreme Court, New York County, State of New York, or by a federal court sitting in Manhattan in New York City, State of New York. The parties hereto agree to the personal jurisdiction of such courts and agree to accept process by regular mail in connection with any such dispute.</w:t>
      </w:r>
    </w:p>
    <w:p>
      <w:pPr>
        <w:spacing w:after="0" w:line="154"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3.11 Waiver of Jury Trial. AS A SPECIFICALLY BARGAINED FOR INDUCEMENT FOR EACH OF THE PARTIES HERETO TO ENTER INTO THIS AGREEMENT (AFTER HAVING THE OPPORTUNITY TO CONSULT WITH COUNSEL), EACH PARTY HERETO EXPRESSLY WAIVES THE RIGHT TO TRIAL BY JURY IN ANY LAWSUIT OR PROCEEDING RELATING TO OR ARISING IN ANY WAY FROM THIS AGREEMENT OR THE MATTERS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2" w:name="page173"/>
    <w:bookmarkEnd w:id="172"/>
    <w:p>
      <w:pPr>
        <w:jc w:val="both"/>
        <w:ind w:firstLine="713"/>
        <w:spacing w:after="0" w:line="273" w:lineRule="auto"/>
        <w:rPr>
          <w:sz w:val="20"/>
          <w:szCs w:val="20"/>
          <w:color w:val="auto"/>
        </w:rPr>
      </w:pPr>
      <w:r>
        <w:rPr>
          <w:rFonts w:ascii="Arial" w:cs="Arial" w:eastAsia="Arial" w:hAnsi="Arial"/>
          <w:sz w:val="17"/>
          <w:szCs w:val="17"/>
          <w:color w:val="auto"/>
        </w:rPr>
        <w:t>3.12 Legal Fees and Court Costs. In the event that any action, suit or other proceeding in law or in equity is brought to enforce the provisions of this Agreement, and such action results in the award of a judgment for money damages or in the granting of any injunction in favor of the Company, all expenses (including reasonable attorneys’ fees) of the Company in such action, suit or other proceeding shall be paid by the Executive. In the event that any action, suit or other proceeding in law or in equity is brought to enforce the provisions of this Agreement, and such action results in the award of a judgment for money damages or in the granting of any injunction in favor of the Executive, all expenses (including reasonable attorneys’ fees and travel expenses) of the Executive in such action, suit or other proceeding shall be paid by the Company.</w:t>
      </w:r>
    </w:p>
    <w:p>
      <w:pPr>
        <w:spacing w:after="0" w:line="178" w:lineRule="exact"/>
        <w:rPr>
          <w:sz w:val="20"/>
          <w:szCs w:val="20"/>
          <w:color w:val="auto"/>
        </w:rPr>
      </w:pPr>
    </w:p>
    <w:p>
      <w:pPr>
        <w:jc w:val="both"/>
        <w:ind w:firstLine="713"/>
        <w:spacing w:after="0" w:line="259" w:lineRule="auto"/>
        <w:rPr>
          <w:sz w:val="20"/>
          <w:szCs w:val="20"/>
          <w:color w:val="auto"/>
        </w:rPr>
      </w:pPr>
      <w:r>
        <w:rPr>
          <w:rFonts w:ascii="Arial" w:cs="Arial" w:eastAsia="Arial" w:hAnsi="Arial"/>
          <w:sz w:val="18"/>
          <w:szCs w:val="18"/>
          <w:color w:val="auto"/>
        </w:rPr>
        <w:t>3.13 Remedies. Subject to the provisions of Section 3.1, each Party will be entitled to enforce its rights under this Agreement specifically, to recover damages and costs caused by any breach of any provision of this Agreement and to exercise all other rights existing in its favor. Nothing herein shall prohibit any arbitrator or judicial authority from awarding attorneys’ fees or costs to a prevailing Party in any arbitration or other proceeding to the extent that such arbitrator or authority may lawfully do so.</w:t>
      </w:r>
    </w:p>
    <w:p>
      <w:pPr>
        <w:spacing w:after="0" w:line="187"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3.14 Amendment and Waiver. The provisions of this Agreement may be amended or waived only with the prior written consent of the Company and the Executive, and no course of conduct or failure or delay in enforcing the provisions of this Agreement will affect the validity, binding effect or enforceability of this Agreement.</w:t>
      </w:r>
    </w:p>
    <w:p>
      <w:pPr>
        <w:spacing w:after="0" w:line="181"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3.15 Third Party Beneficiaries. This Agreement will not confer any rights or remedies upon any Person other than the Parties and their respective successors and permitted assigns and other than, in the event of the Executive’s death, her estate, to which all of Executive’s rights and remedies set forth herein shall accrue.</w:t>
      </w:r>
    </w:p>
    <w:p>
      <w:pPr>
        <w:spacing w:after="0" w:line="181" w:lineRule="exact"/>
        <w:rPr>
          <w:sz w:val="20"/>
          <w:szCs w:val="20"/>
          <w:color w:val="auto"/>
        </w:rPr>
      </w:pPr>
    </w:p>
    <w:p>
      <w:pPr>
        <w:jc w:val="both"/>
        <w:ind w:firstLine="713"/>
        <w:spacing w:after="0" w:line="254" w:lineRule="auto"/>
        <w:rPr>
          <w:sz w:val="20"/>
          <w:szCs w:val="20"/>
          <w:color w:val="auto"/>
        </w:rPr>
      </w:pPr>
      <w:r>
        <w:rPr>
          <w:rFonts w:ascii="Arial" w:cs="Arial" w:eastAsia="Arial" w:hAnsi="Arial"/>
          <w:sz w:val="18"/>
          <w:szCs w:val="18"/>
          <w:color w:val="auto"/>
        </w:rPr>
        <w:t>3.16 The Executive’s Representations. The Executive hereby represents and warrants to the Company that (a) the execution, delivery and performance of this Agreement by the Executive do not and shall not conflict with, breach, violate or cause a default under any contract, agreement, instrument, order, judgment or decree to which the Executive is a party or by which she is bound, (b) the Executive is not a party to or bound by any employment agreement, noncompete agreement or confidentiality agreement with any other Person (or other agreement with any other person containing a restriction on the Executive’s right to do business or obligating her to do business with any other Person on a priority or preferential basis), (c) upon the execution and delivery of this Agreement by the Company, this Agreement shall be the valid and binding obligation of the Executive, enforceable in accordance with its terms and (d) upon the execution and delivery of this Agreement by the Company, Executive shall not be in violation of clause (i) set forth in the definition of Cause and shall not be disabled.</w:t>
      </w:r>
    </w:p>
    <w:p>
      <w:pPr>
        <w:spacing w:after="0" w:line="192" w:lineRule="exact"/>
        <w:rPr>
          <w:sz w:val="20"/>
          <w:szCs w:val="20"/>
          <w:color w:val="auto"/>
        </w:rPr>
      </w:pPr>
    </w:p>
    <w:p>
      <w:pPr>
        <w:jc w:val="both"/>
        <w:ind w:firstLine="713"/>
        <w:spacing w:after="0" w:line="255" w:lineRule="auto"/>
        <w:rPr>
          <w:sz w:val="20"/>
          <w:szCs w:val="20"/>
          <w:color w:val="auto"/>
        </w:rPr>
      </w:pPr>
      <w:r>
        <w:rPr>
          <w:rFonts w:ascii="Arial" w:cs="Arial" w:eastAsia="Arial" w:hAnsi="Arial"/>
          <w:sz w:val="18"/>
          <w:szCs w:val="18"/>
          <w:color w:val="auto"/>
        </w:rPr>
        <w:t>3.17 Amendment to Comply with Section 409A of the Code. To the extent that this Agreement or any part thereof is deemed to be a nonqualified deferred compensation plan subject to Section 409A of the Code and the Treasury Regulations (including proposed regulations) and guidance promulgated thereunder, (a) the provisions of this Agreement shall be interpreted in a manner to the maximum extent possible to comply in good faith with Code Section 409A and (b) the parties hereto agree to amend this Agreement for purposes of complying with Code Section 409A promptly upon issuance of any Treasury regulations or guidance thereunder, provided , that any such amendment shall not materially change the present value of the benefits payable to the Executive hereunder or otherwise materially adversely affect the Executive, the Company, or any affiliate of the Company, without the consent of such party.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IN WITNESS WHEREOF, the Parties have executed this Employment Agreement as of the date first written above.</w:t>
      </w:r>
    </w:p>
    <w:p>
      <w:pPr>
        <w:spacing w:after="0" w:line="22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W. D’Loren</w:t>
            </w:r>
          </w:p>
        </w:tc>
      </w:tr>
      <w:tr>
        <w:trPr>
          <w:trHeight w:val="195"/>
        </w:trPr>
        <w:tc>
          <w:tcPr>
            <w:tcW w:w="8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Robert W. D’Loren</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840" w:type="dxa"/>
            <w:vAlign w:val="bottom"/>
          </w:tcPr>
          <w:p>
            <w:pPr>
              <w:spacing w:after="0"/>
              <w:rPr>
                <w:sz w:val="20"/>
                <w:szCs w:val="20"/>
                <w:color w:val="auto"/>
              </w:rPr>
            </w:pPr>
            <w:r>
              <w:rPr>
                <w:rFonts w:ascii="Arial" w:cs="Arial" w:eastAsia="Arial" w:hAnsi="Arial"/>
                <w:sz w:val="18"/>
                <w:szCs w:val="18"/>
                <w:color w:val="auto"/>
              </w:rPr>
              <w:t>Chairman and CEO</w:t>
            </w:r>
          </w:p>
        </w:tc>
      </w:tr>
    </w:tbl>
    <w:p>
      <w:pPr>
        <w:spacing w:after="0" w:line="202"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Marisa Gardini</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Marisa Gardini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-130810</wp:posOffset>
            </wp:positionV>
            <wp:extent cx="361886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31" w:lineRule="exact"/>
        <w:rPr>
          <w:sz w:val="20"/>
          <w:szCs w:val="20"/>
          <w:color w:val="auto"/>
        </w:rPr>
      </w:pPr>
    </w:p>
    <w:p>
      <w:pPr>
        <w:ind w:left="3400"/>
        <w:spacing w:after="0"/>
        <w:rPr>
          <w:sz w:val="20"/>
          <w:szCs w:val="20"/>
          <w:color w:val="auto"/>
        </w:rPr>
      </w:pPr>
      <w:r>
        <w:rPr>
          <w:rFonts w:ascii="Arial" w:cs="Arial" w:eastAsia="Arial" w:hAnsi="Arial"/>
          <w:sz w:val="18"/>
          <w:szCs w:val="18"/>
          <w:i w:val="1"/>
          <w:iCs w:val="1"/>
          <w:color w:val="auto"/>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426720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960" w:top="882" w:right="239" w:bottom="1440" w:gutter="0" w:footer="0" w:header="0"/>
        </w:sectPr>
      </w:pPr>
    </w:p>
    <w:bookmarkStart w:id="174" w:name="page175"/>
    <w:bookmarkEnd w:id="174"/>
    <w:p>
      <w:pPr>
        <w:jc w:val="center"/>
        <w:ind w:left="72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FORM OF RELEASE</w:t>
      </w:r>
    </w:p>
    <w:p>
      <w:pPr>
        <w:spacing w:after="0" w:line="211" w:lineRule="exact"/>
        <w:rPr>
          <w:sz w:val="20"/>
          <w:szCs w:val="20"/>
          <w:color w:val="auto"/>
        </w:rPr>
      </w:pPr>
    </w:p>
    <w:p>
      <w:pPr>
        <w:jc w:val="both"/>
        <w:ind w:firstLine="713"/>
        <w:spacing w:after="0" w:line="297" w:lineRule="auto"/>
        <w:rPr>
          <w:sz w:val="20"/>
          <w:szCs w:val="20"/>
          <w:color w:val="auto"/>
        </w:rPr>
      </w:pPr>
      <w:r>
        <w:rPr>
          <w:rFonts w:ascii="Arial" w:cs="Arial" w:eastAsia="Arial" w:hAnsi="Arial"/>
          <w:sz w:val="16"/>
          <w:szCs w:val="16"/>
          <w:color w:val="auto"/>
        </w:rPr>
        <w:t>I, Marisa Gardini, on behalf of myself and my heirs, successors and assigns, in consideration of the performance by XCel Brands, Inc., a Delaware Corporation (together with its Subsidiaries, the “Company”), of its material obligations under the Employment Agreement, dated as of May 19, 2011 (the “Agreement”), do hereby release and forever discharge as of the date hereof the Company, its Affiliates, each such Person’s respective successors and assigns and each of the foregoing Persons’ respective present and former directors, officers, partners, stockholders, members, managers, agents, representatives, employees (and each such Person’s respective successors and assigns) (collectively, the “Released Parties”) to the extent provided below.</w:t>
      </w:r>
    </w:p>
    <w:p>
      <w:pPr>
        <w:spacing w:after="0" w:line="158" w:lineRule="exact"/>
        <w:rPr>
          <w:sz w:val="20"/>
          <w:szCs w:val="20"/>
          <w:color w:val="auto"/>
        </w:rPr>
      </w:pPr>
    </w:p>
    <w:p>
      <w:pPr>
        <w:jc w:val="both"/>
        <w:ind w:firstLine="721"/>
        <w:spacing w:after="0" w:line="276" w:lineRule="auto"/>
        <w:tabs>
          <w:tab w:leader="none" w:pos="135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 understand that any payments or benefits paid or granted to me under Section 1.4(b) of the Agreement represent, in part, consideration for signing this General Release and are not salary, wages or benefits to which I was already entitled. I understand and agree that I will not receive the payments and benefits specified in Section 1.4(b) of the Agreement unless I execute this General Release and do not revoke this General Release within the time period permitted hereafter or breach this General Release. This General Release shall be deemed rescinded in the event that the Company does not make such payments and make available such benefits in accordance with Section 1.4(b) of the Agreement.</w:t>
      </w:r>
    </w:p>
    <w:p>
      <w:pPr>
        <w:spacing w:after="0" w:line="172" w:lineRule="exact"/>
        <w:rPr>
          <w:rFonts w:ascii="Arial" w:cs="Arial" w:eastAsia="Arial" w:hAnsi="Arial"/>
          <w:sz w:val="17"/>
          <w:szCs w:val="17"/>
          <w:color w:val="auto"/>
        </w:rPr>
      </w:pPr>
    </w:p>
    <w:p>
      <w:pPr>
        <w:jc w:val="both"/>
        <w:ind w:firstLine="721"/>
        <w:spacing w:after="0" w:line="267" w:lineRule="auto"/>
        <w:tabs>
          <w:tab w:leader="none" w:pos="167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 knowingly and voluntarily release and forever discharge the Company and the other Released Parties from any and all claims, controversies, actions, causes of action, cross-claims, counter-claims, demands, debts, compensatory damages, liquidated damages, punitive or exemplary damages, other damages, claims for costs and attorneys’ fees, or liabilities whatsoever in law and in equity, both past and present (through the date of this General Release), whether under the laws of the United States or another jurisdiction and whether known or unknown, suspected or claimed against the Company or any of the Released Parties which I, my spouse, or any of my heirs, executors, administrators or assigns, have or may have, solely to the extent that such claims, controversies, actions, causes of action, cross-claims, counter-claims, demands, debts, compensatory damages, liquidated damages, punitive or exemplary damages, other damages, claims for costs and attorneys’ fees, or liabilities arise out of or are connected with my employment with, or my separation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Civil Rights Act of 1866, as amended; the Worker Adjustment Retraining and Notification Act; the Employee Retirement Income Security Act of 1974; any 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or defamation; or any claim for costs, fees, or other expenses, including attorneys’ fees incurred in these matters) (all of the foregoing collectively referred to herein as the “Claims”); provided , however , that nothing contained in this General Release shall apply to, or release the Company from, (i) any obligation of the Company contained in the Agreement to be performed after the date hereof and amounts claimed under the Agreement pursuant to a good faith and pending dispute as of the date hereof, (ii) any vested or accrued benefits pursuant to any employee benefit plan, program or policy of the Company, (iii) any rights to indemnification from the Company under the Company’s Certificate of Incorporation, Bylaws, any indemnification agreement and/or applicable law; and (iv) any right to insurance proceeds related to my position as an officer and/or director of the Company or any of its Affiliates; (v) any rights as a stockholder of the Company of any Affiliates of, or successor to, the Company; (vi) any rights under the Asset Purchase Agreement dated May 19, 2011, by and among the Company, IM Ready-Made, LLC and certain other parties thereto (as amended, the “Purchase Agreement”) and any Related Agreement (as defined in the Purchase Agreement).</w:t>
      </w:r>
    </w:p>
    <w:p>
      <w:pPr>
        <w:spacing w:after="0" w:line="184" w:lineRule="exact"/>
        <w:rPr>
          <w:rFonts w:ascii="Arial" w:cs="Arial" w:eastAsia="Arial" w:hAnsi="Arial"/>
          <w:sz w:val="17"/>
          <w:szCs w:val="17"/>
          <w:color w:val="auto"/>
        </w:rPr>
      </w:pPr>
    </w:p>
    <w:p>
      <w:pPr>
        <w:ind w:left="1380" w:hanging="659"/>
        <w:spacing w:after="0"/>
        <w:tabs>
          <w:tab w:leader="none" w:pos="13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 represent that I have made no assignment or transfer of any right, claim, demand, cause of action, or other matter covered by paragraph 2</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above.</w:t>
      </w:r>
    </w:p>
    <w:p>
      <w:pPr>
        <w:spacing w:after="0" w:line="210" w:lineRule="exact"/>
        <w:rPr>
          <w:rFonts w:ascii="Arial" w:cs="Arial" w:eastAsia="Arial" w:hAnsi="Arial"/>
          <w:sz w:val="16"/>
          <w:szCs w:val="16"/>
          <w:color w:val="auto"/>
        </w:rPr>
      </w:pPr>
    </w:p>
    <w:p>
      <w:pPr>
        <w:jc w:val="both"/>
        <w:ind w:firstLine="721"/>
        <w:spacing w:after="0" w:line="259" w:lineRule="auto"/>
        <w:tabs>
          <w:tab w:leader="none" w:pos="162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75" w:name="page176"/>
    <w:bookmarkEnd w:id="175"/>
    <w:p>
      <w:pPr>
        <w:jc w:val="both"/>
        <w:ind w:firstLine="721"/>
        <w:spacing w:after="0" w:line="288" w:lineRule="auto"/>
        <w:tabs>
          <w:tab w:leader="none" w:pos="163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the Company would not have agreed to the terms of the Agreement. I covenant that I shall not directly or indirectly, commence, maintain or prosecute or sue any of the Released Persons either affirmatively or by way of cross-complaint, indemnity claim, defense or counterclaim or in any other manner or at all on any Claim covered by this General Release.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I further agree that I am not aware of any pending charge or complaint of the type described in paragraph 2 as of the execution of this General Release.</w:t>
      </w:r>
    </w:p>
    <w:p>
      <w:pPr>
        <w:spacing w:after="0" w:line="169" w:lineRule="exact"/>
        <w:rPr>
          <w:rFonts w:ascii="Arial" w:cs="Arial" w:eastAsia="Arial" w:hAnsi="Arial"/>
          <w:sz w:val="16"/>
          <w:szCs w:val="16"/>
          <w:color w:val="auto"/>
        </w:rPr>
      </w:pPr>
    </w:p>
    <w:p>
      <w:pPr>
        <w:ind w:firstLine="721"/>
        <w:spacing w:after="0" w:line="277" w:lineRule="auto"/>
        <w:tabs>
          <w:tab w:leader="none" w:pos="140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70" w:lineRule="exact"/>
        <w:rPr>
          <w:rFonts w:ascii="Arial" w:cs="Arial" w:eastAsia="Arial" w:hAnsi="Arial"/>
          <w:sz w:val="18"/>
          <w:szCs w:val="18"/>
          <w:color w:val="auto"/>
        </w:rPr>
      </w:pPr>
    </w:p>
    <w:p>
      <w:pPr>
        <w:jc w:val="both"/>
        <w:ind w:firstLine="721"/>
        <w:spacing w:after="0" w:line="264" w:lineRule="auto"/>
        <w:tabs>
          <w:tab w:leader="none" w:pos="14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agree that this General Release is confidential and agree not to disclose any information regarding the terms of this General Release, except to my immediate family and any tax, legal or other counsel I have consulted regarding the meaning or effect hereof or as required by law, and I will instruct each of the foregoing not to disclose the same to anyone.</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48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non-disclosure provision in this General Release does not prohibit or restrict me (or my attorney) from responding to any inquiry about this General Release or its underlying facts and circumstances by the Securities and Exchange Commission, the National Association of Securities Dealers, Inc. or any other self-regulatory organization or governmental entity.</w:t>
      </w:r>
    </w:p>
    <w:p>
      <w:pPr>
        <w:spacing w:after="0" w:line="181" w:lineRule="exact"/>
        <w:rPr>
          <w:rFonts w:ascii="Arial" w:cs="Arial" w:eastAsia="Arial" w:hAnsi="Arial"/>
          <w:sz w:val="18"/>
          <w:szCs w:val="18"/>
          <w:color w:val="auto"/>
        </w:rPr>
      </w:pPr>
    </w:p>
    <w:p>
      <w:pPr>
        <w:ind w:left="1400" w:hanging="679"/>
        <w:spacing w:after="0"/>
        <w:tabs>
          <w:tab w:leader="none" w:pos="14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Without limitation of any provision of the Agreement, I hereby expressly re-affirm my obligations under Sections 1.5 , 1.6 , 1.8 , 1.10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3.1 .</w:t>
      </w:r>
    </w:p>
    <w:p>
      <w:pPr>
        <w:spacing w:after="0" w:line="210" w:lineRule="exact"/>
        <w:rPr>
          <w:rFonts w:ascii="Arial" w:cs="Arial" w:eastAsia="Arial" w:hAnsi="Arial"/>
          <w:sz w:val="16"/>
          <w:szCs w:val="16"/>
          <w:color w:val="auto"/>
        </w:rPr>
      </w:pPr>
    </w:p>
    <w:p>
      <w:pPr>
        <w:jc w:val="both"/>
        <w:ind w:firstLine="721"/>
        <w:spacing w:after="0" w:line="279" w:lineRule="auto"/>
        <w:tabs>
          <w:tab w:leader="none" w:pos="169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71"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“Affiliate” means, with respect to any Person, any Person that controls, is controlled by or is under common control with such Person or an Affiliate of such Person.</w:t>
      </w:r>
    </w:p>
    <w:p>
      <w:pPr>
        <w:spacing w:after="0" w:line="170"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“Person” means an individual, a partnership, a limited liability company, a corporation, an association, a joint stock company, a trust, a joint venture, an unincorporated organization, investment fund, any other business entity and a governmental entity or any department, agency or political subdivision thereof.</w:t>
      </w:r>
    </w:p>
    <w:p>
      <w:pPr>
        <w:spacing w:after="0" w:line="181" w:lineRule="exact"/>
        <w:rPr>
          <w:sz w:val="20"/>
          <w:szCs w:val="20"/>
          <w:color w:val="auto"/>
        </w:rPr>
      </w:pPr>
    </w:p>
    <w:p>
      <w:pPr>
        <w:jc w:val="both"/>
        <w:ind w:firstLine="713"/>
        <w:spacing w:after="0" w:line="270" w:lineRule="auto"/>
        <w:rPr>
          <w:sz w:val="20"/>
          <w:szCs w:val="20"/>
          <w:color w:val="auto"/>
        </w:rPr>
      </w:pPr>
      <w:r>
        <w:rPr>
          <w:rFonts w:ascii="Arial" w:cs="Arial" w:eastAsia="Arial" w:hAnsi="Arial"/>
          <w:sz w:val="17"/>
          <w:szCs w:val="17"/>
          <w:color w:val="auto"/>
        </w:rPr>
        <w:t>“Subsidiary”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76" w:name="page177"/>
    <w:bookmarkEnd w:id="176"/>
    <w:p>
      <w:pPr>
        <w:ind w:left="720"/>
        <w:spacing w:after="0"/>
        <w:rPr>
          <w:sz w:val="20"/>
          <w:szCs w:val="20"/>
          <w:color w:val="auto"/>
        </w:rPr>
      </w:pPr>
      <w:r>
        <w:rPr>
          <w:rFonts w:ascii="Arial" w:cs="Arial" w:eastAsia="Arial" w:hAnsi="Arial"/>
          <w:sz w:val="18"/>
          <w:szCs w:val="18"/>
          <w:color w:val="auto"/>
        </w:rPr>
        <w:t>BY SIGNING THIS GENERAL RELEASE, I REPRESENT AND AGREE THAT:</w:t>
      </w:r>
    </w:p>
    <w:p>
      <w:pPr>
        <w:spacing w:after="0" w:line="225" w:lineRule="exact"/>
        <w:rPr>
          <w:sz w:val="20"/>
          <w:szCs w:val="20"/>
          <w:color w:val="auto"/>
        </w:rPr>
      </w:pPr>
    </w:p>
    <w:p>
      <w:pPr>
        <w:ind w:left="1420" w:hanging="699"/>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READ IT CAREFULLY;</w:t>
      </w:r>
    </w:p>
    <w:p>
      <w:pPr>
        <w:spacing w:after="0" w:line="225" w:lineRule="exact"/>
        <w:rPr>
          <w:rFonts w:ascii="Arial" w:cs="Arial" w:eastAsia="Arial" w:hAnsi="Arial"/>
          <w:sz w:val="18"/>
          <w:szCs w:val="18"/>
          <w:color w:val="auto"/>
        </w:rPr>
      </w:pPr>
    </w:p>
    <w:p>
      <w:pPr>
        <w:jc w:val="both"/>
        <w:ind w:firstLine="721"/>
        <w:spacing w:after="0" w:line="259" w:lineRule="auto"/>
        <w:tabs>
          <w:tab w:leader="none" w:pos="158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86" w:lineRule="exact"/>
        <w:rPr>
          <w:rFonts w:ascii="Arial" w:cs="Arial" w:eastAsia="Arial" w:hAnsi="Arial"/>
          <w:sz w:val="18"/>
          <w:szCs w:val="18"/>
          <w:color w:val="auto"/>
        </w:rPr>
      </w:pPr>
    </w:p>
    <w:p>
      <w:pPr>
        <w:ind w:left="1420" w:hanging="699"/>
        <w:spacing w:after="0"/>
        <w:tabs>
          <w:tab w:leader="none" w:pos="14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VOLUNTARILY CONSENT TO EVERYTHING IN IT;</w:t>
      </w:r>
    </w:p>
    <w:p>
      <w:pPr>
        <w:spacing w:after="0" w:line="225" w:lineRule="exact"/>
        <w:rPr>
          <w:rFonts w:ascii="Arial" w:cs="Arial" w:eastAsia="Arial" w:hAnsi="Arial"/>
          <w:sz w:val="18"/>
          <w:szCs w:val="18"/>
          <w:color w:val="auto"/>
        </w:rPr>
      </w:pPr>
    </w:p>
    <w:p>
      <w:pPr>
        <w:jc w:val="both"/>
        <w:ind w:firstLine="721"/>
        <w:spacing w:after="0" w:line="264" w:lineRule="auto"/>
        <w:tabs>
          <w:tab w:leader="none" w:pos="168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BEEN ADVISED TO CONSULT WITH AN ATTORNEY (VIA THE AGREEMENT AND THIS RELEASE) BEFORE EXECUTING IT AND I HAVE DONE SO OR, AFTER CAREFUL READING AND CONSIDERATION, I HAVE CHOSEN NOT TO DO SO OF MY OWN VOLITION;</w:t>
      </w:r>
    </w:p>
    <w:p>
      <w:pPr>
        <w:spacing w:after="0" w:line="181" w:lineRule="exact"/>
        <w:rPr>
          <w:rFonts w:ascii="Arial" w:cs="Arial" w:eastAsia="Arial" w:hAnsi="Arial"/>
          <w:sz w:val="18"/>
          <w:szCs w:val="18"/>
          <w:color w:val="auto"/>
        </w:rPr>
      </w:pPr>
    </w:p>
    <w:p>
      <w:pPr>
        <w:jc w:val="both"/>
        <w:ind w:firstLine="721"/>
        <w:spacing w:after="0" w:line="264" w:lineRule="auto"/>
        <w:tabs>
          <w:tab w:leader="none" w:pos="154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HAD AT LEAST 21 DAYS FROM THE DATE OF MY RECEIPT OF THIS RELEASE SUBSTANTIALLY IN ITS FINAL FORM ON _______________ __, _____ TO CONSIDER IT AND THE CHANGES MADE SINCE THE _______________ __, _____ VERSION OF THIS RELEASE ARE NOT MATERIAL AND WILL NOT RESTART THE REQUIRED 21-DAY PERIOD;</w:t>
      </w:r>
    </w:p>
    <w:p>
      <w:pPr>
        <w:spacing w:after="0" w:line="181" w:lineRule="exact"/>
        <w:rPr>
          <w:rFonts w:ascii="Arial" w:cs="Arial" w:eastAsia="Arial" w:hAnsi="Arial"/>
          <w:sz w:val="18"/>
          <w:szCs w:val="18"/>
          <w:color w:val="auto"/>
        </w:rPr>
      </w:pPr>
    </w:p>
    <w:p>
      <w:pPr>
        <w:ind w:left="1500" w:hanging="779"/>
        <w:spacing w:after="0"/>
        <w:tabs>
          <w:tab w:leader="none" w:pos="15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CHANGES TO THE AGREEMENT SINCE _______________ ___, _____ EITHER ARE NOT MATERIAL OR WERE MADE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AT MY REQUEST.</w:t>
      </w:r>
    </w:p>
    <w:p>
      <w:pPr>
        <w:spacing w:after="0" w:line="210" w:lineRule="exact"/>
        <w:rPr>
          <w:rFonts w:ascii="Arial" w:cs="Arial" w:eastAsia="Arial" w:hAnsi="Arial"/>
          <w:sz w:val="17"/>
          <w:szCs w:val="17"/>
          <w:color w:val="auto"/>
        </w:rPr>
      </w:pPr>
    </w:p>
    <w:p>
      <w:pPr>
        <w:jc w:val="both"/>
        <w:ind w:firstLine="721"/>
        <w:spacing w:after="0" w:line="264" w:lineRule="auto"/>
        <w:tabs>
          <w:tab w:leader="none" w:pos="145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UNDERSTAND THAT I HAVE SEVEN DAYS AFTER THE EXECUTION OF THIS RELEASE TO REVOKE IT AND THAT THIS RELEASE SHALL NOT BECOME EFFECTIVE OR ENFORCEABLE UNTIL THE EIGHTH DAY FOLLOWING EXECUTION OF THE AGREEMENT;</w:t>
      </w:r>
    </w:p>
    <w:p>
      <w:pPr>
        <w:spacing w:after="0" w:line="181" w:lineRule="exact"/>
        <w:rPr>
          <w:rFonts w:ascii="Arial" w:cs="Arial" w:eastAsia="Arial" w:hAnsi="Arial"/>
          <w:sz w:val="18"/>
          <w:szCs w:val="18"/>
          <w:color w:val="auto"/>
        </w:rPr>
      </w:pPr>
    </w:p>
    <w:p>
      <w:pPr>
        <w:ind w:firstLine="721"/>
        <w:spacing w:after="0" w:line="277" w:lineRule="auto"/>
        <w:tabs>
          <w:tab w:leader="none" w:pos="141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SIGNED THIS GENERAL RELEASE KNOWINGLY AND VOLUNTARILY AND WITH THE ADVICE OF ANY COUNSEL RETAINED TO ADVISE ME WITH RESPECT TO IT; AND</w:t>
      </w:r>
    </w:p>
    <w:p>
      <w:pPr>
        <w:spacing w:after="0" w:line="170" w:lineRule="exact"/>
        <w:rPr>
          <w:rFonts w:ascii="Arial" w:cs="Arial" w:eastAsia="Arial" w:hAnsi="Arial"/>
          <w:sz w:val="18"/>
          <w:szCs w:val="18"/>
          <w:color w:val="auto"/>
        </w:rPr>
      </w:pPr>
    </w:p>
    <w:p>
      <w:pPr>
        <w:ind w:firstLine="721"/>
        <w:spacing w:after="0" w:line="308" w:lineRule="auto"/>
        <w:tabs>
          <w:tab w:leader="none" w:pos="1692"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 AGREE THAT THE PROVISIONS OF THIS GENERAL RELEASE MAY NOT BE AMENDED, WAIVED, CHANGED OR MODIFIED EXCEPT BY AN INSTRUMENT IN WRITING SIGNED BY AN AUTHORIZED REPRESENTATIVE OF THE COMPANY AND BY 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 __, 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Marisa Gardini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first written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3959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tab/>
        <w:t>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7" w:name="page178"/>
    <w:bookmarkEnd w:id="177"/>
    <w:p>
      <w:pPr>
        <w:jc w:val="center"/>
        <w:ind w:right="-1200"/>
        <w:spacing w:after="0"/>
        <w:rPr>
          <w:sz w:val="20"/>
          <w:szCs w:val="20"/>
          <w:color w:val="auto"/>
        </w:rPr>
      </w:pPr>
      <w:r>
        <w:rPr>
          <w:rFonts w:ascii="Arial" w:cs="Arial" w:eastAsia="Arial" w:hAnsi="Arial"/>
          <w:sz w:val="18"/>
          <w:szCs w:val="18"/>
          <w:color w:val="auto"/>
        </w:rPr>
        <w:t>Exhibit 21.1</w:t>
      </w:r>
    </w:p>
    <w:p>
      <w:pPr>
        <w:spacing w:after="0" w:line="221" w:lineRule="exact"/>
        <w:rPr>
          <w:sz w:val="20"/>
          <w:szCs w:val="20"/>
          <w:color w:val="auto"/>
        </w:rPr>
      </w:pPr>
    </w:p>
    <w:p>
      <w:pPr>
        <w:jc w:val="right"/>
        <w:ind w:right="3279"/>
        <w:spacing w:after="0"/>
        <w:rPr>
          <w:sz w:val="20"/>
          <w:szCs w:val="20"/>
          <w:color w:val="auto"/>
        </w:rPr>
      </w:pPr>
      <w:r>
        <w:rPr>
          <w:rFonts w:ascii="Arial" w:cs="Arial" w:eastAsia="Arial" w:hAnsi="Arial"/>
          <w:sz w:val="18"/>
          <w:szCs w:val="18"/>
          <w:b w:val="1"/>
          <w:bCs w:val="1"/>
          <w:color w:val="auto"/>
        </w:rPr>
        <w:t>Subsidiaries of 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Jurisdiction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 Brands,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9"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225"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fiscal year ended December 31, 2011.</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6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60" w:right="20" w:hanging="655"/>
        <w:spacing w:after="0" w:line="264" w:lineRule="auto"/>
        <w:tabs>
          <w:tab w:leader="none" w:pos="196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1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60" w:hanging="655"/>
        <w:spacing w:after="0" w:line="286" w:lineRule="auto"/>
        <w:tabs>
          <w:tab w:leader="none" w:pos="1960" w:val="left"/>
        </w:tabs>
        <w:numPr>
          <w:ilvl w:val="2"/>
          <w:numId w:val="16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Chairman, President, Chief Executive Officer and Director (Principal</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225"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Xcel Brands, Inc. (the" registrant") for the fiscal year ended December 31, 2011.</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00" w:hanging="322"/>
        <w:spacing w:after="0" w:line="264" w:lineRule="auto"/>
        <w:tabs>
          <w:tab w:leader="none" w:pos="11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00" w:hanging="322"/>
        <w:spacing w:after="0" w:line="264" w:lineRule="auto"/>
        <w:tabs>
          <w:tab w:leader="none" w:pos="11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00" w:hanging="322"/>
        <w:spacing w:after="0" w:line="308" w:lineRule="auto"/>
        <w:tabs>
          <w:tab w:leader="none" w:pos="110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00" w:hanging="322"/>
        <w:spacing w:after="0" w:line="264" w:lineRule="auto"/>
        <w:tabs>
          <w:tab w:leader="none" w:pos="11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00" w:hanging="322"/>
        <w:spacing w:after="0" w:line="277" w:lineRule="auto"/>
        <w:tabs>
          <w:tab w:leader="none" w:pos="11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100" w:hanging="322"/>
        <w:spacing w:after="0" w:line="277" w:lineRule="auto"/>
        <w:tabs>
          <w:tab w:leader="none" w:pos="11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F. Haran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2011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March 23, 2012</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Robert W. D’Loren</w:t>
      </w:r>
    </w:p>
    <w:p>
      <w:pPr>
        <w:spacing w:after="0" w:line="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Chairman, President, Chief Executive Officer and Director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2011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23, 2011</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James F. Haran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1."/>
      <w:numFmt w:val="upperLetter"/>
      <w:start w:val="11"/>
    </w:lvl>
  </w:abstractNum>
  <w:abstractNum w:abstractNumId="3">
    <w:nsid w:val="100F59DC"/>
    <w:multiLevelType w:val="hybridMultilevel"/>
    <w:lvl w:ilvl="0">
      <w:lvlJc w:val="left"/>
      <w:lvlText w:val="(%1)"/>
      <w:numFmt w:val="lowerRoman"/>
      <w:start w:val="4"/>
    </w:lvl>
  </w:abstractNum>
  <w:abstractNum w:abstractNumId="4">
    <w:nsid w:val="7FB7E0AA"/>
    <w:multiLevelType w:val="hybridMultilevel"/>
    <w:lvl w:ilvl="0">
      <w:lvlJc w:val="left"/>
      <w:lvlText w:val="(%1)"/>
      <w:numFmt w:val="decimal"/>
      <w:start w:val="2"/>
    </w:lvl>
  </w:abstractNum>
  <w:abstractNum w:abstractNumId="5">
    <w:nsid w:val="6EB5BD4"/>
    <w:multiLevelType w:val="hybridMultilevel"/>
    <w:lvl w:ilvl="0">
      <w:lvlJc w:val="left"/>
      <w:lvlText w:val="%1."/>
      <w:numFmt w:val="decimal"/>
      <w:start w:val="1"/>
    </w:lvl>
  </w:abstractNum>
  <w:abstractNum w:abstractNumId="6">
    <w:nsid w:val="6F6DD9AC"/>
    <w:multiLevelType w:val="hybridMultilevel"/>
    <w:lvl w:ilvl="0">
      <w:lvlJc w:val="left"/>
      <w:lvlText w:val="%1."/>
      <w:numFmt w:val="decimal"/>
      <w:start w:val="2"/>
    </w:lvl>
  </w:abstractNum>
  <w:abstractNum w:abstractNumId="7">
    <w:nsid w:val="94211F2"/>
    <w:multiLevelType w:val="hybridMultilevel"/>
    <w:lvl w:ilvl="0">
      <w:lvlJc w:val="left"/>
      <w:lvlText w:val="%1."/>
      <w:numFmt w:val="decimal"/>
      <w:start w:val="3"/>
    </w:lvl>
  </w:abstractNum>
  <w:abstractNum w:abstractNumId="8">
    <w:nsid w:val="885E1B"/>
    <w:multiLevelType w:val="hybridMultilevel"/>
    <w:lvl w:ilvl="0">
      <w:lvlJc w:val="left"/>
      <w:lvlText w:val="%1."/>
      <w:numFmt w:val="decimal"/>
      <w:start w:val="4"/>
    </w:lvl>
  </w:abstractNum>
  <w:abstractNum w:abstractNumId="9">
    <w:nsid w:val="76272110"/>
    <w:multiLevelType w:val="hybridMultilevel"/>
    <w:lvl w:ilvl="0">
      <w:lvlJc w:val="left"/>
      <w:lvlText w:val="%1."/>
      <w:numFmt w:val="decimal"/>
      <w:start w:val="5"/>
    </w:lvl>
  </w:abstractNum>
  <w:abstractNum w:abstractNumId="10">
    <w:nsid w:val="4C04A8AF"/>
    <w:multiLevelType w:val="hybridMultilevel"/>
    <w:lvl w:ilvl="0">
      <w:lvlJc w:val="left"/>
      <w:lvlText w:val="(%1)"/>
      <w:numFmt w:val="lowerRoman"/>
      <w:start w:val="2"/>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1)"/>
      <w:numFmt w:val="decimal"/>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1]"/>
      <w:numFmt w:val="decimal"/>
      <w:start w:val="2"/>
    </w:lvl>
  </w:abstractNum>
  <w:abstractNum w:abstractNumId="21">
    <w:nsid w:val="CC1016F"/>
    <w:multiLevelType w:val="hybridMultilevel"/>
    <w:lvl w:ilvl="0">
      <w:lvlJc w:val="left"/>
      <w:lvlText w:val="[%1]"/>
      <w:numFmt w:val="decimal"/>
      <w:start w:val="54"/>
    </w:lvl>
  </w:abstractNum>
  <w:abstractNum w:abstractNumId="22">
    <w:nsid w:val="43F18422"/>
    <w:multiLevelType w:val="hybridMultilevel"/>
    <w:lvl w:ilvl="0">
      <w:lvlJc w:val="left"/>
      <w:lvlText w:val="[%1]"/>
      <w:numFmt w:val="decimal"/>
      <w:start w:val="2"/>
    </w:lvl>
  </w:abstractNum>
  <w:abstractNum w:abstractNumId="23">
    <w:nsid w:val="60EF0119"/>
    <w:multiLevelType w:val="hybridMultilevel"/>
    <w:lvl w:ilvl="0">
      <w:lvlJc w:val="left"/>
      <w:lvlText w:val="(%1)"/>
      <w:numFmt w:val="decimal"/>
      <w:start w:val="2"/>
    </w:lvl>
  </w:abstractNum>
  <w:abstractNum w:abstractNumId="24">
    <w:nsid w:val="26F324BA"/>
    <w:multiLevelType w:val="hybridMultilevel"/>
    <w:lvl w:ilvl="0">
      <w:lvlJc w:val="left"/>
      <w:lvlText w:val="%1."/>
      <w:numFmt w:val="decimal"/>
      <w:start w:val="1"/>
    </w:lvl>
  </w:abstractNum>
  <w:abstractNum w:abstractNumId="25">
    <w:nsid w:val="7F01579B"/>
    <w:multiLevelType w:val="hybridMultilevel"/>
    <w:lvl w:ilvl="0">
      <w:lvlJc w:val="left"/>
      <w:lvlText w:val="%1."/>
      <w:numFmt w:val="decimal"/>
      <w:start w:val="2"/>
    </w:lvl>
  </w:abstractNum>
  <w:abstractNum w:abstractNumId="26">
    <w:nsid w:val="49DA307D"/>
    <w:multiLevelType w:val="hybridMultilevel"/>
    <w:lvl w:ilvl="0">
      <w:lvlJc w:val="left"/>
      <w:lvlText w:val="%1."/>
      <w:numFmt w:val="decimal"/>
      <w:start w:val="3"/>
    </w:lvl>
  </w:abstractNum>
  <w:abstractNum w:abstractNumId="27">
    <w:nsid w:val="7055A5F5"/>
    <w:multiLevelType w:val="hybridMultilevel"/>
    <w:lvl w:ilvl="0">
      <w:lvlJc w:val="left"/>
      <w:lvlText w:val="%1."/>
      <w:numFmt w:val="lowerLetter"/>
      <w:start w:val="1"/>
    </w:lvl>
  </w:abstractNum>
  <w:abstractNum w:abstractNumId="28">
    <w:nsid w:val="5FB8370B"/>
    <w:multiLevelType w:val="hybridMultilevel"/>
    <w:lvl w:ilvl="0">
      <w:lvlJc w:val="left"/>
      <w:lvlText w:val="(%1)"/>
      <w:numFmt w:val="decimal"/>
      <w:start w:val="2"/>
    </w:lvl>
  </w:abstractNum>
  <w:abstractNum w:abstractNumId="29">
    <w:nsid w:val="50801EE1"/>
    <w:multiLevelType w:val="hybridMultilevel"/>
    <w:lvl w:ilvl="0">
      <w:lvlJc w:val="left"/>
      <w:lvlText w:val="%1."/>
      <w:numFmt w:val="decimal"/>
      <w:start w:val="1"/>
    </w:lvl>
  </w:abstractNum>
  <w:abstractNum w:abstractNumId="30">
    <w:nsid w:val="488AC1A"/>
    <w:multiLevelType w:val="hybridMultilevel"/>
    <w:lvl w:ilvl="0">
      <w:lvlJc w:val="left"/>
      <w:lvlText w:val="%1."/>
      <w:numFmt w:val="decimal"/>
      <w:start w:val="2"/>
    </w:lvl>
  </w:abstractNum>
  <w:abstractNum w:abstractNumId="31">
    <w:nsid w:val="5FB8011C"/>
    <w:multiLevelType w:val="hybridMultilevel"/>
    <w:lvl w:ilvl="0">
      <w:lvlJc w:val="left"/>
      <w:lvlText w:val="%1."/>
      <w:numFmt w:val="decimal"/>
      <w:start w:val="4"/>
    </w:lvl>
  </w:abstractNum>
  <w:abstractNum w:abstractNumId="32">
    <w:nsid w:val="6AA78F7F"/>
    <w:multiLevelType w:val="hybridMultilevel"/>
    <w:lvl w:ilvl="0">
      <w:lvlJc w:val="left"/>
      <w:lvlText w:val="%1."/>
      <w:numFmt w:val="decimal"/>
      <w:start w:val="5"/>
    </w:lvl>
  </w:abstractNum>
  <w:abstractNum w:abstractNumId="33">
    <w:nsid w:val="7672BD23"/>
    <w:multiLevelType w:val="hybridMultilevel"/>
    <w:lvl w:ilvl="0">
      <w:lvlJc w:val="left"/>
      <w:lvlText w:val="%1."/>
      <w:numFmt w:val="decimal"/>
      <w:start w:val="6"/>
    </w:lvl>
  </w:abstractNum>
  <w:abstractNum w:abstractNumId="34">
    <w:nsid w:val="6FC75AF8"/>
    <w:multiLevelType w:val="hybridMultilevel"/>
    <w:lvl w:ilvl="0">
      <w:lvlJc w:val="left"/>
      <w:lvlText w:val="%1."/>
      <w:numFmt w:val="decimal"/>
      <w:start w:val="7"/>
    </w:lvl>
  </w:abstractNum>
  <w:abstractNum w:abstractNumId="35">
    <w:nsid w:val="6A5F7029"/>
    <w:multiLevelType w:val="hybridMultilevel"/>
    <w:lvl w:ilvl="0">
      <w:lvlJc w:val="left"/>
      <w:lvlText w:val="%1."/>
      <w:numFmt w:val="decimal"/>
      <w:start w:val="8"/>
    </w:lvl>
  </w:abstractNum>
  <w:abstractNum w:abstractNumId="36">
    <w:nsid w:val="7D5E18F8"/>
    <w:multiLevelType w:val="hybridMultilevel"/>
    <w:lvl w:ilvl="0">
      <w:lvlJc w:val="left"/>
      <w:lvlText w:val="%1."/>
      <w:numFmt w:val="decimal"/>
      <w:start w:val="9"/>
    </w:lvl>
  </w:abstractNum>
  <w:abstractNum w:abstractNumId="37">
    <w:nsid w:val="5F3534A4"/>
    <w:multiLevelType w:val="hybridMultilevel"/>
    <w:lvl w:ilvl="0">
      <w:lvlJc w:val="left"/>
      <w:lvlText w:val="(%1)"/>
      <w:numFmt w:val="lowerRoman"/>
      <w:start w:val="3"/>
    </w:lvl>
  </w:abstractNum>
  <w:abstractNum w:abstractNumId="38">
    <w:nsid w:val="73A1821B"/>
    <w:multiLevelType w:val="hybridMultilevel"/>
    <w:lvl w:ilvl="0">
      <w:lvlJc w:val="left"/>
      <w:lvlText w:val="(%1)"/>
      <w:numFmt w:val="decimal"/>
      <w:start w:val="1"/>
    </w:lvl>
  </w:abstractNum>
  <w:abstractNum w:abstractNumId="39">
    <w:nsid w:val="7DE67713"/>
    <w:multiLevelType w:val="hybridMultilevel"/>
    <w:lvl w:ilvl="0">
      <w:lvlJc w:val="left"/>
      <w:lvlText w:val="(%1)"/>
      <w:numFmt w:val="decimal"/>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1)"/>
      <w:numFmt w:val="decimal"/>
      <w:start w:val="1"/>
    </w:lvl>
  </w:abstractNum>
  <w:abstractNum w:abstractNumId="43">
    <w:nsid w:val="6A3DD3E8"/>
    <w:multiLevelType w:val="hybridMultilevel"/>
    <w:lvl w:ilvl="0">
      <w:lvlJc w:val="left"/>
      <w:lvlText w:val="(%1)"/>
      <w:numFmt w:val="lowerRoman"/>
      <w:start w:val="1"/>
    </w:lvl>
  </w:abstractNum>
  <w:abstractNum w:abstractNumId="44">
    <w:nsid w:val="71C91298"/>
    <w:multiLevelType w:val="hybridMultilevel"/>
    <w:lvl w:ilvl="0">
      <w:lvlJc w:val="left"/>
      <w:lvlText w:val="%1."/>
      <w:numFmt w:val="decimal"/>
      <w:start w:val="1"/>
    </w:lvl>
  </w:abstractNum>
  <w:abstractNum w:abstractNumId="45">
    <w:nsid w:val="9DAF632"/>
    <w:multiLevelType w:val="hybridMultilevel"/>
    <w:lvl w:ilvl="0">
      <w:lvlJc w:val="left"/>
      <w:lvlText w:val="%1."/>
      <w:numFmt w:val="decimal"/>
      <w:start w:val="3"/>
    </w:lvl>
  </w:abstractNum>
  <w:abstractNum w:abstractNumId="46">
    <w:nsid w:val="53299938"/>
    <w:multiLevelType w:val="hybridMultilevel"/>
    <w:lvl w:ilvl="0">
      <w:lvlJc w:val="left"/>
      <w:lvlText w:val="%1."/>
      <w:numFmt w:val="decimal"/>
      <w:start w:val="2"/>
    </w:lvl>
  </w:abstractNum>
  <w:abstractNum w:abstractNumId="47">
    <w:nsid w:val="1FBFE8E0"/>
    <w:multiLevelType w:val="hybridMultilevel"/>
    <w:lvl w:ilvl="0">
      <w:lvlJc w:val="left"/>
      <w:lvlText w:val="%1."/>
      <w:numFmt w:val="decimal"/>
      <w:start w:val="3"/>
    </w:lvl>
  </w:abstractNum>
  <w:abstractNum w:abstractNumId="48">
    <w:nsid w:val="5092CA79"/>
    <w:multiLevelType w:val="hybridMultilevel"/>
    <w:lvl w:ilvl="0">
      <w:lvlJc w:val="left"/>
      <w:lvlText w:val="(%1)"/>
      <w:numFmt w:val="decimal"/>
      <w:start w:val="20"/>
    </w:lvl>
  </w:abstractNum>
  <w:abstractNum w:abstractNumId="49">
    <w:nsid w:val="1D545C4D"/>
    <w:multiLevelType w:val="hybridMultilevel"/>
    <w:lvl w:ilvl="0">
      <w:lvlJc w:val="left"/>
      <w:lvlText w:val="%1."/>
      <w:numFmt w:val="decimal"/>
      <w:start w:val="4"/>
    </w:lvl>
  </w:abstractNum>
  <w:abstractNum w:abstractNumId="50">
    <w:nsid w:val="59ADEA3D"/>
    <w:multiLevelType w:val="hybridMultilevel"/>
    <w:lvl w:ilvl="0">
      <w:lvlJc w:val="left"/>
      <w:lvlText w:val="%1."/>
      <w:numFmt w:val="decimal"/>
      <w:start w:val="5"/>
    </w:lvl>
  </w:abstractNum>
  <w:abstractNum w:abstractNumId="51">
    <w:nsid w:val="288F1A34"/>
    <w:multiLevelType w:val="hybridMultilevel"/>
    <w:lvl w:ilvl="0">
      <w:lvlJc w:val="left"/>
      <w:lvlText w:val="%1."/>
      <w:numFmt w:val="decimal"/>
      <w:start w:val="6"/>
    </w:lvl>
  </w:abstractNum>
  <w:abstractNum w:abstractNumId="52">
    <w:nsid w:val="2A155DBC"/>
    <w:multiLevelType w:val="hybridMultilevel"/>
    <w:lvl w:ilvl="0">
      <w:lvlJc w:val="left"/>
      <w:lvlText w:val="%1."/>
      <w:numFmt w:val="decimal"/>
      <w:start w:val="1"/>
    </w:lvl>
  </w:abstractNum>
  <w:abstractNum w:abstractNumId="53">
    <w:nsid w:val="1D9F6E5F"/>
    <w:multiLevelType w:val="hybridMultilevel"/>
    <w:lvl w:ilvl="0">
      <w:lvlJc w:val="left"/>
      <w:lvlText w:val="%1."/>
      <w:numFmt w:val="decimal"/>
      <w:start w:val="2"/>
    </w:lvl>
  </w:abstractNum>
  <w:abstractNum w:abstractNumId="54">
    <w:nsid w:val="97E1B4E"/>
    <w:multiLevelType w:val="hybridMultilevel"/>
    <w:lvl w:ilvl="0">
      <w:lvlJc w:val="left"/>
      <w:lvlText w:val="%1."/>
      <w:numFmt w:val="decimal"/>
      <w:start w:val="4"/>
    </w:lvl>
    <w:lvl w:ilvl="1">
      <w:lvlJc w:val="left"/>
      <w:lvlText w:val="(%2)"/>
      <w:numFmt w:val="lowerLetter"/>
      <w:start w:val="2"/>
    </w:lvl>
  </w:abstractNum>
  <w:abstractNum w:abstractNumId="55">
    <w:nsid w:val="51088277"/>
    <w:multiLevelType w:val="hybridMultilevel"/>
    <w:lvl w:ilvl="0">
      <w:lvlJc w:val="left"/>
      <w:lvlText w:val="(%1)"/>
      <w:numFmt w:val="lowerRoman"/>
      <w:start w:val="2"/>
    </w:lvl>
    <w:lvl w:ilvl="1">
      <w:lvlJc w:val="left"/>
      <w:lvlText w:val="(%2)"/>
      <w:numFmt w:val="upperLetter"/>
      <w:start w:val="2"/>
    </w:lvl>
  </w:abstractNum>
  <w:abstractNum w:abstractNumId="56">
    <w:nsid w:val="1CA0C5FA"/>
    <w:multiLevelType w:val="hybridMultilevel"/>
    <w:lvl w:ilvl="0">
      <w:lvlJc w:val="left"/>
      <w:lvlText w:val="(%1)"/>
      <w:numFmt w:val="lowerLetter"/>
      <w:start w:val="2"/>
    </w:lvl>
  </w:abstractNum>
  <w:abstractNum w:abstractNumId="57">
    <w:nsid w:val="53584BCB"/>
    <w:multiLevelType w:val="hybridMultilevel"/>
    <w:lvl w:ilvl="0">
      <w:lvlJc w:val="left"/>
      <w:lvlText w:val="(%1)"/>
      <w:numFmt w:val="lowerLetter"/>
      <w:start w:val="3"/>
    </w:lvl>
  </w:abstractNum>
  <w:abstractNum w:abstractNumId="58">
    <w:nsid w:val="415E286C"/>
    <w:multiLevelType w:val="hybridMultilevel"/>
    <w:lvl w:ilvl="0">
      <w:lvlJc w:val="left"/>
      <w:lvlText w:val="(%1)"/>
      <w:numFmt w:val="lowerLetter"/>
      <w:start w:val="9"/>
    </w:lvl>
  </w:abstractNum>
  <w:abstractNum w:abstractNumId="59">
    <w:nsid w:val="7C58FD05"/>
    <w:multiLevelType w:val="hybridMultilevel"/>
    <w:lvl w:ilvl="0">
      <w:lvlJc w:val="left"/>
      <w:lvlText w:val="(%1)"/>
      <w:numFmt w:val="lowerRoman"/>
      <w:start w:val="4"/>
    </w:lvl>
  </w:abstractNum>
  <w:abstractNum w:abstractNumId="60">
    <w:nsid w:val="23D86AAC"/>
    <w:multiLevelType w:val="hybridMultilevel"/>
    <w:lvl w:ilvl="0">
      <w:lvlJc w:val="left"/>
      <w:lvlText w:val="%1."/>
      <w:numFmt w:val="decimal"/>
      <w:start w:val="8"/>
    </w:lvl>
  </w:abstractNum>
  <w:abstractNum w:abstractNumId="61">
    <w:nsid w:val="45E6D486"/>
    <w:multiLevelType w:val="hybridMultilevel"/>
    <w:lvl w:ilvl="0">
      <w:lvlJc w:val="left"/>
      <w:lvlText w:val="%1."/>
      <w:numFmt w:val="decimal"/>
      <w:start w:val="9"/>
    </w:lvl>
  </w:abstractNum>
  <w:abstractNum w:abstractNumId="62">
    <w:nsid w:val="5C10FE21"/>
    <w:multiLevelType w:val="hybridMultilevel"/>
    <w:lvl w:ilvl="0">
      <w:lvlJc w:val="left"/>
      <w:lvlText w:val="%1."/>
      <w:numFmt w:val="decimal"/>
      <w:start w:val="1"/>
    </w:lvl>
  </w:abstractNum>
  <w:abstractNum w:abstractNumId="63">
    <w:nsid w:val="E7FFA2B"/>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64">
    <w:nsid w:val="3C5991AA"/>
    <w:multiLevelType w:val="hybridMultilevel"/>
    <w:lvl w:ilvl="0">
      <w:lvlJc w:val="left"/>
      <w:lvlText w:val="(%1)"/>
      <w:numFmt w:val="lowerRoman"/>
      <w:start w:val="2"/>
    </w:lvl>
  </w:abstractNum>
  <w:abstractNum w:abstractNumId="65">
    <w:nsid w:val="4BD8591A"/>
    <w:multiLevelType w:val="hybridMultilevel"/>
    <w:lvl w:ilvl="0">
      <w:lvlJc w:val="left"/>
      <w:lvlText w:val="(%1)"/>
      <w:numFmt w:val="lowerRoman"/>
      <w:start w:val="3"/>
    </w:lvl>
    <w:lvl w:ilvl="1">
      <w:lvlJc w:val="left"/>
      <w:lvlText w:val="%2"/>
      <w:numFmt w:val="decimal"/>
      <w:start w:val="1"/>
    </w:lvl>
  </w:abstractNum>
  <w:abstractNum w:abstractNumId="66">
    <w:nsid w:val="78DF6A55"/>
    <w:multiLevelType w:val="hybridMultilevel"/>
    <w:lvl w:ilvl="0">
      <w:lvlJc w:val="left"/>
      <w:lvlText w:val="(%1)"/>
      <w:numFmt w:val="lowerRoman"/>
      <w:start w:val="7"/>
    </w:lvl>
    <w:lvl w:ilvl="1">
      <w:lvlJc w:val="left"/>
      <w:lvlText w:val="(%2)"/>
      <w:numFmt w:val="decimal"/>
      <w:start w:val="3"/>
    </w:lvl>
  </w:abstractNum>
  <w:abstractNum w:abstractNumId="67">
    <w:nsid w:val="39B7AAA2"/>
    <w:multiLevelType w:val="hybridMultilevel"/>
    <w:lvl w:ilvl="0">
      <w:lvlJc w:val="left"/>
      <w:lvlText w:val="(%1)"/>
      <w:numFmt w:val="lowerLetter"/>
      <w:start w:val="2"/>
    </w:lvl>
  </w:abstractNum>
  <w:abstractNum w:abstractNumId="68">
    <w:nsid w:val="2B0D8DBE"/>
    <w:multiLevelType w:val="hybridMultilevel"/>
    <w:lvl w:ilvl="0">
      <w:lvlJc w:val="left"/>
      <w:lvlText w:val="(%1)"/>
      <w:numFmt w:val="lowerLetter"/>
      <w:start w:val="3"/>
    </w:lvl>
    <w:lvl w:ilvl="1">
      <w:lvlJc w:val="left"/>
      <w:lvlText w:val="(%2)"/>
      <w:numFmt w:val="decimal"/>
      <w:start w:val="1"/>
    </w:lvl>
  </w:abstractNum>
  <w:abstractNum w:abstractNumId="69">
    <w:nsid w:val="6C80EC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0">
    <w:nsid w:val="379E21B5"/>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71">
    <w:nsid w:val="69E373"/>
    <w:multiLevelType w:val="hybridMultilevel"/>
    <w:lvl w:ilvl="0">
      <w:lvlJc w:val="left"/>
      <w:lvlText w:val="%1."/>
      <w:numFmt w:val="decimal"/>
      <w:start w:val="1"/>
    </w:lvl>
  </w:abstractNum>
  <w:abstractNum w:abstractNumId="72">
    <w:nsid w:val="2C27173B"/>
    <w:multiLevelType w:val="hybridMultilevel"/>
    <w:lvl w:ilvl="0">
      <w:lvlJc w:val="left"/>
      <w:lvlText w:val="(%1)"/>
      <w:numFmt w:val="lowerLetter"/>
      <w:start w:val="2"/>
    </w:lvl>
  </w:abstractNum>
  <w:abstractNum w:abstractNumId="73">
    <w:nsid w:val="4C9B0904"/>
    <w:multiLevelType w:val="hybridMultilevel"/>
    <w:lvl w:ilvl="0">
      <w:lvlJc w:val="left"/>
      <w:lvlText w:val="(%1)"/>
      <w:numFmt w:val="lowerLetter"/>
      <w:start w:val="5"/>
    </w:lvl>
  </w:abstractNum>
  <w:abstractNum w:abstractNumId="74">
    <w:nsid w:val="6AA7B75C"/>
    <w:multiLevelType w:val="hybridMultilevel"/>
    <w:lvl w:ilvl="0">
      <w:lvlJc w:val="left"/>
      <w:lvlText w:val="%1."/>
      <w:numFmt w:val="decimal"/>
      <w:start w:val="3"/>
    </w:lvl>
  </w:abstractNum>
  <w:abstractNum w:abstractNumId="75">
    <w:nsid w:val="1DF029D3"/>
    <w:multiLevelType w:val="hybridMultilevel"/>
    <w:lvl w:ilvl="0">
      <w:lvlJc w:val="left"/>
      <w:lvlText w:val="(%1)"/>
      <w:numFmt w:val="lowerLetter"/>
      <w:start w:val="1"/>
    </w:lvl>
  </w:abstractNum>
  <w:abstractNum w:abstractNumId="76">
    <w:nsid w:val="5675FF36"/>
    <w:multiLevelType w:val="hybridMultilevel"/>
    <w:lvl w:ilvl="0">
      <w:lvlJc w:val="left"/>
      <w:lvlText w:val="(%1)"/>
      <w:numFmt w:val="lowerLetter"/>
      <w:start w:val="1"/>
    </w:lvl>
  </w:abstractNum>
  <w:abstractNum w:abstractNumId="77">
    <w:nsid w:val="3DD15094"/>
    <w:multiLevelType w:val="hybridMultilevel"/>
    <w:lvl w:ilvl="0">
      <w:lvlJc w:val="left"/>
      <w:lvlText w:val="(%1)"/>
      <w:numFmt w:val="lowerLetter"/>
      <w:start w:val="3"/>
    </w:lvl>
  </w:abstractNum>
  <w:abstractNum w:abstractNumId="78">
    <w:nsid w:val="3DB012B3"/>
    <w:multiLevelType w:val="hybridMultilevel"/>
    <w:lvl w:ilvl="0">
      <w:lvlJc w:val="left"/>
      <w:lvlText w:val="(%1)"/>
      <w:numFmt w:val="lowerLetter"/>
      <w:start w:val="4"/>
    </w:lvl>
  </w:abstractNum>
  <w:abstractNum w:abstractNumId="79">
    <w:nsid w:val="2708C9AF"/>
    <w:multiLevelType w:val="hybridMultilevel"/>
    <w:lvl w:ilvl="0">
      <w:lvlJc w:val="left"/>
      <w:lvlText w:val="(%1)"/>
      <w:numFmt w:val="lowerLetter"/>
      <w:start w:val="11"/>
    </w:lvl>
  </w:abstractNum>
  <w:abstractNum w:abstractNumId="80">
    <w:nsid w:val="5B25ACE2"/>
    <w:multiLevelType w:val="hybridMultilevel"/>
    <w:lvl w:ilvl="0">
      <w:lvlJc w:val="left"/>
      <w:lvlText w:val="%1"/>
      <w:numFmt w:val="lowerLetter"/>
      <w:start w:val="1"/>
    </w:lvl>
    <w:lvl w:ilvl="1">
      <w:lvlJc w:val="left"/>
      <w:lvlText w:val="(%2)"/>
      <w:numFmt w:val="lowerLetter"/>
      <w:start w:val="1"/>
    </w:lvl>
  </w:abstractNum>
  <w:abstractNum w:abstractNumId="81">
    <w:nsid w:val="175DFCF0"/>
    <w:multiLevelType w:val="hybridMultilevel"/>
    <w:lvl w:ilvl="0">
      <w:lvlJc w:val="left"/>
      <w:lvlText w:val="(%1)"/>
      <w:numFmt w:val="lowerLetter"/>
      <w:start w:val="9"/>
    </w:lvl>
    <w:lvl w:ilvl="1">
      <w:lvlJc w:val="left"/>
      <w:lvlText w:val="%2"/>
      <w:numFmt w:val="lowerLetter"/>
      <w:start w:val="1"/>
    </w:lvl>
  </w:abstractNum>
  <w:abstractNum w:abstractNumId="82">
    <w:nsid w:val="4F97E3E4"/>
    <w:multiLevelType w:val="hybridMultilevel"/>
    <w:lvl w:ilvl="0">
      <w:lvlJc w:val="left"/>
      <w:lvlText w:val="(%1)"/>
      <w:numFmt w:val="lowerLetter"/>
      <w:start w:val="61"/>
    </w:lvl>
    <w:lvl w:ilvl="1">
      <w:lvlJc w:val="left"/>
      <w:lvlText w:val="(%2)"/>
      <w:numFmt w:val="lowerLetter"/>
      <w:start w:val="2"/>
    </w:lvl>
  </w:abstractNum>
  <w:abstractNum w:abstractNumId="83">
    <w:nsid w:val="53B0A9E"/>
    <w:multiLevelType w:val="hybridMultilevel"/>
    <w:lvl w:ilvl="0">
      <w:lvlJc w:val="left"/>
      <w:lvlText w:val="(%1)"/>
      <w:numFmt w:val="lowerLetter"/>
      <w:start w:val="3"/>
    </w:lvl>
  </w:abstractNum>
  <w:abstractNum w:abstractNumId="84">
    <w:nsid w:val="34FD6B4F"/>
    <w:multiLevelType w:val="hybridMultilevel"/>
    <w:lvl w:ilvl="0">
      <w:lvlJc w:val="left"/>
      <w:lvlText w:val="(%1)"/>
      <w:numFmt w:val="lowerLetter"/>
      <w:start w:val="1"/>
    </w:lvl>
  </w:abstractNum>
  <w:abstractNum w:abstractNumId="85">
    <w:nsid w:val="5915FF32"/>
    <w:multiLevelType w:val="hybridMultilevel"/>
    <w:lvl w:ilvl="0">
      <w:lvlJc w:val="left"/>
      <w:lvlText w:val="(%1)"/>
      <w:numFmt w:val="lowerLetter"/>
      <w:start w:val="3"/>
    </w:lvl>
  </w:abstractNum>
  <w:abstractNum w:abstractNumId="86">
    <w:nsid w:val="56438D15"/>
    <w:multiLevelType w:val="hybridMultilevel"/>
    <w:lvl w:ilvl="0">
      <w:lvlJc w:val="left"/>
      <w:lvlText w:val="(%1)"/>
      <w:numFmt w:val="lowerLetter"/>
      <w:start w:val="1"/>
    </w:lvl>
  </w:abstractNum>
  <w:abstractNum w:abstractNumId="87">
    <w:nsid w:val="519E3149"/>
    <w:multiLevelType w:val="hybridMultilevel"/>
    <w:lvl w:ilvl="0">
      <w:lvlJc w:val="left"/>
      <w:lvlText w:val="(%1)"/>
      <w:numFmt w:val="lowerRoman"/>
      <w:start w:val="2"/>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decimal"/>
      <w:start w:val="1"/>
    </w:lvl>
  </w:abstractNum>
  <w:abstractNum w:abstractNumId="90">
    <w:nsid w:val="4DF72E4E"/>
    <w:multiLevelType w:val="hybridMultilevel"/>
    <w:lvl w:ilvl="0">
      <w:lvlJc w:val="left"/>
      <w:lvlText w:val="%1."/>
      <w:numFmt w:val="decimal"/>
      <w:start w:val="5"/>
    </w:lvl>
  </w:abstractNum>
  <w:abstractNum w:abstractNumId="91">
    <w:nsid w:val="5046B5A9"/>
    <w:multiLevelType w:val="hybridMultilevel"/>
    <w:lvl w:ilvl="0">
      <w:lvlJc w:val="left"/>
      <w:lvlText w:val="%1."/>
      <w:numFmt w:val="decimal"/>
      <w:start w:val="14"/>
    </w:lvl>
  </w:abstractNum>
  <w:abstractNum w:abstractNumId="92">
    <w:nsid w:val="5D888A08"/>
    <w:multiLevelType w:val="hybridMultilevel"/>
    <w:lvl w:ilvl="0">
      <w:lvlJc w:val="left"/>
      <w:lvlText w:val="%1."/>
      <w:numFmt w:val="lowerLetter"/>
      <w:start w:val="1"/>
    </w:lvl>
  </w:abstractNum>
  <w:abstractNum w:abstractNumId="93">
    <w:nsid w:val="2A082C70"/>
    <w:multiLevelType w:val="hybridMultilevel"/>
    <w:lvl w:ilvl="0">
      <w:lvlJc w:val="left"/>
      <w:lvlText w:val="%1."/>
      <w:numFmt w:val="lowerLetter"/>
      <w:start w:val="7"/>
    </w:lvl>
  </w:abstractNum>
  <w:abstractNum w:abstractNumId="94">
    <w:nsid w:val="5EC6AFD4"/>
    <w:multiLevelType w:val="hybridMultilevel"/>
    <w:lvl w:ilvl="0">
      <w:lvlJc w:val="left"/>
      <w:lvlText w:val="(%1)"/>
      <w:numFmt w:val="lowerLetter"/>
      <w:start w:val="1"/>
    </w:lvl>
  </w:abstractNum>
  <w:abstractNum w:abstractNumId="95">
    <w:nsid w:val="19E21BB2"/>
    <w:multiLevelType w:val="hybridMultilevel"/>
    <w:lvl w:ilvl="0">
      <w:lvlJc w:val="left"/>
      <w:lvlText w:val="(%1)"/>
      <w:numFmt w:val="lowerLetter"/>
      <w:start w:val="1"/>
    </w:lvl>
  </w:abstractNum>
  <w:abstractNum w:abstractNumId="96">
    <w:nsid w:val="75E0858A"/>
    <w:multiLevelType w:val="hybridMultilevel"/>
    <w:lvl w:ilvl="0">
      <w:lvlJc w:val="left"/>
      <w:lvlText w:val="(%1)"/>
      <w:numFmt w:val="lowerRoman"/>
      <w:start w:val="1"/>
    </w:lvl>
  </w:abstractNum>
  <w:abstractNum w:abstractNumId="97">
    <w:nsid w:val="57A61A29"/>
    <w:multiLevelType w:val="hybridMultilevel"/>
    <w:lvl w:ilvl="0">
      <w:lvlJc w:val="left"/>
      <w:lvlText w:val=","/>
      <w:numFmt w:val="bullet"/>
      <w:start w:val="1"/>
    </w:lvl>
    <w:lvl w:ilvl="1">
      <w:lvlJc w:val="left"/>
      <w:lvlText w:val="(%2)"/>
      <w:numFmt w:val="lowerLetter"/>
      <w:start w:val="1"/>
    </w:lvl>
  </w:abstractNum>
  <w:abstractNum w:abstractNumId="98">
    <w:nsid w:val="5399C654"/>
    <w:multiLevelType w:val="hybridMultilevel"/>
    <w:lvl w:ilvl="0">
      <w:lvlJc w:val="left"/>
      <w:lvlText w:val="(%1)"/>
      <w:numFmt w:val="lowerLetter"/>
      <w:start w:val="3"/>
    </w:lvl>
  </w:abstractNum>
  <w:abstractNum w:abstractNumId="99">
    <w:nsid w:val="20EE1348"/>
    <w:multiLevelType w:val="hybridMultilevel"/>
    <w:lvl w:ilvl="0">
      <w:lvlJc w:val="left"/>
      <w:lvlText w:val="(%1)"/>
      <w:numFmt w:val="lowerLetter"/>
      <w:start w:val="1"/>
    </w:lvl>
  </w:abstractNum>
  <w:abstractNum w:abstractNumId="100">
    <w:nsid w:val="4427069A"/>
    <w:multiLevelType w:val="hybridMultilevel"/>
    <w:lvl w:ilvl="0">
      <w:lvlJc w:val="left"/>
      <w:lvlText w:val="(%1)"/>
      <w:numFmt w:val="lowerLetter"/>
      <w:start w:val="3"/>
    </w:lvl>
  </w:abstractNum>
  <w:abstractNum w:abstractNumId="101">
    <w:nsid w:val="B37E80A"/>
    <w:multiLevelType w:val="hybridMultilevel"/>
    <w:lvl w:ilvl="0">
      <w:lvlJc w:val="left"/>
      <w:lvlText w:val="(%1)"/>
      <w:numFmt w:val="lowerLetter"/>
      <w:start w:val="1"/>
    </w:lvl>
  </w:abstractNum>
  <w:abstractNum w:abstractNumId="102">
    <w:nsid w:val="2157F6BC"/>
    <w:multiLevelType w:val="hybridMultilevel"/>
    <w:lvl w:ilvl="0">
      <w:lvlJc w:val="left"/>
      <w:lvlText w:val="(%1)"/>
      <w:numFmt w:val="lowerLetter"/>
      <w:start w:val="1"/>
    </w:lvl>
  </w:abstractNum>
  <w:abstractNum w:abstractNumId="103">
    <w:nsid w:val="704E1DD5"/>
    <w:multiLevelType w:val="hybridMultilevel"/>
    <w:lvl w:ilvl="0">
      <w:lvlJc w:val="left"/>
      <w:lvlText w:val="(%1)"/>
      <w:numFmt w:val="lowerLetter"/>
      <w:start w:val="1"/>
    </w:lvl>
  </w:abstractNum>
  <w:abstractNum w:abstractNumId="104">
    <w:nsid w:val="57D2F10E"/>
    <w:multiLevelType w:val="hybridMultilevel"/>
    <w:lvl w:ilvl="0">
      <w:lvlJc w:val="left"/>
      <w:lvlText w:val="(%1)"/>
      <w:numFmt w:val="lowerLetter"/>
      <w:start w:val="3"/>
    </w:lvl>
  </w:abstractNum>
  <w:abstractNum w:abstractNumId="105">
    <w:nsid w:val="BFFAE18"/>
    <w:multiLevelType w:val="hybridMultilevel"/>
    <w:lvl w:ilvl="0">
      <w:lvlJc w:val="left"/>
      <w:lvlText w:val="%1."/>
      <w:numFmt w:val="decimal"/>
      <w:start w:val="1"/>
    </w:lvl>
  </w:abstractNum>
  <w:abstractNum w:abstractNumId="106">
    <w:nsid w:val="E3E47A8"/>
    <w:multiLevelType w:val="hybridMultilevel"/>
    <w:lvl w:ilvl="0">
      <w:lvlJc w:val="left"/>
      <w:lvlText w:val="%1."/>
      <w:numFmt w:val="decimal"/>
      <w:start w:val="3"/>
    </w:lvl>
  </w:abstractNum>
  <w:abstractNum w:abstractNumId="107">
    <w:nsid w:val="2E48F044"/>
    <w:multiLevelType w:val="hybridMultilevel"/>
    <w:lvl w:ilvl="0">
      <w:lvlJc w:val="left"/>
      <w:lvlText w:val="(%1)"/>
      <w:numFmt w:val="lowerLetter"/>
      <w:start w:val="1"/>
    </w:lvl>
    <w:lvl w:ilvl="1">
      <w:lvlJc w:val="left"/>
      <w:lvlText w:val="(%2)"/>
      <w:numFmt w:val="lowerLetter"/>
      <w:start w:val="9"/>
    </w:lvl>
  </w:abstractNum>
  <w:abstractNum w:abstractNumId="108">
    <w:nsid w:val="49D0FEAC"/>
    <w:multiLevelType w:val="hybridMultilevel"/>
    <w:lvl w:ilvl="0">
      <w:lvlJc w:val="left"/>
      <w:lvlText w:val="(%1)"/>
      <w:numFmt w:val="lowerLetter"/>
      <w:start w:val="10"/>
    </w:lvl>
  </w:abstractNum>
  <w:abstractNum w:abstractNumId="109">
    <w:nsid w:val="4BEE5A5B"/>
    <w:multiLevelType w:val="hybridMultilevel"/>
    <w:lvl w:ilvl="0">
      <w:lvlJc w:val="left"/>
      <w:lvlText w:val="(%1)"/>
      <w:numFmt w:val="lowerLetter"/>
      <w:start w:val="1"/>
    </w:lvl>
  </w:abstractNum>
  <w:abstractNum w:abstractNumId="110">
    <w:nsid w:val="5551B9F3"/>
    <w:multiLevelType w:val="hybridMultilevel"/>
    <w:lvl w:ilvl="0">
      <w:lvlJc w:val="left"/>
      <w:lvlText w:val="(%1)"/>
      <w:numFmt w:val="lowerLetter"/>
      <w:start w:val="1"/>
    </w:lvl>
  </w:abstractNum>
  <w:abstractNum w:abstractNumId="111">
    <w:nsid w:val="24F6AB8E"/>
    <w:multiLevelType w:val="hybridMultilevel"/>
    <w:lvl w:ilvl="0">
      <w:lvlJc w:val="left"/>
      <w:lvlText w:val="(%1)"/>
      <w:numFmt w:val="lowerLetter"/>
      <w:start w:val="2"/>
    </w:lvl>
  </w:abstractNum>
  <w:abstractNum w:abstractNumId="112">
    <w:nsid w:val="634C574C"/>
    <w:multiLevelType w:val="hybridMultilevel"/>
    <w:lvl w:ilvl="0">
      <w:lvlJc w:val="left"/>
      <w:lvlText w:val="(%1)"/>
      <w:numFmt w:val="lowerLetter"/>
      <w:start w:val="3"/>
    </w:lvl>
  </w:abstractNum>
  <w:abstractNum w:abstractNumId="113">
    <w:nsid w:val="24E99DD7"/>
    <w:multiLevelType w:val="hybridMultilevel"/>
    <w:lvl w:ilvl="0">
      <w:lvlJc w:val="left"/>
      <w:lvlText w:val="(%1)"/>
      <w:numFmt w:val="lowerLetter"/>
      <w:start w:val="6"/>
    </w:lvl>
  </w:abstractNum>
  <w:abstractNum w:abstractNumId="114">
    <w:nsid w:val="2A31B62D"/>
    <w:multiLevelType w:val="hybridMultilevel"/>
    <w:lvl w:ilvl="0">
      <w:lvlJc w:val="left"/>
      <w:lvlText w:val="%1"/>
      <w:numFmt w:val="lowerLetter"/>
      <w:start w:val="1"/>
    </w:lvl>
    <w:lvl w:ilvl="1">
      <w:lvlJc w:val="left"/>
      <w:lvlText w:val="(%2)"/>
      <w:numFmt w:val="lowerLetter"/>
      <w:start w:val="1"/>
    </w:lvl>
  </w:abstractNum>
  <w:abstractNum w:abstractNumId="115">
    <w:nsid w:val="1849C29B"/>
    <w:multiLevelType w:val="hybridMultilevel"/>
    <w:lvl w:ilvl="0">
      <w:lvlJc w:val="left"/>
      <w:lvlText w:val="(%1)"/>
      <w:numFmt w:val="lowerLetter"/>
      <w:start w:val="9"/>
    </w:lvl>
    <w:lvl w:ilvl="1">
      <w:lvlJc w:val="left"/>
      <w:lvlText w:val="%2"/>
      <w:numFmt w:val="lowerLetter"/>
      <w:start w:val="1"/>
    </w:lvl>
  </w:abstractNum>
  <w:abstractNum w:abstractNumId="116">
    <w:nsid w:val="7DFF9D09"/>
    <w:multiLevelType w:val="hybridMultilevel"/>
    <w:lvl w:ilvl="0">
      <w:lvlJc w:val="left"/>
      <w:lvlText w:val="(%1)"/>
      <w:numFmt w:val="lowerLetter"/>
      <w:start w:val="61"/>
    </w:lvl>
    <w:lvl w:ilvl="1">
      <w:lvlJc w:val="left"/>
      <w:lvlText w:val="(%2)"/>
      <w:numFmt w:val="lowerLetter"/>
      <w:start w:val="2"/>
    </w:lvl>
  </w:abstractNum>
  <w:abstractNum w:abstractNumId="117">
    <w:nsid w:val="754342"/>
    <w:multiLevelType w:val="hybridMultilevel"/>
    <w:lvl w:ilvl="0">
      <w:lvlJc w:val="left"/>
      <w:lvlText w:val="(%1)"/>
      <w:numFmt w:val="lowerLetter"/>
      <w:start w:val="3"/>
    </w:lvl>
  </w:abstractNum>
  <w:abstractNum w:abstractNumId="118">
    <w:nsid w:val="69E7F3E5"/>
    <w:multiLevelType w:val="hybridMultilevel"/>
    <w:lvl w:ilvl="0">
      <w:lvlJc w:val="left"/>
      <w:lvlText w:val="(%1)"/>
      <w:numFmt w:val="lowerLetter"/>
      <w:start w:val="8"/>
    </w:lvl>
  </w:abstractNum>
  <w:abstractNum w:abstractNumId="119">
    <w:nsid w:val="2A6DE806"/>
    <w:multiLevelType w:val="hybridMultilevel"/>
    <w:lvl w:ilvl="0">
      <w:lvlJc w:val="left"/>
      <w:lvlText w:val="(%1)"/>
      <w:numFmt w:val="lowerLetter"/>
      <w:start w:val="1"/>
    </w:lvl>
  </w:abstractNum>
  <w:abstractNum w:abstractNumId="120">
    <w:nsid w:val="1816F8C4"/>
    <w:multiLevelType w:val="hybridMultilevel"/>
    <w:lvl w:ilvl="0">
      <w:lvlJc w:val="left"/>
      <w:lvlText w:val="(%1)"/>
      <w:numFmt w:val="lowerLetter"/>
      <w:start w:val="1"/>
    </w:lvl>
  </w:abstractNum>
  <w:abstractNum w:abstractNumId="121">
    <w:nsid w:val="37DF2233"/>
    <w:multiLevelType w:val="hybridMultilevel"/>
    <w:lvl w:ilvl="0">
      <w:lvlJc w:val="left"/>
      <w:lvlText w:val="(%1)"/>
      <w:numFmt w:val="lowerLetter"/>
      <w:start w:val="3"/>
    </w:lvl>
  </w:abstractNum>
  <w:abstractNum w:abstractNumId="122">
    <w:nsid w:val="7AB49DAF"/>
    <w:multiLevelType w:val="hybridMultilevel"/>
    <w:lvl w:ilvl="0">
      <w:lvlJc w:val="left"/>
      <w:lvlText w:val="(%1)"/>
      <w:numFmt w:val="lowerRoman"/>
      <w:start w:val="2"/>
    </w:lvl>
  </w:abstractNum>
  <w:abstractNum w:abstractNumId="123">
    <w:nsid w:val="759F82CD"/>
    <w:multiLevelType w:val="hybridMultilevel"/>
    <w:lvl w:ilvl="0">
      <w:lvlJc w:val="left"/>
      <w:lvlText w:val="(%1)"/>
      <w:numFmt w:val="lowerRoman"/>
      <w:start w:val="5"/>
    </w:lvl>
  </w:abstractNum>
  <w:abstractNum w:abstractNumId="124">
    <w:nsid w:val="61E74EA3"/>
    <w:multiLevelType w:val="hybridMultilevel"/>
    <w:lvl w:ilvl="0">
      <w:lvlJc w:val="left"/>
      <w:lvlText w:val="(%1)"/>
      <w:numFmt w:val="lowerLetter"/>
      <w:start w:val="1"/>
    </w:lvl>
  </w:abstractNum>
  <w:abstractNum w:abstractNumId="125">
    <w:nsid w:val="597B4D84"/>
    <w:multiLevelType w:val="hybridMultilevel"/>
    <w:lvl w:ilvl="0">
      <w:lvlJc w:val="left"/>
      <w:lvlText w:val="%1."/>
      <w:numFmt w:val="decimal"/>
      <w:start w:val="1"/>
    </w:lvl>
  </w:abstractNum>
  <w:abstractNum w:abstractNumId="126">
    <w:nsid w:val="F819E7F"/>
    <w:multiLevelType w:val="hybridMultilevel"/>
    <w:lvl w:ilvl="0">
      <w:lvlJc w:val="left"/>
      <w:lvlText w:val="%1."/>
      <w:numFmt w:val="decimal"/>
      <w:start w:val="3"/>
    </w:lvl>
    <w:lvl w:ilvl="1">
      <w:lvlJc w:val="left"/>
      <w:lvlText w:val="%2."/>
      <w:numFmt w:val="decimal"/>
      <w:start w:val="6"/>
    </w:lvl>
  </w:abstractNum>
  <w:abstractNum w:abstractNumId="127">
    <w:nsid w:val="57C7D42D"/>
    <w:multiLevelType w:val="hybridMultilevel"/>
    <w:lvl w:ilvl="0">
      <w:lvlJc w:val="left"/>
      <w:lvlText w:val="%1."/>
      <w:numFmt w:val="decimal"/>
      <w:start w:val="7"/>
    </w:lvl>
  </w:abstractNum>
  <w:abstractNum w:abstractNumId="128">
    <w:nsid w:val="312167AD"/>
    <w:multiLevelType w:val="hybridMultilevel"/>
    <w:lvl w:ilvl="0">
      <w:lvlJc w:val="left"/>
      <w:lvlText w:val="(%1)"/>
      <w:numFmt w:val="lowerLetter"/>
      <w:start w:val="1"/>
    </w:lvl>
    <w:lvl w:ilvl="1">
      <w:lvlJc w:val="left"/>
      <w:lvlText w:val="(%2)"/>
      <w:numFmt w:val="lowerLetter"/>
      <w:start w:val="9"/>
    </w:lvl>
  </w:abstractNum>
  <w:abstractNum w:abstractNumId="129">
    <w:nsid w:val="631B64D4"/>
    <w:multiLevelType w:val="hybridMultilevel"/>
    <w:lvl w:ilvl="0">
      <w:lvlJc w:val="left"/>
      <w:lvlText w:val="(%1)"/>
      <w:numFmt w:val="lowerLetter"/>
      <w:start w:val="10"/>
    </w:lvl>
  </w:abstractNum>
  <w:abstractNum w:abstractNumId="130">
    <w:nsid w:val="78B5E776"/>
    <w:multiLevelType w:val="hybridMultilevel"/>
    <w:lvl w:ilvl="0">
      <w:lvlJc w:val="left"/>
      <w:lvlText w:val="(%1)"/>
      <w:numFmt w:val="lowerLetter"/>
      <w:start w:val="1"/>
    </w:lvl>
  </w:abstractNum>
  <w:abstractNum w:abstractNumId="131">
    <w:nsid w:val="75486E47"/>
    <w:multiLevelType w:val="hybridMultilevel"/>
    <w:lvl w:ilvl="0">
      <w:lvlJc w:val="left"/>
      <w:lvlText w:val="(%1)"/>
      <w:numFmt w:val="lowerLetter"/>
      <w:start w:val="1"/>
    </w:lvl>
  </w:abstractNum>
  <w:abstractNum w:abstractNumId="132">
    <w:nsid w:val="6E534CDE"/>
    <w:multiLevelType w:val="hybridMultilevel"/>
    <w:lvl w:ilvl="0">
      <w:lvlJc w:val="left"/>
      <w:lvlText w:val="(%1)"/>
      <w:numFmt w:val="lowerLetter"/>
      <w:start w:val="2"/>
    </w:lvl>
  </w:abstractNum>
  <w:abstractNum w:abstractNumId="133">
    <w:nsid w:val="1A0DDE32"/>
    <w:multiLevelType w:val="hybridMultilevel"/>
    <w:lvl w:ilvl="0">
      <w:lvlJc w:val="left"/>
      <w:lvlText w:val="(%1)"/>
      <w:numFmt w:val="lowerLetter"/>
      <w:start w:val="8"/>
    </w:lvl>
  </w:abstractNum>
  <w:abstractNum w:abstractNumId="134">
    <w:nsid w:val="65968C1C"/>
    <w:multiLevelType w:val="hybridMultilevel"/>
    <w:lvl w:ilvl="0">
      <w:lvlJc w:val="left"/>
      <w:lvlText w:val="%1"/>
      <w:numFmt w:val="lowerLetter"/>
      <w:start w:val="1"/>
    </w:lvl>
    <w:lvl w:ilvl="1">
      <w:lvlJc w:val="left"/>
      <w:lvlText w:val="(%2)"/>
      <w:numFmt w:val="lowerLetter"/>
      <w:start w:val="1"/>
    </w:lvl>
  </w:abstractNum>
  <w:abstractNum w:abstractNumId="135">
    <w:nsid w:val="46263DEC"/>
    <w:multiLevelType w:val="hybridMultilevel"/>
    <w:lvl w:ilvl="0">
      <w:lvlJc w:val="left"/>
      <w:lvlText w:val="(%1)"/>
      <w:numFmt w:val="lowerLetter"/>
      <w:start w:val="9"/>
    </w:lvl>
    <w:lvl w:ilvl="1">
      <w:lvlJc w:val="left"/>
      <w:lvlText w:val="%2"/>
      <w:numFmt w:val="lowerLetter"/>
      <w:start w:val="1"/>
    </w:lvl>
  </w:abstractNum>
  <w:abstractNum w:abstractNumId="136">
    <w:nsid w:val="260D8C4A"/>
    <w:multiLevelType w:val="hybridMultilevel"/>
    <w:lvl w:ilvl="0">
      <w:lvlJc w:val="left"/>
      <w:lvlText w:val="(%1)"/>
      <w:numFmt w:val="lowerLetter"/>
      <w:start w:val="61"/>
    </w:lvl>
    <w:lvl w:ilvl="1">
      <w:lvlJc w:val="left"/>
      <w:lvlText w:val="(%2)"/>
      <w:numFmt w:val="lowerLetter"/>
      <w:start w:val="2"/>
    </w:lvl>
  </w:abstractNum>
  <w:abstractNum w:abstractNumId="137">
    <w:nsid w:val="73D4D3C4"/>
    <w:multiLevelType w:val="hybridMultilevel"/>
    <w:lvl w:ilvl="0">
      <w:lvlJc w:val="left"/>
      <w:lvlText w:val="(%1)"/>
      <w:numFmt w:val="lowerLetter"/>
      <w:start w:val="3"/>
    </w:lvl>
  </w:abstractNum>
  <w:abstractNum w:abstractNumId="138">
    <w:nsid w:val="746F2E30"/>
    <w:multiLevelType w:val="hybridMultilevel"/>
    <w:lvl w:ilvl="0">
      <w:lvlJc w:val="left"/>
      <w:lvlText w:val="(%1)"/>
      <w:numFmt w:val="lowerLetter"/>
      <w:start w:val="1"/>
    </w:lvl>
  </w:abstractNum>
  <w:abstractNum w:abstractNumId="139">
    <w:nsid w:val="6FDE8AF6"/>
    <w:multiLevelType w:val="hybridMultilevel"/>
    <w:lvl w:ilvl="0">
      <w:lvlJc w:val="left"/>
      <w:lvlText w:val="(%1)"/>
      <w:numFmt w:val="lowerLetter"/>
      <w:start w:val="3"/>
    </w:lvl>
  </w:abstractNum>
  <w:abstractNum w:abstractNumId="140">
    <w:nsid w:val="3FC32E20"/>
    <w:multiLevelType w:val="hybridMultilevel"/>
    <w:lvl w:ilvl="0">
      <w:lvlJc w:val="left"/>
      <w:lvlText w:val="(%1)"/>
      <w:numFmt w:val="lowerLetter"/>
      <w:start w:val="1"/>
    </w:lvl>
  </w:abstractNum>
  <w:abstractNum w:abstractNumId="141">
    <w:nsid w:val="49C0E823"/>
    <w:multiLevelType w:val="hybridMultilevel"/>
    <w:lvl w:ilvl="0">
      <w:lvlJc w:val="left"/>
      <w:lvlText w:val="(%1)"/>
      <w:numFmt w:val="lowerLetter"/>
      <w:start w:val="1"/>
    </w:lvl>
  </w:abstractNum>
  <w:abstractNum w:abstractNumId="142">
    <w:nsid w:val="14D53685"/>
    <w:multiLevelType w:val="hybridMultilevel"/>
    <w:lvl w:ilvl="0">
      <w:lvlJc w:val="left"/>
      <w:lvlText w:val="%1."/>
      <w:numFmt w:val="decimal"/>
      <w:start w:val="1"/>
    </w:lvl>
  </w:abstractNum>
  <w:abstractNum w:abstractNumId="143">
    <w:nsid w:val="230F856C"/>
    <w:multiLevelType w:val="hybridMultilevel"/>
    <w:lvl w:ilvl="0">
      <w:lvlJc w:val="left"/>
      <w:lvlText w:val="%1."/>
      <w:numFmt w:val="decimal"/>
      <w:start w:val="3"/>
    </w:lvl>
  </w:abstractNum>
  <w:abstractNum w:abstractNumId="144">
    <w:nsid w:val="6EAA85FB"/>
    <w:multiLevelType w:val="hybridMultilevel"/>
    <w:lvl w:ilvl="0">
      <w:lvlJc w:val="left"/>
      <w:lvlText w:val="(%1)"/>
      <w:numFmt w:val="lowerLetter"/>
      <w:start w:val="1"/>
    </w:lvl>
  </w:abstractNum>
  <w:abstractNum w:abstractNumId="145">
    <w:nsid w:val="3F06ECB2"/>
    <w:multiLevelType w:val="hybridMultilevel"/>
    <w:lvl w:ilvl="0">
      <w:lvlJc w:val="left"/>
      <w:lvlText w:val="(%1)"/>
      <w:numFmt w:val="lowerLetter"/>
      <w:start w:val="10"/>
    </w:lvl>
  </w:abstractNum>
  <w:abstractNum w:abstractNumId="146">
    <w:nsid w:val="3B594807"/>
    <w:multiLevelType w:val="hybridMultilevel"/>
    <w:lvl w:ilvl="0">
      <w:lvlJc w:val="left"/>
      <w:lvlText w:val="(%1)"/>
      <w:numFmt w:val="lowerLetter"/>
      <w:start w:val="1"/>
    </w:lvl>
  </w:abstractNum>
  <w:abstractNum w:abstractNumId="147">
    <w:nsid w:val="6CAA2304"/>
    <w:multiLevelType w:val="hybridMultilevel"/>
    <w:lvl w:ilvl="0">
      <w:lvlJc w:val="left"/>
      <w:lvlText w:val="(%1)"/>
      <w:numFmt w:val="lowerLetter"/>
      <w:start w:val="1"/>
    </w:lvl>
  </w:abstractNum>
  <w:abstractNum w:abstractNumId="148">
    <w:nsid w:val="3F7C2FF4"/>
    <w:multiLevelType w:val="hybridMultilevel"/>
    <w:lvl w:ilvl="0">
      <w:lvlJc w:val="left"/>
      <w:lvlText w:val="(%1)"/>
      <w:numFmt w:val="lowerLetter"/>
      <w:start w:val="2"/>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1)"/>
      <w:numFmt w:val="lowerLetter"/>
      <w:start w:val="3"/>
    </w:lvl>
  </w:abstractNum>
  <w:abstractNum w:abstractNumId="151">
    <w:nsid w:val="579328B9"/>
    <w:multiLevelType w:val="hybridMultilevel"/>
    <w:lvl w:ilvl="0">
      <w:lvlJc w:val="left"/>
      <w:lvlText w:val="(%1)"/>
      <w:numFmt w:val="lowerLetter"/>
      <w:start w:val="4"/>
    </w:lvl>
  </w:abstractNum>
  <w:abstractNum w:abstractNumId="152">
    <w:nsid w:val="5D205E20"/>
    <w:multiLevelType w:val="hybridMultilevel"/>
    <w:lvl w:ilvl="0">
      <w:lvlJc w:val="left"/>
      <w:lvlText w:val="(%1)"/>
      <w:numFmt w:val="lowerLetter"/>
      <w:start w:val="6"/>
    </w:lvl>
  </w:abstractNum>
  <w:abstractNum w:abstractNumId="153">
    <w:nsid w:val="11CCA8BA"/>
    <w:multiLevelType w:val="hybridMultilevel"/>
    <w:lvl w:ilvl="0">
      <w:lvlJc w:val="left"/>
      <w:lvlText w:val="(%1)"/>
      <w:numFmt w:val="lowerLetter"/>
      <w:start w:val="1"/>
    </w:lvl>
  </w:abstractNum>
  <w:abstractNum w:abstractNumId="154">
    <w:nsid w:val="4D32AB86"/>
    <w:multiLevelType w:val="hybridMultilevel"/>
    <w:lvl w:ilvl="0">
      <w:lvlJc w:val="left"/>
      <w:lvlText w:val="(%1)"/>
      <w:numFmt w:val="lowerLetter"/>
      <w:start w:val="3"/>
    </w:lvl>
  </w:abstractNum>
  <w:abstractNum w:abstractNumId="155">
    <w:nsid w:val="3F07ACC3"/>
    <w:multiLevelType w:val="hybridMultilevel"/>
    <w:lvl w:ilvl="0">
      <w:lvlJc w:val="left"/>
      <w:lvlText w:val="(%1)"/>
      <w:numFmt w:val="lowerLetter"/>
      <w:start w:val="1"/>
    </w:lvl>
  </w:abstractNum>
  <w:abstractNum w:abstractNumId="156">
    <w:nsid w:val="6B47F63E"/>
    <w:multiLevelType w:val="hybridMultilevel"/>
    <w:lvl w:ilvl="0">
      <w:lvlJc w:val="left"/>
      <w:lvlText w:val="(%1)"/>
      <w:numFmt w:val="lowerLetter"/>
      <w:start w:val="2"/>
    </w:lvl>
  </w:abstractNum>
  <w:abstractNum w:abstractNumId="157">
    <w:nsid w:val="5CB44A05"/>
    <w:multiLevelType w:val="hybridMultilevel"/>
    <w:lvl w:ilvl="0">
      <w:lvlJc w:val="left"/>
      <w:lvlText w:val="(%1)"/>
      <w:numFmt w:val="lowerRoman"/>
      <w:start w:val="4"/>
    </w:lvl>
  </w:abstractNum>
  <w:abstractNum w:abstractNumId="158">
    <w:nsid w:val="16CF80F1"/>
    <w:multiLevelType w:val="hybridMultilevel"/>
    <w:lvl w:ilvl="0">
      <w:lvlJc w:val="left"/>
      <w:lvlText w:val="(%1)"/>
      <w:numFmt w:val="lowerLetter"/>
      <w:start w:val="1"/>
    </w:lvl>
  </w:abstractNum>
  <w:abstractNum w:abstractNumId="159">
    <w:nsid w:val="1C695DEC"/>
    <w:multiLevelType w:val="hybridMultilevel"/>
    <w:lvl w:ilvl="0">
      <w:lvlJc w:val="left"/>
      <w:lvlText w:val="%1."/>
      <w:numFmt w:val="decimal"/>
      <w:start w:val="1"/>
    </w:lvl>
  </w:abstractNum>
  <w:abstractNum w:abstractNumId="160">
    <w:nsid w:val="3FCFAED9"/>
    <w:multiLevelType w:val="hybridMultilevel"/>
    <w:lvl w:ilvl="0">
      <w:lvlJc w:val="left"/>
      <w:lvlText w:val="%1."/>
      <w:numFmt w:val="decimal"/>
      <w:start w:val="5"/>
    </w:lvl>
  </w:abstractNum>
  <w:abstractNum w:abstractNumId="161">
    <w:nsid w:val="F856867"/>
    <w:multiLevelType w:val="hybridMultilevel"/>
    <w:lvl w:ilvl="0">
      <w:lvlJc w:val="left"/>
      <w:lvlText w:val="(%1)"/>
      <w:numFmt w:val="lowerLetter"/>
      <w:start w:val="1"/>
    </w:lvl>
  </w:abstractNum>
  <w:abstractNum w:abstractNumId="162">
    <w:nsid w:val="11B1CC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63">
    <w:nsid w:val="2E22FB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2019-12-09T14:02:16Z</dcterms:created>
  <dcterms:modified xsi:type="dcterms:W3CDTF">2019-12-09T14:02:16Z</dcterms:modified>
</cp:coreProperties>
</file>