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4"/>
          <w:szCs w:val="24"/>
          <w:color w:val="auto"/>
        </w:rPr>
      </w:pPr>
    </w:p>
    <w:p>
      <w:pPr>
        <w:ind w:left="380" w:right="179" w:hanging="330"/>
        <w:spacing w:after="0" w:line="284" w:lineRule="auto"/>
        <w:tabs>
          <w:tab w:leader="none" w:pos="39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2022</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86" w:lineRule="exact"/>
        <w:rPr>
          <w:sz w:val="24"/>
          <w:szCs w:val="24"/>
          <w:color w:val="auto"/>
        </w:rPr>
      </w:pPr>
    </w:p>
    <w:p>
      <w:pPr>
        <w:ind w:left="360" w:right="599" w:hanging="310"/>
        <w:spacing w:after="0" w:line="302" w:lineRule="auto"/>
        <w:tabs>
          <w:tab w:leader="none" w:pos="38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Commission File Number: 001-37527</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XCEL BRANDS,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0"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52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color w:val="auto"/>
                <w:w w:val="98"/>
              </w:rPr>
              <w:t>Delaware</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76-0307819</w:t>
            </w:r>
          </w:p>
        </w:tc>
      </w:tr>
      <w:tr>
        <w:trPr>
          <w:trHeight w:val="191"/>
        </w:trPr>
        <w:tc>
          <w:tcPr>
            <w:tcW w:w="3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60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1333 Broadway, 10th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17145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(347) 727-2474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(Issuer’s Telephone Number, Including Area Code)</w:t>
      </w:r>
    </w:p>
    <w:p>
      <w:pPr>
        <w:spacing w:after="0" w:line="85"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5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2"/>
        </w:trPr>
        <w:tc>
          <w:tcPr>
            <w:tcW w:w="2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200" w:type="dxa"/>
            <w:vAlign w:val="bottom"/>
          </w:tcPr>
          <w:p>
            <w:pPr>
              <w:spacing w:after="0"/>
              <w:rPr>
                <w:sz w:val="15"/>
                <w:szCs w:val="15"/>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XELB</w:t>
            </w:r>
          </w:p>
        </w:tc>
        <w:tc>
          <w:tcPr>
            <w:tcW w:w="180" w:type="dxa"/>
            <w:vAlign w:val="bottom"/>
          </w:tcPr>
          <w:p>
            <w:pPr>
              <w:spacing w:after="0"/>
              <w:rPr>
                <w:sz w:val="15"/>
                <w:szCs w:val="15"/>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36" w:lineRule="exact"/>
        <w:rPr>
          <w:sz w:val="24"/>
          <w:szCs w:val="24"/>
          <w:color w:val="auto"/>
        </w:rPr>
      </w:pPr>
    </w:p>
    <w:p>
      <w:pPr>
        <w:jc w:val="both"/>
        <w:ind w:left="60" w:right="5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left="60" w:right="59"/>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8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120" w:type="dxa"/>
            <w:vAlign w:val="bottom"/>
          </w:tcPr>
          <w:p>
            <w:pPr>
              <w:ind w:left="10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3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56" w:lineRule="exact"/>
        <w:rPr>
          <w:sz w:val="24"/>
          <w:szCs w:val="24"/>
          <w:color w:val="auto"/>
        </w:rPr>
      </w:pPr>
    </w:p>
    <w:p>
      <w:pPr>
        <w:jc w:val="both"/>
        <w:ind w:left="60" w:right="5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jc w:val="both"/>
        <w:ind w:left="180" w:right="59" w:hanging="134"/>
        <w:spacing w:after="0" w:line="250" w:lineRule="exact"/>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April 30, 2022, there were 19,761,990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626110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68580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137160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03"/>
        </w:trPr>
        <w:tc>
          <w:tcPr>
            <w:tcW w:w="29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PART I - FINANCIAL INFORMATION</w:t>
            </w:r>
          </w:p>
        </w:tc>
        <w:tc>
          <w:tcPr>
            <w:tcW w:w="52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Balance Sheets</w:t>
            </w:r>
          </w:p>
        </w:tc>
        <w:tc>
          <w:tcPr>
            <w:tcW w:w="37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Operations</w:t>
            </w:r>
          </w:p>
        </w:tc>
        <w:tc>
          <w:tcPr>
            <w:tcW w:w="30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Stockholders’ Equity</w:t>
            </w:r>
          </w:p>
        </w:tc>
        <w:tc>
          <w:tcPr>
            <w:tcW w:w="22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Cash Flows</w:t>
            </w:r>
          </w:p>
        </w:tc>
        <w:tc>
          <w:tcPr>
            <w:tcW w:w="294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6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9"/>
        </w:trPr>
        <w:tc>
          <w:tcPr>
            <w:tcW w:w="7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8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60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8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14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79" w:firstLine="2922"/>
        <w:spacing w:after="0" w:line="391" w:lineRule="auto"/>
        <w:rPr>
          <w:sz w:val="20"/>
          <w:szCs w:val="20"/>
          <w:color w:val="auto"/>
        </w:rPr>
      </w:pPr>
      <w:r>
        <w:rPr>
          <w:rFonts w:ascii="Times New Roman" w:cs="Times New Roman" w:eastAsia="Times New Roman" w:hAnsi="Times New Roman"/>
          <w:sz w:val="18"/>
          <w:szCs w:val="18"/>
          <w:b w:val="1"/>
          <w:bCs w:val="1"/>
          <w:color w:val="auto"/>
        </w:rPr>
        <w:t>PART I. FINANCIAL INFORMATION ITEM 1.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(Note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40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of $1,090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8,676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17,160</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6,097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Trademarks and other intangibles, net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96,775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98,304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 assets, net</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non-current assets</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106,549</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108,602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123,709</w:t>
            </w:r>
          </w:p>
        </w:tc>
        <w:tc>
          <w:tcPr>
            <w:tcW w:w="40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4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7,855</w:t>
            </w:r>
          </w:p>
        </w:tc>
        <w:tc>
          <w:tcPr>
            <w:tcW w:w="40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payroll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12,963</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portion of operating lease obligations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debt, net, less current portion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24,998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Contingent obligations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long-term liabilities</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39,513</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40,322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52,476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50,839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Preferred stock, $.001 par value, 1,000,000 shares authorized, none issued and outstanding</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$.001 par value, 50,000,000 shares authorized, and 19,571,119 shares issued and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outstanding at March 31, 2022 and December 31, 2021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Paid-in capital</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103,069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(32,266)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(28,779)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Xcel Brands, Inc. stockholders' equity</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70,823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74,280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71,233</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74,942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4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123,709</w:t>
            </w:r>
          </w:p>
        </w:tc>
        <w:tc>
          <w:tcPr>
            <w:tcW w:w="40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125,781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420" w:right="2140"/>
        <w:spacing w:after="0" w:line="268" w:lineRule="auto"/>
        <w:rPr>
          <w:sz w:val="20"/>
          <w:szCs w:val="20"/>
          <w:color w:val="auto"/>
        </w:rPr>
      </w:pPr>
      <w:r>
        <w:rPr>
          <w:rFonts w:ascii="Times New Roman" w:cs="Times New Roman" w:eastAsia="Times New Roman" w:hAnsi="Times New Roman"/>
          <w:sz w:val="18"/>
          <w:szCs w:val="18"/>
          <w:b w:val="1"/>
          <w:bCs w:val="1"/>
          <w:color w:val="auto"/>
        </w:rPr>
        <w:t>Xcel Brands, Inc. and Subsidiaries Unaudited Condensed Consolidated Statements of Operations (in thousands, except share and per share data)</w:t>
      </w:r>
    </w:p>
    <w:p>
      <w:pPr>
        <w:spacing w:after="0" w:line="60"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licensing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Salaries, benefits and employment taxes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finance expense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 term loan debt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interest and finance charges (income), net</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interest and finance expense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(3,739)</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(3,739)</w:t>
            </w:r>
          </w:p>
        </w:tc>
        <w:tc>
          <w:tcPr>
            <w:tcW w:w="2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(2,628)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Xcel Brands, Inc.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(3,487)</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(2,547)</w:t>
            </w: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common share attributable to Xcel Brands, Inc. stockholders: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19,571,119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19,261,436</w:t>
            </w: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00" w:top="513" w:right="1439" w:bottom="1440" w:gutter="0" w:footer="0" w:header="0"/>
        </w:sectPr>
      </w:pPr>
    </w:p>
    <w:bookmarkStart w:id="4" w:name="page5"/>
    <w:bookmarkEnd w:id="4"/>
    <w:p>
      <w:pPr>
        <w:ind w:left="1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Xcel Brands, Inc. and Subsidiaries</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Unaudited Condensed Consolidated Statements of Stockholders’ Equity</w:t>
      </w: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w w:val="99"/>
              </w:rPr>
              <w:t>Xcel Brands, Inc. Stockholders</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20" w:type="dxa"/>
            <w:vAlign w:val="bottom"/>
            <w:tcBorders>
              <w:bottom w:val="single" w:sz="8" w:color="auto"/>
            </w:tcBorders>
            <w:gridSpan w:val="3"/>
          </w:tcPr>
          <w:p>
            <w:pPr>
              <w:jc w:val="right"/>
              <w:ind w:right="163"/>
              <w:spacing w:after="0" w:line="129"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40" w:type="dxa"/>
            <w:vAlign w:val="bottom"/>
          </w:tcPr>
          <w:p>
            <w:pPr>
              <w:spacing w:after="0"/>
              <w:rPr>
                <w:sz w:val="11"/>
                <w:szCs w:val="11"/>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Noncontrolling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8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2020</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19,260,862</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6"/>
              </w:rPr>
              <w:t>19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102,324</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(16,595)</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507</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86,255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Compensation expense related to stock options and restricted stock</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issued on exercise of stock options, net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1,667</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(2,547)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 2021</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19,262,529</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6"/>
              </w:rPr>
              <w:t>19</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102,493</w:t>
            </w: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(19,142)</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426</w:t>
            </w:r>
          </w:p>
        </w:tc>
        <w:tc>
          <w:tcPr>
            <w:tcW w:w="2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3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Balance as of December 31, 2021</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19,571,119</w:t>
            </w:r>
          </w:p>
        </w:tc>
        <w:tc>
          <w:tcPr>
            <w:tcW w:w="740" w:type="dxa"/>
            <w:vAlign w:val="bottom"/>
            <w:gridSpan w:val="2"/>
            <w:shd w:val="clear" w:color="auto" w:fill="CCEEFF"/>
          </w:tcPr>
          <w:p>
            <w:pPr>
              <w:jc w:val="right"/>
              <w:ind w:right="483"/>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76"/>
              </w:rPr>
              <w:t>20</w:t>
            </w:r>
          </w:p>
        </w:tc>
        <w:tc>
          <w:tcPr>
            <w:tcW w:w="26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103,039</w:t>
            </w:r>
          </w:p>
        </w:tc>
        <w:tc>
          <w:tcPr>
            <w:tcW w:w="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25"/>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(28,779)</w:t>
            </w:r>
          </w:p>
        </w:tc>
        <w:tc>
          <w:tcPr>
            <w:tcW w:w="28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662</w:t>
            </w:r>
          </w:p>
        </w:tc>
        <w:tc>
          <w:tcPr>
            <w:tcW w:w="340" w:type="dxa"/>
            <w:vAlign w:val="bottom"/>
            <w:gridSpan w:val="2"/>
            <w:shd w:val="clear" w:color="auto" w:fill="CCEEFF"/>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74,942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Compensation expense related to stock options and restricted stock</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(3,487)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(252)</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 as of March 31, 2022</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19,571,119</w:t>
            </w: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6"/>
              </w:rPr>
              <w:t>20</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103,069</w:t>
            </w: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(32,266)</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410</w:t>
            </w:r>
          </w:p>
        </w:tc>
        <w:tc>
          <w:tcPr>
            <w:tcW w:w="2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71,233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Xcel Brands, Inc.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Unaudited Condensed Consolidated Statements of Cash Flows</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2"/>
          </w:tcPr>
          <w:p>
            <w:pPr>
              <w:ind w:lef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(3,739)</w:t>
            </w:r>
          </w:p>
        </w:tc>
        <w:tc>
          <w:tcPr>
            <w:tcW w:w="480" w:type="dxa"/>
            <w:vAlign w:val="bottom"/>
            <w:gridSpan w:val="2"/>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finance costs included in interest expense</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 benefit</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and non-current assets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accrued payroll and other current liabilities</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Lease-related assets and liabilities</w:t>
            </w:r>
          </w:p>
        </w:tc>
        <w:tc>
          <w:tcPr>
            <w:tcW w:w="7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7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(891)</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7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7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Payment of long-term debt</w:t>
            </w:r>
          </w:p>
        </w:tc>
        <w:tc>
          <w:tcPr>
            <w:tcW w:w="7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(625)</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7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(625)</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7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5,222</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000" w:type="dxa"/>
            <w:vAlign w:val="bottom"/>
            <w:gridSpan w:val="2"/>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3,671</w:t>
            </w:r>
          </w:p>
        </w:tc>
        <w:tc>
          <w:tcPr>
            <w:tcW w:w="480" w:type="dxa"/>
            <w:vAlign w:val="bottom"/>
            <w:gridSpan w:val="2"/>
            <w:shd w:val="clear" w:color="auto" w:fill="CCEEFF"/>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to amounts on condensed consolidated balance sheets:</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0" w:type="dxa"/>
            <w:vAlign w:val="bottom"/>
            <w:gridSpan w:val="2"/>
          </w:tcPr>
          <w:p>
            <w:pPr>
              <w:ind w:lef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480" w:type="dxa"/>
            <w:vAlign w:val="bottom"/>
            <w:gridSpan w:val="2"/>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7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7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3,671</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4,078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Liability for equity-based bonuses and other equity-based payments</w:t>
            </w:r>
          </w:p>
        </w:tc>
        <w:tc>
          <w:tcPr>
            <w:tcW w:w="1000" w:type="dxa"/>
            <w:vAlign w:val="bottom"/>
            <w:gridSpan w:val="2"/>
            <w:shd w:val="clear" w:color="auto" w:fill="CCEEFF"/>
          </w:tcPr>
          <w:p>
            <w:pPr>
              <w:ind w:lef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80" w:type="dxa"/>
            <w:vAlign w:val="bottom"/>
            <w:gridSpan w:val="2"/>
            <w:shd w:val="clear" w:color="auto" w:fill="CCEEFF"/>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paid during the period for interest</w:t>
            </w:r>
          </w:p>
        </w:tc>
        <w:tc>
          <w:tcPr>
            <w:tcW w:w="1000" w:type="dxa"/>
            <w:vAlign w:val="bottom"/>
            <w:gridSpan w:val="2"/>
          </w:tcPr>
          <w:p>
            <w:pPr>
              <w:ind w:left="7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480" w:type="dxa"/>
            <w:vAlign w:val="bottom"/>
            <w:gridSpan w:val="2"/>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top w:val="single" w:sz="8" w:color="CCEEFF"/>
              <w:bottom w:val="single" w:sz="8" w:color="CCEEFF"/>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460" w:hanging="410"/>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Background, and Basis of Presentation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31, 2021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2021, as filed with the SEC on April 15, 2022.</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Certain reclassifications have been made to prior year comparable period financial statements to conform to classifications used in the current year – specifically, the disaggregation of the components of interest and finance expense. These reclassifications had no impact on total interest and finance expense, net loss, stockholders’ equity, or cash flows as previously reported.</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Currently, the Company’s brand portfolio consists of the Isaac Mizrahi brands (the "Isaac Mizrahi Brand"), the LOGO by Lori Goldstein brand (the “Lori Goldstein Brand”), the Halston brands (the "Halston Brands"), the Judith Ripka brands (the "Ripka Brand"), the C Wonder brands (the "C Wonder Brand"), and other proprietary brands. The Company also manages the Longaberger brand (the “Longaberger Brand”) through its 50% ownership interest in Longaberger Licensing, LLC; the Company consolidates Longaberger Licensing, LLC and recognizes noncontrolling interest for the remaining ownership interest held by a third party.</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designs, produces, markets, and distributes products, licenses its brands to third parties, and generates licensing revenues through contractual arrangements with manufacturers and retailers. The Company and its licensees distribute through an omni-channel retail sales strategy, which includes distribution through interactive television, digital live-stream shopping, brick-and-mortar retail, wholesale, and e-commerce channels to be everywhere its customers shop.</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wholesale and direct-to-consumer operations are presented as "Net sales" and "Cost of goods sold" in the Condensed Consolidated Statements of Operations, separately from the Company’s licensing revenues.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incurred a net loss of approximately $3.7 million during the three months ended March 31, 2022, and had an accumulated deficit of approximately $32.3 million as of March 31, 2022. The Company had working capital (current assets less current liabilities, excluding the current portion of lease obligations) of approximately $5.2 million as of March 31, 2022. The Company’s cash and cash equivalents were approximately $3.1 million as of March 31, 2022. Management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expects that existing cash and operating cash flows will be adequate to meet the Company’s operating needs, term debt service obligations, and capital expenditure needs, for at least the twelve months subsequent to the filing date of this Quarterly Report on Form 10-Q.</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Trademarks and Other Intangibles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2"/>
                <w:szCs w:val="12"/>
                <w:color w:val="auto"/>
              </w:rPr>
            </w:pPr>
          </w:p>
        </w:tc>
        <w:tc>
          <w:tcPr>
            <w:tcW w:w="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2"/>
                <w:szCs w:val="12"/>
                <w:color w:val="auto"/>
              </w:rPr>
            </w:pPr>
          </w:p>
        </w:tc>
        <w:tc>
          <w:tcPr>
            <w:tcW w:w="98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8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Trademarks (finite-lived)</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52,098</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113,809</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96,775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5"/>
            <w:vMerge w:val="restart"/>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73"/>
        </w:trPr>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Trademarks (finite-lived)</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53,612</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0"/>
        </w:trPr>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4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114,371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98,304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approximately $1.53 million for the three-month period ended March 31, 2022 (the "current quarter") and was approximately $0.91 million for the three-month period ended March 31, 2021 (the "prior year quarter").</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trademarks related to the Isaac Mizrahi Brand have been determined to have indefinite useful lives and, accordingly, no amortization has been recorded for these assets.</w:t>
      </w:r>
    </w:p>
    <w:p>
      <w:pPr>
        <w:spacing w:after="0" w:line="387" w:lineRule="exact"/>
        <w:rPr>
          <w:sz w:val="20"/>
          <w:szCs w:val="20"/>
          <w:color w:val="auto"/>
        </w:rPr>
      </w:pPr>
    </w:p>
    <w:p>
      <w:pPr>
        <w:ind w:left="460" w:hanging="410"/>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Contracts and Concentrations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Qurate Agreements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Company’s agreements with Qurate Retail Group (“Qurate”), collectively referred to as the Qurate Agreements, Qurate is obligated to make payments to the Company on a quarterly basis, based primarily upon a percentage of net retail sales of Isaac Mizrahi, Judith Ripka, Lori Goldstein, and Longaberger branded merchandise.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 Net licensing revenue from the Qurate Agreements represents a significant portion of the Company’s total net revenue.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licensing revenue from the Qurate Agreements totaled $5.01 million and $3.79 million for the current quarter and prior year quarter, respectively, representing approximately 57% and 49% of the Company’s total net revenue for the current quarter and prior year quarter, respectively.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had receivables from Qurate of $5.04 million and $3.51 million, respectively, representing approximately 58% and 46% of the Company’s total net accounts receivable, respectively.</w:t>
      </w:r>
    </w:p>
    <w:p>
      <w:pPr>
        <w:spacing w:after="0" w:line="172" w:lineRule="exact"/>
        <w:rPr>
          <w:sz w:val="20"/>
          <w:szCs w:val="20"/>
          <w:color w:val="auto"/>
        </w:rPr>
      </w:pPr>
    </w:p>
    <w:p>
      <w:pPr>
        <w:ind w:left="460" w:hanging="410"/>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 for Doubtful Accounts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Accounts receivable are presented on the Company’s condensed consolidated balance sheets net of allowances of $1.09 million as of March 31, 2022 and December 31, 2021. The Company recognized bad debt expense of $0.13 million in the prior year quarter, but did not recognize any bad debt expense in the current quarter.</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prior year quarter bad debt expense was related to the bankruptcy of and economic impact on certain retail customers due to the COVID-19 pandemic. The allowance of approximately $1.1 million against such customers’ outstanding receivable balances of $1.4 million at both December 31, 2021 and March 31, 2022 represents management’s best estimate of collectibility, based on the most recent information available at the respective balance sheet dates.</w:t>
      </w:r>
    </w:p>
    <w:p>
      <w:pPr>
        <w:spacing w:after="0" w:line="176" w:lineRule="exact"/>
        <w:rPr>
          <w:sz w:val="20"/>
          <w:szCs w:val="20"/>
          <w:color w:val="auto"/>
        </w:rPr>
      </w:pPr>
    </w:p>
    <w:p>
      <w:pPr>
        <w:ind w:left="460" w:hanging="410"/>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an operating lease for its corporate offices and operations facility, as well as certain equipment with a term of 12 months or less.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also has an operating lease for its former retail store location, which was closed in the current quarter. The Company is currently in the process of negotiating the termination of this lease.</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previously had an operating lease for its former office location, which it subleased to a third-party subtenant through February 27, 2022, and the Company’s lease of this office space expired by its terms on February 28, 2022.</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2022, the Company’s real estate leases have remaining lease terms of 5 – 7 years, with a weighted average remaining lease term of approximately 5.7 years and a weighted average discount rate of 6.25%.</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generally recognizes a right-of-use (“ROU”) asset, representing its right to use the underlying leased asset for the lease term, and a liability for its obligation to make future lease payments (the lease liability) at commencement date (the date on which the lessor makes the underlying asset available for use) based on the present value of lease payments over the lease term. The Company does not recognize ROU assets and lease liabilities for lease terms of 12 months or less, but recognizes such lease payments in operations on a straight-line basis over the lease terms.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 payments is generally recognized on a straight-line basis over the lease term. The Company recognizes income from subleases (in which the Company is the sublessor) on a straight-line basis over the term of the sublease, as a reduction to lease expense. Lease expense included in selling, general and administrative expenses on the Company’s unaudited condensed consolidated statements of operations was approximately $0.4 million for both the current quarter and prior year quarter.</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$0.6 million in both the current quarter and prior year quarter.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2022, the maturities of lease obligations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(April 1 through December 31)</w:t>
            </w: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6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2025</w:t>
            </w:r>
          </w:p>
        </w:tc>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2026</w:t>
            </w:r>
          </w:p>
        </w:tc>
        <w:tc>
          <w:tcPr>
            <w:tcW w:w="6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 (through 2028)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6,963</w:t>
            </w: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6.</w:t>
            </w:r>
          </w:p>
        </w:tc>
        <w:tc>
          <w:tcPr>
            <w:tcW w:w="6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Debt</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0" w:type="dxa"/>
            <w:vAlign w:val="bottom"/>
            <w:gridSpan w:val="2"/>
            <w:vMerge w:val="continue"/>
          </w:tcPr>
          <w:p>
            <w:pPr>
              <w:spacing w:after="0"/>
              <w:rPr>
                <w:sz w:val="24"/>
                <w:szCs w:val="24"/>
                <w:color w:val="auto"/>
              </w:rPr>
            </w:pPr>
          </w:p>
        </w:tc>
        <w:tc>
          <w:tcPr>
            <w:tcW w:w="6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Company’s net carrying amount of debt was comprised of the following: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4"/>
                <w:szCs w:val="24"/>
                <w:color w:val="auto"/>
              </w:rPr>
            </w:pPr>
          </w:p>
        </w:tc>
        <w:tc>
          <w:tcPr>
            <w:tcW w:w="122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Unamortized deferred finance costs related to term loan debt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Current portion of debt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25,531</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Term Loan Debt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December 30, 2021, Xcel, as Borrower, and its wholly-owned subsidiaries, IM Brands, LLC, JR Licensing, LLC, H Licensing, LLC, C Wonder Licensing, LLC, Xcel Design Group, LLC, Judith Ripka Fine Jewelry, LLC, H Heritage Licensing, LLC, Xcel-CT MFG, LLC and Gold Licensing, LLC, as Guarantors (each a “Guarantor” and collectively, the “Guarantors”), entered into a Loan and Security Agreement (the “New Loan Agreement”) with FEAC Agent, LLC (“FEAC”), as lead arranger and as administrative agent and collateral agent for the lenders party to the New Loan Agreement, and the financial institutions party thereto as lenders (the “Lenders”). Pursuant to the New Loan Agreement, the Lenders made a term loan in the aggregate amount of $29.0 million (the “New Term Loan”). The proceeds of the New Term Loan were used for the purpose of refinancing existing indebtedness (i.e., previous term loan debt), to pay fees, costs, and expenses incurred in connection with entering into the New Loan Agreement, and for working capital purposes.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New Loan Agreement also provides that Xcel may request the Lenders make incremental term loans of up to $25.0 million (the “Incremental Term Loans”). The terms and conditions of the Incremental Term Loans will be agreed in an amendment to the New Loan Agreement prior to the funding of the Incremental Term Loans.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Upon entering into the New Loan Agreement, Xcel paid a 1.75% closing fee to FEAC for the benefit of the Lenders; the Company also paid approximately $0.5 million of various legal and other fees in connection with the execution of the New Loan Agreement. These fees and costs totaling approximately $0.97 million, net of accumulated amortization, have been deferred on the accompanying condensed consolidated balance sheets as a reduction of the carrying value of the New</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Term Loan, and are being amortized to interest expense over the term of the New Term Loan using the effective interest method.</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New Term Loan matures on April 14, 2025. Principal on the New Term Loan is payable in quarterly installments of $625,000 on each of March 31, June 30, September 30 and December 31 of each year, commencing on March 31, 2022 and ending on March 31, 2025, with a final payment of $20,875,000 on the maturity date of April 14, 2025. Thus, the aggregate remaining annual principal payments under the New Term Loan at March 31, 2022 were as follows: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3"/>
                <w:szCs w:val="13"/>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7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09"/>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(April 1 through December 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Xcel has the right upon thirty (30) days prior written notice to prepay all or any portion of the New Term Loan or Incremental Term Loans and accrued and unpaid interest thereon; provided that any prepayment shall be applied first to prepay the New Term Loan in full and second to the Incremental Term Loans. If the New Term Loan is prepaid in whole or in part (including as a result of an event of default), Xcel shall pay a prepayment premium as follows: an amount equal to the principal amount of the New Term Loan prepaid multiplied by: (i) five percent (5.00%) if such prepayment occurs on or before the first anniversary of the closing date; (ii) two percent (2.00%) if such prepayment occurs at any time after the first anniversary of the closing date and on or prior to the second anniversary of the closing date; and (iii) one percent (1.00%) if such prepayment occurs at any time after the second anniversary of the closing date.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Xcel’s obligations under the New Loan Agreement are guaranteed by the Guarantors and secured by all of the assets of Xcel and the Guarantors (as well as any subsidiary formed or acquired that becomes a credit party to the New Loan Agreement) and, subject to certain limitations contained in the New Loan Agreement, equity interests of the Guarantors (as well as any subsidiary formed or acquired that becomes a credit party to the New Loan Agreement).</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Xcel also granted the Lenders a right of first offer to finance any acquisition for which the consideration therefore will be paid other than by cash of Xcel or the Guarantors, the issuance of equity interest of Xcel, or the issuance of notes to the applicable seller.</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New Loan Agreement contains customary covenants, including reporting requirements, trademark preservation, and the following financial covenants of Xcel (on a consolidated basis with the Guarantors and any subsidiaries subsequently formed or acquired that become a credit party under the Loan Agreement):</w:t>
      </w:r>
    </w:p>
    <w:p>
      <w:pPr>
        <w:spacing w:after="0" w:line="176" w:lineRule="exact"/>
        <w:rPr>
          <w:sz w:val="20"/>
          <w:szCs w:val="20"/>
          <w:color w:val="auto"/>
        </w:rPr>
      </w:pPr>
    </w:p>
    <w:p>
      <w:pPr>
        <w:jc w:val="both"/>
        <w:ind w:left="1040" w:right="79" w:hanging="315"/>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 assets of at least (i) $2.5 million during the first fiscal month of each fiscal quarter if cash payments from revenue licenses during the immediately succeeding 30 days are expected to be at least $4.0 million, and (ii) $3.0 million at all other times;</w:t>
      </w:r>
    </w:p>
    <w:p>
      <w:pPr>
        <w:spacing w:after="0" w:line="17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charge coverage ratio of not less than 1.00 to 1.00 for the fiscal quarter ending September 30, 2022, and for the twelve fiscal month period ending at the end of each fiscal quarter commencing with the fiscal quarter ending December 31, 2022;</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to value ratio not to exceed 50% at all times;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720"/>
        <w:spacing w:after="0"/>
        <w:tabs>
          <w:tab w:leader="none" w:pos="1020" w:val="left"/>
        </w:tabs>
        <w:rPr>
          <w:sz w:val="20"/>
          <w:szCs w:val="20"/>
          <w:color w:val="auto"/>
        </w:rPr>
      </w:pPr>
      <w:r>
        <w:rPr>
          <w:rFonts w:ascii="Times New Roman" w:cs="Times New Roman" w:eastAsia="Times New Roman" w:hAnsi="Times New Roman"/>
          <w:sz w:val="18"/>
          <w:szCs w:val="18"/>
          <w:color w:val="auto"/>
        </w:rPr>
        <w:t>●</w:t>
        <w:tab/>
        <w:t>minimum revenues as set forth below;</w:t>
      </w:r>
    </w:p>
    <w:p>
      <w:pPr>
        <w:spacing w:after="0" w:line="232"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Minimum Revenue</w:t>
            </w:r>
          </w:p>
        </w:tc>
      </w:tr>
      <w:tr>
        <w:trPr>
          <w:trHeight w:val="209"/>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2021 - December 31, 2021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16,445,000</w:t>
            </w:r>
          </w:p>
        </w:tc>
      </w:tr>
      <w:tr>
        <w:trPr>
          <w:trHeight w:val="198"/>
        </w:trPr>
        <w:tc>
          <w:tcPr>
            <w:tcW w:w="20" w:type="dxa"/>
            <w:vAlign w:val="bottom"/>
          </w:tcPr>
          <w:p>
            <w:pPr>
              <w:spacing w:after="0"/>
              <w:rPr>
                <w:sz w:val="17"/>
                <w:szCs w:val="17"/>
                <w:color w:val="auto"/>
              </w:rPr>
            </w:pPr>
          </w:p>
        </w:tc>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 the trailing twelve month period ending March 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4100" w:type="dxa"/>
            <w:vAlign w:val="bottom"/>
            <w:gridSpan w:val="2"/>
          </w:tcPr>
          <w:p>
            <w:pPr>
              <w:jc w:val="right"/>
              <w:ind w:right="3653"/>
              <w:spacing w:after="0"/>
              <w:rPr>
                <w:sz w:val="20"/>
                <w:szCs w:val="20"/>
                <w:color w:val="auto"/>
              </w:rPr>
            </w:pPr>
            <w:r>
              <w:rPr>
                <w:rFonts w:ascii="Times New Roman" w:cs="Times New Roman" w:eastAsia="Times New Roman" w:hAnsi="Times New Roman"/>
                <w:sz w:val="18"/>
                <w:szCs w:val="18"/>
                <w:color w:val="auto"/>
                <w:w w:val="94"/>
              </w:rPr>
              <w:t>2022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23,500,000</w:t>
            </w:r>
          </w:p>
        </w:tc>
      </w:tr>
      <w:tr>
        <w:trPr>
          <w:trHeight w:val="198"/>
        </w:trPr>
        <w:tc>
          <w:tcPr>
            <w:tcW w:w="20" w:type="dxa"/>
            <w:vAlign w:val="bottom"/>
          </w:tcPr>
          <w:p>
            <w:pPr>
              <w:spacing w:after="0"/>
              <w:rPr>
                <w:sz w:val="17"/>
                <w:szCs w:val="17"/>
                <w:color w:val="auto"/>
              </w:rPr>
            </w:pPr>
          </w:p>
        </w:tc>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 the trailing twelve month period ending June 30,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080" w:type="dxa"/>
            <w:vAlign w:val="bottom"/>
            <w:shd w:val="clear" w:color="auto" w:fill="CCEEFF"/>
          </w:tcPr>
          <w:p>
            <w:pPr>
              <w:jc w:val="right"/>
              <w:ind w:right="3653"/>
              <w:spacing w:after="0"/>
              <w:rPr>
                <w:sz w:val="20"/>
                <w:szCs w:val="20"/>
                <w:color w:val="auto"/>
              </w:rPr>
            </w:pPr>
            <w:r>
              <w:rPr>
                <w:rFonts w:ascii="Times New Roman" w:cs="Times New Roman" w:eastAsia="Times New Roman" w:hAnsi="Times New Roman"/>
                <w:sz w:val="18"/>
                <w:szCs w:val="18"/>
                <w:color w:val="auto"/>
                <w:w w:val="88"/>
              </w:rPr>
              <w:t>2022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24,491,000</w:t>
            </w:r>
          </w:p>
        </w:tc>
      </w:tr>
      <w:tr>
        <w:trPr>
          <w:trHeight w:val="198"/>
        </w:trPr>
        <w:tc>
          <w:tcPr>
            <w:tcW w:w="20" w:type="dxa"/>
            <w:vAlign w:val="bottom"/>
          </w:tcPr>
          <w:p>
            <w:pPr>
              <w:spacing w:after="0"/>
              <w:rPr>
                <w:sz w:val="17"/>
                <w:szCs w:val="17"/>
                <w:color w:val="auto"/>
              </w:rPr>
            </w:pPr>
          </w:p>
        </w:tc>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 the trailing twelve month periods ending September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 2022 and each fiscal quarter end thereafter</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r>
    </w:tbl>
    <w:p>
      <w:pPr>
        <w:spacing w:after="0" w:line="198" w:lineRule="exact"/>
        <w:rPr>
          <w:sz w:val="20"/>
          <w:szCs w:val="20"/>
          <w:color w:val="auto"/>
        </w:rPr>
      </w:pPr>
    </w:p>
    <w:p>
      <w:pPr>
        <w:jc w:val="both"/>
        <w:ind w:left="1040" w:right="79" w:hanging="315"/>
        <w:spacing w:after="0" w:line="25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eligible inventory plus (ii) eligible cash on hand to the extent not used to satisfy the Minimum Accounts Amount (as defined below) plus (iii) the eligible accounts to the extent not used to satisfy the Minimum Accounts Amount (as defined below) of at least $1.25 million at all times (“Minimum Inventory Amount”), and the sum of (i) the eligible accounts plus (ii) eligible cash on hand to the extent not used to satisfy the Minimum Inventory Amount of at least $1.5 million at all times (“Minimum Accounts Amount”); and</w:t>
      </w:r>
    </w:p>
    <w:p>
      <w:pPr>
        <w:spacing w:after="0" w:line="18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at least $2.0 million for the 6 fiscal month period ending June 30, 2022.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was in compliance with all applicable covenants as of March 31, 2022.</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Interest on the New Term Loan accrues at “LIBOR” plus 7.5% per annum, and is payable on the last business day of each calendar month. “LIBOR” is defined in the New Loan Agreement as the greater of (a) the rate of interest per annum for deposits in dollars for an interest period equal to three months as published by Bloomberg or a comparable or successor quoting service at approximately 11:00 a.m. (London time) two business days prior to the last business day of each calendar month and (b) 1.0% per annum.</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current quarter and prior year quarter, the Company incurred interest expense (including both interest paid in cash and the amortization of deferred finance costs) related to term loan debt of approximately $0.71 million and $0.28 million, respectively. The effective interest rate related to term loan debt was approximately 9.8% and 6.6% for the current quarter and prior year quarter, respectively.</w:t>
      </w:r>
    </w:p>
    <w:p>
      <w:pPr>
        <w:spacing w:after="0" w:line="176" w:lineRule="exact"/>
        <w:rPr>
          <w:sz w:val="20"/>
          <w:szCs w:val="20"/>
          <w:color w:val="auto"/>
        </w:rPr>
      </w:pPr>
    </w:p>
    <w:p>
      <w:pPr>
        <w:ind w:left="440" w:hanging="390"/>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2021 Equity Incentive Plan (the “2021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4,000,000 shares of common stock are eligible for issuance under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stock-based awards (including options, warrants, and restricted stock)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Accounting Standards Codification Topic 718, “Compensation - Stock Compensation,” by recognizing the fair value of stock-based compensation as an operating expense over the service period of the award or term of the corresponding contract, as applicable. Forfeitures are accounted for as a reduction of compensation cost in the period when such forfeitures occur. 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 Expense for such awards is recognized only to the extent that the achievement of the specified performance target(s) has been met or is considered probable.</w:t>
      </w:r>
    </w:p>
    <w:p>
      <w:pPr>
        <w:spacing w:after="0" w:line="192"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Total expense recognized in the current quarter and prior year quarter for all forms of stock-based compensation was approximately $0.03 million and $0.16 million, respectively. Of the current quarter expense amount, approximately $0.01 million related to employees and approximately $0.02 million related to directors and consultants. Of the prior year quarter expense amount, approximately $0.14 million related to employees and approximately $0.02 million related to directors and consultants.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stock options activity for the current quarter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5,630,970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Canceled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Expired/Forfeited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(364,310)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March 31, 2022, and expected to vest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5,266,660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4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March 31, 2022</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1,495,826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3.32</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options for the current quarter and the prior year quarter was approximately $0.02 million and $0.16 million, respectively. Total unrecognized compensation expense related to unvested stock options at March 31, 2022 amounts to approximately $0.07 million and is expected to be recognized over a weighted average period of approximately 1.07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non-vested stock options activity for the current quarter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3,873,334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(102,500)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 or Canceled</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3,770,834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warrants activity for the current quarter is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January 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Canceled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Expired/Forfeited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exercisable at March 31, 2022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116,065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15</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compensation expense related to warrants was recognized in the current quarter or prior year quarter.</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current quarter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8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5"/>
                <w:szCs w:val="15"/>
                <w:color w:val="auto"/>
              </w:rPr>
            </w:pPr>
          </w:p>
        </w:tc>
        <w:tc>
          <w:tcPr>
            <w:tcW w:w="8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8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Canceled</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815,833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Compensation expense related to restricted stock grants was approximately $0.10 million for the current quarter and prior year quarter. Total unrecognized compensation expense related to unvested restricted stock grants at March 31, 2022 amounts to approximately $0.05 million and is expected to be recognized over a weighted average period of approximately 1.00 years.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Equity Incentive Plans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2022, there were 4,000,000 shares of common stock available for award grants under the 2021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of March 31, 2022, there were 9,382,725 shares of common stock reserved for issuance, including 5,382,725 shares reserved for issuance pursuant to unexercised warrants and stock options previously granted under the 2011 Plan, and 4,000,000 shares available for issuance under the 2021 Plan.</w:t>
      </w:r>
    </w:p>
    <w:p>
      <w:pPr>
        <w:spacing w:after="0" w:line="172"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Basic earnings (loss)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a result of the net loss for all periods presented, the Company calculated diluted EPS using basic weighted average shares outstanding for such period, as utilizing diluted shares would be anti-dilutive to loss per share.</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earnings (loss) per share excludes the following potentially dilutive securities because their inclusion would be anti-dilutive:</w:t>
      </w:r>
    </w:p>
    <w:p>
      <w:pPr>
        <w:spacing w:after="0" w:line="16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-3175</wp:posOffset>
            </wp:positionV>
            <wp:extent cx="17919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72"/>
        </w:trPr>
        <w:tc>
          <w:tcPr>
            <w:tcW w:w="59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5,266,660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5,900,765</w:t>
            </w:r>
          </w:p>
        </w:tc>
        <w:tc>
          <w:tcPr>
            <w:tcW w:w="160" w:type="dxa"/>
            <w:vAlign w:val="bottom"/>
            <w:shd w:val="clear" w:color="auto" w:fill="CCEEFF"/>
          </w:tcPr>
          <w:p>
            <w:pPr>
              <w:spacing w:after="0"/>
              <w:rPr>
                <w:sz w:val="18"/>
                <w:szCs w:val="18"/>
                <w:color w:val="auto"/>
              </w:rPr>
            </w:pPr>
          </w:p>
        </w:tc>
      </w:tr>
      <w:tr>
        <w:trPr>
          <w:trHeight w:val="216"/>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116,065</w:t>
            </w:r>
          </w:p>
        </w:tc>
        <w:tc>
          <w:tcPr>
            <w:tcW w:w="2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579,815</w:t>
            </w:r>
          </w:p>
        </w:tc>
        <w:tc>
          <w:tcPr>
            <w:tcW w:w="160" w:type="dxa"/>
            <w:vAlign w:val="bottom"/>
            <w:tcBorders>
              <w:bottom w:val="single" w:sz="8" w:color="CCEEFF"/>
            </w:tcBorders>
          </w:tcPr>
          <w:p>
            <w:pPr>
              <w:spacing w:after="0"/>
              <w:rPr>
                <w:sz w:val="18"/>
                <w:szCs w:val="18"/>
                <w:color w:val="auto"/>
              </w:rPr>
            </w:pPr>
          </w:p>
        </w:tc>
      </w:tr>
      <w:tr>
        <w:trPr>
          <w:trHeight w:val="209"/>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5,382,725</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6,480,580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estimated annual effective income tax benefit rate for the current quarter and the prior year quarter was approximately 0% and 5%, respectively, resulting in an income tax benefit of $0 and $0.14 million,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current quarter, the federal statutory rate differed from the effective tax rate primarily due to the recording of a valuation allowance against the current period loss. Since it is not more likely than not that the current period loss will be utilized, the Company recorded the valuation allowance.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prior year quarter, the federal statutory rate differed from the effective tax rate primarily due to recurring permanent differences, which decreased the effective tax rate by approximately 17%, partially offset by state taxes, which increased the effective tax rate by approximately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460" w:hanging="410"/>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Isaac Mizrahi</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24, 2020, the Company entered into an employment agreement with Isaac Mizrahi, a principal stockholder of the Company, for Mr. Mizrahi to continue to serve as Chief Design Officer of the Isaac Mizrahi Brand. The term of the employment agreement expires on December 31, 2022, subject to earlier termination, and may be extended, at the Company’s option, for two successive one-year terms (each, a “Renewal Period”). Mr. Mizrahi’s base salary shall be $1.8 million, $2.0 million, and $2.1 million per annum during the term of the agreement and $2.25 million and $2.4 million during 2023 and 2024 if the term is extended, in each case, subject to adjustment in the event Mr. Mizrahi does not make a specified number of appearances on Qurate’s QVC channel. Mr. Mizrahi shall be eligible to receive an annual cash bonus (the “Bonus”) up to an amount equal to $2.5 million less base salary for 2020 and $3.0 million less base salary for 2021, 2022, and any year during the Renewal Period. The Bonus shall consist of the DRT Revenue, Bonus, the Brick-and-Mortar Bonus, the Endorsement Bonus and the Monday Bonus, if any, as determined in accordance with the following:</w:t>
      </w:r>
    </w:p>
    <w:p>
      <w:pPr>
        <w:spacing w:after="0" w:line="194" w:lineRule="exact"/>
        <w:rPr>
          <w:sz w:val="20"/>
          <w:szCs w:val="20"/>
          <w:color w:val="auto"/>
        </w:rPr>
      </w:pPr>
    </w:p>
    <w:p>
      <w:pPr>
        <w:jc w:val="both"/>
        <w:ind w:left="720" w:right="7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“DRT Bonus” means for any calendar year an amount equal to 10% of the aggregate net revenue related to sales of Isaac Mizrahi Brand products through direct response television. The DRT Revenue Bonus shall be reduced by the amount of the Monday Bonus.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“Brick-and-Mortar Bonus” means for any calendar year an amount equal to 10% of the net revenues from sales of products under the Isaac Mizrahi Brand, excluding DRT revenue and endorsement revenues.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“Monday Bonus” means $10,000 for each appearance by Mr. Mizrahi on the QVC channel on Mondays (subject to certain expectations) up to a maximum of 40 such appearances in a calendar year.</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Mr. Mizrahi is required to devote his full business time and attention to the business and affairs of the Company and its subsidiaries; however, Mr. Mizrahi is the principal of IM Ready-Made, LLC and Laugh Club, Inc. (“Laugh Club”), and accordingly, he may undertake promotional activities related thereto (including the promotion of his name, image, and likeness) through television, video, and other media (and retain any compensation he receives for such activities) (referred to as “Retained Media Rights”) so long as such activities (i) do not utilize the IM trademarks, (ii) do not have a mutually negative impact upon or materially conflict with Mr. Mizrahi’s duties under the employment agreement, or (iii) are consented to by the Company. The Company believes that it benefits from Mr. Mizrahi’s independent promotional activities by increased brand awareness of IM Brands and the IM trademarks.</w:t>
      </w:r>
    </w:p>
    <w:p>
      <w:pPr>
        <w:spacing w:after="0" w:line="190"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i w:val="1"/>
          <w:iCs w:val="1"/>
          <w:color w:val="auto"/>
        </w:rPr>
        <w:t>Severance</w:t>
      </w:r>
      <w:r>
        <w:rPr>
          <w:rFonts w:ascii="Times New Roman" w:cs="Times New Roman" w:eastAsia="Times New Roman" w:hAnsi="Times New Roman"/>
          <w:sz w:val="17"/>
          <w:szCs w:val="17"/>
          <w:color w:val="auto"/>
        </w:rPr>
        <w:t>. If Mr. Mizrahi’s employment is terminated by the Company without “cause,” or if Mr. Mizrahi resigns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“good reason,” then Mr. Mizrahi will be entitled to receive his unpaid base salary and cash bonuses through the termination date and an amount equal to his base salary in effect on the termination date for the longer of six months and the remainder of the then-current term, but in no event exceeding 18 months. If Mr. Mizrahi’s employment is terminated by the Company without “cause” or if Mr. Mizrahi resigns with “good reason” within six months following a change of control (as defined in the employment agreement), Mr. Mizrahi shall be eligible to receive a lump-sum payment equal to two times the sum of</w:t>
      </w:r>
    </w:p>
    <w:p>
      <w:pPr>
        <w:spacing w:after="0" w:line="2" w:lineRule="exact"/>
        <w:rPr>
          <w:sz w:val="20"/>
          <w:szCs w:val="20"/>
          <w:color w:val="auto"/>
        </w:rPr>
      </w:pPr>
    </w:p>
    <w:p>
      <w:pPr>
        <w:ind w:left="280" w:hanging="230"/>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base salary (at an average rate that would have been in effect for such two-year period following termination) plus</w:t>
      </w:r>
    </w:p>
    <w:p>
      <w:pPr>
        <w:spacing w:after="0" w:line="9"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paid or due to Mr. Mizrahi in the year prior to the change in control.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Non-Competition and Non-Solicitation</w:t>
      </w:r>
      <w:r>
        <w:rPr>
          <w:rFonts w:ascii="Times New Roman" w:cs="Times New Roman" w:eastAsia="Times New Roman" w:hAnsi="Times New Roman"/>
          <w:sz w:val="18"/>
          <w:szCs w:val="18"/>
          <w:color w:val="auto"/>
        </w:rPr>
        <w:t>. During the term of Mr. Mizrahi’s employment by the Company and for a one-year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after the termination of such employment (unless his employment was terminated without “cause” or was terminated by him for “good reason”), Mr. Mizrahi may not permit his name to be used by or to participate in any business or enterprise (other than the mere passive ownership of not more than 3%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or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February 24, 2020, the Company entered into a services agreement with Laugh Club, an entity wholly-owned by Mr. Mizrahi, pursuant to which Laugh Club shall provide services to Mr. Mizrahi necessary for Mr. Mizrahi to perform his services pursuant to the employment agreement. The Company will pay Laugh Club an annual fee of $0.72 million for such services.</w:t>
      </w:r>
    </w:p>
    <w:p>
      <w:pPr>
        <w:spacing w:after="0" w:line="176" w:lineRule="exact"/>
        <w:rPr>
          <w:sz w:val="20"/>
          <w:szCs w:val="20"/>
          <w:color w:val="auto"/>
        </w:rPr>
      </w:pPr>
    </w:p>
    <w:p>
      <w:pPr>
        <w:ind w:left="440" w:hanging="390"/>
        <w:spacing w:after="0"/>
        <w:tabs>
          <w:tab w:leader="none" w:pos="4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Halston Heritage Earn-Out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the February 11, 2019 purchase of the Halston Heritage trademarks from H Company IP, LLC (“HIP”), the Company agreed to pay HIP additional consideration (the “Halston Heritage Earn-Out”) of up to an aggregate of $6.0 million, based on royalties earned through December 31, 2022. The Halston Heritage Earn-Out of $0.9 million is recorded as a long-term liability at March 31, 2022 and December 31, 2021 in the accompanying condensed consolidated balance sheets, based on the difference between the fair value of the acquired assets of the Halston Heritage trademarks and the total consideration paid. In accordance with Accounting Standards Codification (“ASC”) Topic 480, “Distinguishing Liabilities from Equity,” the Halston Heritage Earn-Out obligation is treated as a liability in the accompanying condensed consolidated balance sheets because of the variable number of shares payable under the agreement.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Lori Goldstein Earn-Out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April 1, 2021 acquisition of the Lori Goldstein trademarks, the Company agreed to pay the seller additional cash consideration (the “Lori Goldstein Earn-Out”) of up to an aggregate of $12.5 million, based on royalties earned during the six calendar year period commencing in 2021. The Lori Goldstein Earn-Out of $6.6 million is recorded as a long-term liability at March 31, 2022 and December 31, 2021 in the accompanying condensed consolidated balance sheets, based on the difference between the fair value of the acquired assets of the Lori Goldstein brand and the total consideration paid, in accordance with the guidance in ASC Subtopic 805-50.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the Company becomes involved in legal claims and litigation in the ordinary course of business.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 The Company routinely assesses all its litigation and threatened litigation as to the probability of ultimately incurring a liability, and records its best estimate of the ultimate loss in situations where it assesses the likelihood of loss as probable.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Coronavirus Pandemic</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disease (“COVID-19”) as a pandemic, which continues to circulate throughout the U.S. and the world. COVID-19 has had an unprecedented impact on the U.S. and global economy as national, state, and local governments continue to react to and attempt to manage this ongoing public health crisis.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impacts of the ongoing COVID-19 pandemic are broad reaching and have had an impact on the Company’s licensing and wholesale businesses. The COVID-19 pandemic has impacted the Company’s supply chain as most of the Company’s products are manufactured in China, Thailand, and other places around the world affected by this event. Temporary factory closures and the pace of workers returning to work have impacted contract manufacturers’ ability to source certain raw materials and to produce finished goods in a timely manner. The pandemic has also impacted distribution and logistics providers' ability to operate in the normal course of business. Further, the initial onset of the pandemic in 2020 resulted in a sudden decrease in sales for many of the Company’s products, from which the Company has yet to fully recover. This resulted in order cancellations and a decrease in accounts receivable collections, as the Company recorded additional allowances for doubtful accounts of approximately $1 million and $0.1 million for the years ended December 31, 2020 and 2021, respectively, related to retailers that filed for bankruptcy.</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Due to the ongoing COVID-19 pandemic, there is significant uncertainty surrounding the impact on the Company’s future results of operations and cash flows. Continued impacts of the pandemic could materially adversely affect the Company’s near-term and long-term revenues, earnings, liquidity, and cash flows as the Company’s customers and/or licensees may request temporary relief, delay, or not make scheduled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1"/>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The statements that are not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Factors section of our Form 10-K for the fiscal year ended December 31, 2021, as filed with the SEC on April 15, 2022.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Xcel Brands, Inc. (“Xcel,” the “Company,” “we,” “us,” or “our”)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Xcel was founded in 2011 with a vision to reimagine shopping, entertainment, and social media as one thing. The Company owns and manages the Isaac Mizrahi brand (the "Isaac Mizrahi Brand"), the LOGO by Lori Goldstein brand (the "Lori Goldstein Brand"), the Halston brand (the "Halston Brand"), the Judith Ripka brand (the "Ripka Brand"), the C Wonder brand (the "C Wonder Brand"), and the Longaberger brand (the “Longaberger Brand”), pioneering a true omni-channel sales strategy which includes the promotion and sale of products under its brands through interactive television, digital live-stream shopping, brick-and-mortar retail, wholesale, and e-commerce channels to be everywhere its customers shop.</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brands through organic growth and the strategic acquisition of new brands. To grow our brands, we are focused on the following primary strategies:</w:t>
      </w:r>
    </w:p>
    <w:p>
      <w:pPr>
        <w:spacing w:after="0" w:line="162" w:lineRule="exact"/>
        <w:rPr>
          <w:sz w:val="20"/>
          <w:szCs w:val="20"/>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and/or licensing of our brands for sale through interactive television (i.e., QVC, HSN, The Shopping Channel, TVSN, etc.);</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distribution of our brands to retailers that sell to the end consumer;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distribution of our brands through e-commerce and live streaming;</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traditional brick-and-mortar retail channels whereby we provide certain design services; and</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additional consumer brands and integrating them into our operating platform and leveraging our operating infrastructure and distribution relationships.</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We believe that Xcel offers a unique value proposition to our retail and direct-to-consumer customers and our licensees for the following reasons:</w:t>
      </w:r>
    </w:p>
    <w:p>
      <w:pPr>
        <w:spacing w:after="0" w:line="162" w:lineRule="exact"/>
        <w:rPr>
          <w:sz w:val="20"/>
          <w:szCs w:val="20"/>
          <w:color w:val="auto"/>
        </w:rPr>
      </w:pPr>
    </w:p>
    <w:p>
      <w:pPr>
        <w:ind w:left="1040" w:right="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experience in, and relationships within the industry;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deep knowledge and expertise in live streaming;</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design, production, sales, marketing, and supply chain and integrated technology platform that enables us to design and distribute trend-right product;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strategy, significant media and internet presence, and distribution network.</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design, production and supply chain platform was developed to shorten the supply chain cycle by utilizing state-of-the-art supply chain management technology, trend analytics, and data science to actively monitor fashion trends and read and react to customer demands.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(the “current quarter”) compared with the three months ended March 31, 2021 (the “prior year quarter”)</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Current quarter net revenue increased approximately $0.9 million to $8.7 million from $7.8 million for the prior year quarter.</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licensing revenue increased by approximately $1.7 million in the current quarter to $6.0 million, compared with $4.3 million in the prior year quarter. This increase in licensing revenue was primarily attributable to the Lori Goldstein brand, which we acquired on April 1, 2021.</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sales decreased by approximately $0.7 million in the current quarter to $2.8 million, compared with $3.5 million in the prior year quarter. This decrease in net sales was primarily attributable to declines in apparel wholesale revenue, mainly driven by a change in our C Wonder brand distribution.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quarter cost of goods sold was $1.7 million, compared with $1.8 million for the prior year quarter.</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Gross profit margin from net product sales (net sales less cost of goods sold, divided by net sales) declined from approximately 48% in the prior year quarter to approximately 40% in the current quarter, primarily due to the selling-off of seasoned apparel inventory during the current quarter, a portion of which was reserved for in previous periods.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 (net revenue less cost of goods sold) increased approximately $1.1 million to $7.1 million from $6.0 million in the prior year quarter, primarily driven by the aforementioned increase in net licensing revenue.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Operating costs and expenses increased approximately $1.6 million from $8.5 million in the prior year quarter to $10.1 million in the current quarter. This increase was mainly driven by costs associated with the Lori Goldstein brand acquired on April 1, 2021 and, to a lesser extent, cost increases from service providers and vendors due to the current inflationary economic environment. Costs associated with the Lori Goldstein brand included a $0.6 million increase in salaries, benefits and employment taxes and $0.6 million of increased trademark amortization expense. The remainder of the increase in operating costs is largely attributable to higher shipping and logistics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and finance expense for the current quarter was $0.7 million, compared with $0.3 million for the prior year quarter. This increase was attributable to the fact that the new term loan agreement entered into on December 30, 2021 resulted in a higher outstanding principal balance at a higher effective interest rate as compared with the previous term loan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estimated annual effective income tax benefit rate for the current quarter and the prior year quarter was approximately 0% and 5%, respectively, resulting in an income tax benefit of $0 and $0.14 million, respectively.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current quarter, the federal statutory rate differed from the effective tax rate primarily due to the recording of a valuation allowance against the current period loss. Since it is not more likely than not that the current period loss will be utilized, the Company recorded the valuation allowance.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prior year quarter, the federal statutory rate differed from the effective tax rate primarily due to recurring permanent differences, which decreased the effective tax rate by approximately 17%, partially offset by state taxes, which increased the effective tax rate by approximately 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Xcel Brands, Inc. Stockholders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had a net loss of $3.5 million for the current quarter, compared with a net loss of $2.5 million for the prior year quarter, due to the combination of the factors outlined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Non-GAAP Diluted EPS, and Adjusted EBITDA</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had a non-GAAP net loss of approximately $1.9 million, or $0.10 per diluted share (“non-GAAP diluted EPS”), for the current quarter and a non-GAAP net loss of $1.5 million, or $0.08 per diluted share, for the prior year quarter. Non-GAAP net (loss) income is a non-GAAP unaudited term, which we define as net income (loss) attributable to Xcel Brands, Inc. stockholders, exclusive of amortization of trademarks, stock-based compensation, loss on extinguishment of debt, gain on sales of assets, gain on reduction of contingent obligations, costs (recoveries) in connection with potential acquisitions, certain adjustments to the provision for doubtful accounts related to the bankruptcy of and economic impact on certain retail customers due to the COVID-19 pandemic, asset impairments, and deferred income taxes. Non-GAAP net income and non-GAAP diluted EPS measures do not include the tax effect of the aforementioned adjusting items, due to the nature of these items and the Company’s tax strategy.</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had Adjusted EBITDA of approximately $(0.9) million for both the current quarter and the prior year quarter. Adjusted EBITDA is a non-GAAP unaudited measure, which we define as net income (loss) attributable to Xcel Brands, Inc. stockholders before depreciation and amortization, interest and finance expenses (including loss on extinguishment of debt, if any), income taxes, other state and local franchise taxes, stock-based compensation, gain on reduction of contingent obligations, gain on sale of assets, costs (recoveries) in connection with potential acquisitions, asset impairments, and certain adjustments to the provision for doubtful accounts related to the bankruptcy of and economic impact on certain retail customers due to the COVID-19 pandemic.</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 Adjusted EBITDA is the measure used to calculate compliance with the EBITDA covenant under our term loan agreement.</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other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non-GAAP net income: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2"/>
                <w:szCs w:val="12"/>
                <w:color w:val="auto"/>
              </w:rPr>
            </w:pPr>
          </w:p>
        </w:tc>
        <w:tc>
          <w:tcPr>
            <w:tcW w:w="11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3"/>
        </w:trPr>
        <w:tc>
          <w:tcPr>
            <w:tcW w:w="68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Certain adjustments to provision for doubtful accounts</w:t>
            </w:r>
          </w:p>
        </w:tc>
        <w:tc>
          <w:tcPr>
            <w:tcW w:w="22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Non-GAAP net (loss)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diluted loss per share (our most directly comparable financial measure presented in accordance with GAAP) to non-GAAP diluted EPS: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4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3"/>
        </w:trPr>
        <w:tc>
          <w:tcPr>
            <w:tcW w:w="59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share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adjustments to provision for doubtful accounts</w:t>
            </w:r>
          </w:p>
        </w:tc>
        <w:tc>
          <w:tcPr>
            <w:tcW w:w="28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Non-GAAP diluted EPS</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Non-GAAP weighted average diluted shares</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19,571,119</w:t>
            </w:r>
          </w:p>
        </w:tc>
        <w:tc>
          <w:tcPr>
            <w:tcW w:w="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19,261,436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00" w:type="dxa"/>
            <w:vAlign w:val="bottom"/>
            <w:gridSpan w:val="3"/>
          </w:tcPr>
          <w:p>
            <w:pPr>
              <w:jc w:val="right"/>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73"/>
        </w:trPr>
        <w:tc>
          <w:tcPr>
            <w:tcW w:w="416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Xcel Brands, Inc.</w:t>
            </w:r>
          </w:p>
        </w:tc>
        <w:tc>
          <w:tcPr>
            <w:tcW w:w="1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adjustments to provision for doubtful accounts</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0" w:type="dxa"/>
            <w:vAlign w:val="bottom"/>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acquire new brands, and to a lesser extent, capital expenditures. As of March 31, 2022 and December 31, 2021, our cash and cash equivalents were approximately $3.1 million and $4.5 million, respectively.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Restricted cash at March 31, 2022 and December 31, 2021 was approximately $0.6 million and $0.7 million, respectively, and consisted of cash deposited as collateral for an irrevocable standby letter of credit associated with the lease of our corporate office and operating facility.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expect that existing cash and operating cash flows will be adequate to meet our operating needs, term debt service obligations, and capital expenditure needs, for at least the 12 months subsequent to the filing date of this Quarterly Report on Form 10-Q.</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Working Capital</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working capital (current assets less current liabilities, excluding the current portion of operating lease obligations and any contingent obligations payable in common stock) was $5.2 million and $7.9 million as of March 31, 2022 and December 31, 2021, respectively. This decrease in working capital was primarily attributable to the use of cash in operations, as well as scheduled debt interest payments, and the timing of payments to vendors and service providers.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Commentary on the components of our cash flows for the current quarter as compared with the prior year quarter is set forth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approximately $0.89 million in the current quarter, compared with approximately $1.69 million in the prior year quarter.</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current quarter cash used in operating activities was primarily attributable to the combination of the net loss of $(3.74) million plus non-cash expenses of approximately $1.94 million and the net change in operating assets and liabilities of approximately $0.91 million. Non-cash net expenses were primarily comprised of $1.82 million of depreciation and amortization and $0.09 million of amortization of deferred finance costs. The net change in operating assets and liabilities was primarily comprised of an increase in accounts payable, accrued expenses, and other liabilities of $2.62 million, partially offset by an increase in accounts receivable of $(1.04) million and an increase in inventory of $(0.57) million. The changes in these operating assets and liabilities were primarily related to the timing and volume of sales and collections, and the timing of payments to vendors and service providers.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prior year quarter cash used in operating activities was primarily attributable to the combination of the net loss of $(2.63) million plus non-cash expenses of approximately $1.38 million and the net change in operating assets and liabilities of approximately $(0.45) million. Non-cash net expenses were primarily comprised of $1.21 million of depreciation and amortization, $0.16 million of stock-based compensation, $0.13 million of bad debt expense, and a deferred income tax benefit of $(0.14) million. The net change in operating assets and liabilities includes an increase in inventory of $(1.57) million, an increase in accounts receivable of $(0.38) million, an increase in accounts payable, accrued expenses and other current liabilities of $1.82 million, an increase in prepaid expenses and other assets of $(0.22) million, and changes in lease-related assets and liabilities of $(0.10) million. The changes in inventory and accounts payable, which largely offset each other, are related and are mainly due to the timing of certain inventory purchases. The change in accounts receivable is primarily related to the timing of sales and collections.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current quarter was approximately $0.04 million, related to minor capital expenditures.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prior year quarter was approximately $0.30 million, primarily attributable to capital expenditures relating to the fit-out and furnishing of our planned Judith Ripka fine jewelry retail store (which opened in the second quarter of 2021 and was subsequently closed in the first quarter of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current quarter consisted of $0.63 million of scheduled payments on our term loan debt.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cash provided by or used in financing activities for the prior year quarter.</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continue to seek to expand and diversify the types of products being produced and licensed under our brands. We plan to continue to diversify the distribution channels within which products are sold, in an effort to reduce dependence on any particular retailer, consumer, or market sector within each of our brands. The Mizrahi brand, Halston brand, Lori Goldstein brand, and C Wonder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continue to work towards expanding our wholesale and e-commerce businesses, and complement these operations with our licensing business.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we continue to seek new opportunities, including expansion through interactive television, our design, production and supply chain platform, additional domestic and international licensing arrangements, and acquiring additional brands. In April 2021, we acquired the Lori Goldstein brand, which is currently available and sold to consumers through Qurate’s QVC channel.</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However, the impacts of the ongoing COVID-19 pandemic are broad reaching and are having an impact on our licensing and wholesale businesses. This global pandemic is impacting our supply chain, and temporary factory closures and the pace of workers returning to work have impacted our contract manufacturers’ ability to source certain raw materials and to produce finished goods in a timely manner. The pandemic is also impacting distribution and logistics providers' ability to operate in the normal course of business. In addition, COVID-19 has resulted in a sudden and continuing decrease in sales for many of our products, resulting in order cancellations. Further, the global pandemic has affected the financial health of certain of our customers, and the bankruptcy of certain other customers, including Lord &amp; Taylor and Le Tote, Stein Mart, and Century 21, from which we had an aggregate of approximately $1.4 million of accounts receivable due at March 31, 2022. As a result, we continue to recognize an allowance for doubtful accounts of approximately $1.1 million as of March 31, 2022, and may be required to make additional adjustments for doubtful accounts which would increase our operating expenses in future periods and negatively impact our operating results, and could result in our failure to meet financial covenants under our credit facility. Financial impacts associated with the COVID-19 pandemic include, but are not limited to, lower net sales, adjustments to allowances 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The impact of the COVID-19 pandemic is expected to continue to have an adverse effect on our operating results, which could result in our inability to comply with certain debt covenants and require our lenders to waive compliance with, or agree to amend, any such covenant to avoid a default. The COVID-19 global pandemic is ongoing, and its dynamic nature, including uncertainties relating to the severity and duration of the pandemic, as well as actions that would be taken by governmental authorities to contain the pandemic or to treat its impact,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makes it difficult to forecast any effects on our 2022 results. However, as of the date of this filing, we expect our results for some portion of 2022 to be affected.</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the global shipping industry continues to face challenges related to port delays and tight availability for carriers and containers. This situation has negatively impacted our supply chain partners, including third party manufacturers, logistics providers, and other vendors, as well as the supply chains of our licensees, and has resulted in increased cost of supply and freight costs for us and our licensees. Such higher costs are currently expected to continue for at least some portion of 2022.</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long-term success, however, will still remain largely dependent on our ability to build and maintain our brands’ awareness and continue to attract wholesale and direct-to-consumer customers, and contract with and retain key licensees,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Please refer to our Annual Report on Form 10-K for the year ended December 31, 2021, filed with the SEC on April 15, 2022, for a discussion of our critical accounting policies and estimates.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months ended March 31, 2022, there were no material changes to our accounting policies.</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March 31, 2022, the end of the period covered by this report. Based on, and as of the date of such evaluation, the Chief Executive Officer and the Chief Financial Officer have concluded that our disclosure controls and procedures were effective as of March 31, 2022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defined in Rules 13a-15(f) and 15d-15(f) under the Exchange Act) during the fiscal quarter ended March 31, 2022 that have materially affected, or are reasonably likely to materially affect, our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2021 are not the only risks we face. Additional risks and uncertainties not currently known to us or that we currently deem to be immaterial also may materially adversely affect our financial condition and/or operating results.</w:t>
      </w:r>
    </w:p>
    <w:p>
      <w:pPr>
        <w:spacing w:after="0" w:line="179"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sales of unregistered or registered securities during the three months ended March 31, 2022.</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31.1 Rule 13a-14(a)/15d-14(a) Certification (CEO)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31.2 Rule 13a-14(a)/15d-14(a) Certification (CFO)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32.1 Section 1350 Certification (CEO)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32.2 Section 1350 Certification (CFO)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101.INS Inline XBRL Instance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101.DEF Inline XBRL Taxonomy Extension Definitions Linkbase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 May 23, 2022</w:t>
            </w:r>
          </w:p>
        </w:tc>
        <w:tc>
          <w:tcPr>
            <w:tcW w:w="2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432"/>
        </w:trPr>
        <w:tc>
          <w:tcPr>
            <w:tcW w:w="3020" w:type="dxa"/>
            <w:vAlign w:val="bottom"/>
          </w:tcPr>
          <w:p>
            <w:pPr>
              <w:spacing w:after="0"/>
              <w:rPr>
                <w:sz w:val="24"/>
                <w:szCs w:val="24"/>
                <w:color w:val="auto"/>
              </w:rPr>
            </w:pPr>
          </w:p>
        </w:tc>
        <w:tc>
          <w:tcPr>
            <w:tcW w:w="2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88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158"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2022 of Xcel Brands, Inc. (the “Company”).</w:t>
      </w:r>
    </w:p>
    <w:p>
      <w:pPr>
        <w:spacing w:after="0" w:line="184" w:lineRule="exact"/>
        <w:rPr>
          <w:rFonts w:ascii="Times New Roman" w:cs="Times New Roman" w:eastAsia="Times New Roman" w:hAnsi="Times New Roman"/>
          <w:sz w:val="18"/>
          <w:szCs w:val="18"/>
          <w:color w:val="auto"/>
        </w:rPr>
      </w:pPr>
    </w:p>
    <w:p>
      <w:pPr>
        <w:jc w:val="both"/>
        <w:ind w:firstLine="8"/>
        <w:spacing w:after="0" w:line="266" w:lineRule="auto"/>
        <w:tabs>
          <w:tab w:leader="none" w:pos="1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8" w:lineRule="exact"/>
        <w:rPr>
          <w:rFonts w:ascii="Times New Roman" w:cs="Times New Roman" w:eastAsia="Times New Roman" w:hAnsi="Times New Roman"/>
          <w:sz w:val="18"/>
          <w:szCs w:val="18"/>
          <w:color w:val="auto"/>
        </w:rPr>
      </w:pPr>
    </w:p>
    <w:p>
      <w:pPr>
        <w:jc w:val="both"/>
        <w:ind w:firstLine="8"/>
        <w:spacing w:after="0" w:line="266" w:lineRule="auto"/>
        <w:tabs>
          <w:tab w:leader="none" w:pos="1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5" w:lineRule="exact"/>
        <w:rPr>
          <w:rFonts w:ascii="Times New Roman" w:cs="Times New Roman" w:eastAsia="Times New Roman" w:hAnsi="Times New Roman"/>
          <w:sz w:val="18"/>
          <w:szCs w:val="18"/>
          <w:color w:val="auto"/>
        </w:rPr>
      </w:pPr>
    </w:p>
    <w:p>
      <w:pPr>
        <w:jc w:val="both"/>
        <w:ind w:firstLine="8"/>
        <w:spacing w:after="0" w:line="261"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sz w:val="20"/>
          <w:szCs w:val="20"/>
          <w:color w:val="auto"/>
        </w:rPr>
      </w:pPr>
    </w:p>
    <w:p>
      <w:pPr>
        <w:jc w:val="both"/>
        <w:ind w:firstLine="8"/>
        <w:spacing w:after="0" w:line="266" w:lineRule="auto"/>
        <w:tabs>
          <w:tab w:leader="none" w:pos="2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firstLine="8"/>
        <w:spacing w:after="0" w:line="266"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line="266" w:lineRule="auto"/>
        <w:tabs>
          <w:tab w:leader="none" w:pos="1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sz w:val="20"/>
          <w:szCs w:val="20"/>
          <w:color w:val="auto"/>
        </w:rPr>
      </w:pPr>
    </w:p>
    <w:p>
      <w:pPr>
        <w:ind w:firstLine="8"/>
        <w:spacing w:after="0" w:line="282" w:lineRule="auto"/>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May 23, 2022</w:t>
      </w:r>
      <w:r>
        <w:rPr>
          <w:sz w:val="20"/>
          <w:szCs w:val="20"/>
          <w:color w:val="auto"/>
        </w:rPr>
        <w:tab/>
      </w:r>
      <w:r>
        <w:rPr>
          <w:rFonts w:ascii="Times New Roman" w:cs="Times New Roman" w:eastAsia="Times New Roman" w:hAnsi="Times New Roman"/>
          <w:sz w:val="17"/>
          <w:szCs w:val="17"/>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26035</wp:posOffset>
            </wp:positionV>
            <wp:extent cx="25717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8" w:name="page29"/>
    <w:bookmarkEnd w:id="28"/>
    <w:p>
      <w:pPr>
        <w:ind w:left="88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Haran, certify that:</w:t>
      </w:r>
    </w:p>
    <w:p>
      <w:pPr>
        <w:spacing w:after="0" w:line="158"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2022 of Xcel Brands, Inc. (the “Company”).</w:t>
      </w:r>
    </w:p>
    <w:p>
      <w:pPr>
        <w:spacing w:after="0" w:line="184" w:lineRule="exact"/>
        <w:rPr>
          <w:rFonts w:ascii="Times New Roman" w:cs="Times New Roman" w:eastAsia="Times New Roman" w:hAnsi="Times New Roman"/>
          <w:sz w:val="18"/>
          <w:szCs w:val="18"/>
          <w:color w:val="auto"/>
        </w:rPr>
      </w:pPr>
    </w:p>
    <w:p>
      <w:pPr>
        <w:jc w:val="both"/>
        <w:ind w:firstLine="8"/>
        <w:spacing w:after="0" w:line="266" w:lineRule="auto"/>
        <w:tabs>
          <w:tab w:leader="none" w:pos="1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8" w:lineRule="exact"/>
        <w:rPr>
          <w:rFonts w:ascii="Times New Roman" w:cs="Times New Roman" w:eastAsia="Times New Roman" w:hAnsi="Times New Roman"/>
          <w:sz w:val="18"/>
          <w:szCs w:val="18"/>
          <w:color w:val="auto"/>
        </w:rPr>
      </w:pPr>
    </w:p>
    <w:p>
      <w:pPr>
        <w:jc w:val="both"/>
        <w:ind w:firstLine="8"/>
        <w:spacing w:after="0" w:line="266" w:lineRule="auto"/>
        <w:tabs>
          <w:tab w:leader="none" w:pos="18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5" w:lineRule="exact"/>
        <w:rPr>
          <w:rFonts w:ascii="Times New Roman" w:cs="Times New Roman" w:eastAsia="Times New Roman" w:hAnsi="Times New Roman"/>
          <w:sz w:val="18"/>
          <w:szCs w:val="18"/>
          <w:color w:val="auto"/>
        </w:rPr>
      </w:pPr>
    </w:p>
    <w:p>
      <w:pPr>
        <w:jc w:val="both"/>
        <w:ind w:firstLine="8"/>
        <w:spacing w:after="0" w:line="261" w:lineRule="auto"/>
        <w:tabs>
          <w:tab w:leader="none" w:pos="1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sz w:val="20"/>
          <w:szCs w:val="20"/>
          <w:color w:val="auto"/>
        </w:rPr>
      </w:pPr>
    </w:p>
    <w:p>
      <w:pPr>
        <w:jc w:val="both"/>
        <w:ind w:firstLine="8"/>
        <w:spacing w:after="0" w:line="266"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firstLine="8"/>
        <w:spacing w:after="0" w:line="266"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9" w:lineRule="exact"/>
        <w:rPr>
          <w:sz w:val="20"/>
          <w:szCs w:val="20"/>
          <w:color w:val="auto"/>
        </w:rPr>
      </w:pPr>
    </w:p>
    <w:p>
      <w:pPr>
        <w:jc w:val="both"/>
        <w:ind w:firstLine="8"/>
        <w:spacing w:after="0" w:line="266" w:lineRule="auto"/>
        <w:tabs>
          <w:tab w:leader="none" w:pos="1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35" w:lineRule="exact"/>
        <w:rPr>
          <w:sz w:val="20"/>
          <w:szCs w:val="20"/>
          <w:color w:val="auto"/>
        </w:rPr>
      </w:pPr>
    </w:p>
    <w:p>
      <w:pPr>
        <w:ind w:firstLine="8"/>
        <w:spacing w:after="0" w:line="282"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color w:val="auto"/>
        </w:rPr>
        <w:t>May 23, 2022</w:t>
      </w:r>
      <w:r>
        <w:rPr>
          <w:sz w:val="20"/>
          <w:szCs w:val="20"/>
          <w:color w:val="auto"/>
        </w:rPr>
        <w:tab/>
      </w:r>
      <w:r>
        <w:rPr>
          <w:rFonts w:ascii="Times New Roman" w:cs="Times New Roman" w:eastAsia="Times New Roman" w:hAnsi="Times New Roman"/>
          <w:sz w:val="18"/>
          <w:szCs w:val="18"/>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26035</wp:posOffset>
            </wp:positionV>
            <wp:extent cx="25114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James Haran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660400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March 31, 2022 as filed with the Securities and Exchange Commission on the date hereof (the “Report”), I, Robert W. D’Loren,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340" w:val="left"/>
          <w:tab w:leader="none" w:pos="5860" w:val="left"/>
        </w:tabs>
        <w:rPr>
          <w:sz w:val="20"/>
          <w:szCs w:val="20"/>
          <w:color w:val="auto"/>
        </w:rPr>
      </w:pPr>
      <w:r>
        <w:rPr>
          <w:rFonts w:ascii="Times New Roman" w:cs="Times New Roman" w:eastAsia="Times New Roman" w:hAnsi="Times New Roman"/>
          <w:sz w:val="18"/>
          <w:szCs w:val="18"/>
          <w:color w:val="auto"/>
        </w:rPr>
        <w:t>May 23,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26035</wp:posOffset>
            </wp:positionV>
            <wp:extent cx="24345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March 31, 2022 as filed with the Securities and Exchange Commission on the date hereof (the “Report”), I, James Haran,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2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520" w:val="left"/>
          <w:tab w:leader="none" w:pos="3960" w:val="left"/>
        </w:tabs>
        <w:rPr>
          <w:sz w:val="20"/>
          <w:szCs w:val="20"/>
          <w:color w:val="auto"/>
        </w:rPr>
      </w:pPr>
      <w:r>
        <w:rPr>
          <w:rFonts w:ascii="Times New Roman" w:cs="Times New Roman" w:eastAsia="Times New Roman" w:hAnsi="Times New Roman"/>
          <w:sz w:val="18"/>
          <w:szCs w:val="18"/>
          <w:color w:val="auto"/>
        </w:rPr>
        <w:t>May 23,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26035</wp:posOffset>
            </wp:positionV>
            <wp:extent cx="25717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Name: James Haran</w:t>
      </w:r>
    </w:p>
    <w:p>
      <w:pPr>
        <w:spacing w:after="0" w:line="5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3"/>
    </w:lvl>
  </w:abstractNum>
  <w:abstractNum w:abstractNumId="4">
    <w:nsid w:val="41A7C4C9"/>
    <w:multiLevelType w:val="hybridMultilevel"/>
    <w:lvl w:ilvl="0">
      <w:lvlJc w:val="left"/>
      <w:lvlText w:val="%1."/>
      <w:numFmt w:val="decimal"/>
      <w:start w:val="4"/>
    </w:lvl>
  </w:abstractNum>
  <w:abstractNum w:abstractNumId="5">
    <w:nsid w:val="6B68079A"/>
    <w:multiLevelType w:val="hybridMultilevel"/>
    <w:lvl w:ilvl="0">
      <w:lvlJc w:val="left"/>
      <w:lvlText w:val="%1."/>
      <w:numFmt w:val="decimal"/>
      <w:start w:val="5"/>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Roman"/>
      <w:start w:val="1"/>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2022-05-23T15:25:57Z</dcterms:created>
  <dcterms:modified xsi:type="dcterms:W3CDTF">2022-05-23T15:25:57Z</dcterms:modified>
</cp:coreProperties>
</file>