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83185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151765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43" w:lineRule="exact"/>
        <w:rPr>
          <w:sz w:val="24"/>
          <w:szCs w:val="24"/>
          <w:color w:val="auto"/>
        </w:rPr>
      </w:pPr>
    </w:p>
    <w:p>
      <w:pPr>
        <w:ind w:left="600" w:hanging="286"/>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72" w:lineRule="exact"/>
        <w:rPr>
          <w:sz w:val="24"/>
          <w:szCs w:val="24"/>
          <w:color w:val="auto"/>
        </w:rPr>
      </w:pPr>
    </w:p>
    <w:p>
      <w:pPr>
        <w:ind w:left="3680" w:right="1140" w:hanging="3366"/>
        <w:spacing w:after="0" w:line="301" w:lineRule="auto"/>
        <w:tabs>
          <w:tab w:leader="none" w:pos="566"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UNDER SECTION 13 OR 15(d) OF THE SECURITIES EXCHANGE ACT OF 1934 Commission File Number: 001-37527</w:t>
      </w:r>
    </w:p>
    <w:p>
      <w:pPr>
        <w:jc w:val="center"/>
        <w:spacing w:after="0"/>
        <w:rPr>
          <w:sz w:val="20"/>
          <w:szCs w:val="20"/>
          <w:color w:val="auto"/>
        </w:rPr>
      </w:pPr>
      <w:r>
        <w:rPr>
          <w:rFonts w:ascii="Arial" w:cs="Arial" w:eastAsia="Arial" w:hAnsi="Arial"/>
          <w:sz w:val="25"/>
          <w:szCs w:val="25"/>
          <w:b w:val="1"/>
          <w:bCs w:val="1"/>
          <w:color w:val="auto"/>
        </w:rPr>
        <w:t>XCEL BRANDS,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Delaware</w:t>
            </w:r>
          </w:p>
        </w:tc>
        <w:tc>
          <w:tcPr>
            <w:tcW w:w="5020" w:type="dxa"/>
            <w:vAlign w:val="bottom"/>
          </w:tcPr>
          <w:p>
            <w:pPr>
              <w:jc w:val="right"/>
              <w:ind w:right="1990"/>
              <w:spacing w:after="0"/>
              <w:rPr>
                <w:sz w:val="20"/>
                <w:szCs w:val="20"/>
                <w:color w:val="auto"/>
              </w:rPr>
            </w:pPr>
            <w:r>
              <w:rPr>
                <w:rFonts w:ascii="Arial" w:cs="Arial" w:eastAsia="Arial" w:hAnsi="Arial"/>
                <w:sz w:val="18"/>
                <w:szCs w:val="18"/>
                <w:color w:val="auto"/>
              </w:rPr>
              <w:t>76-0307819</w:t>
            </w:r>
          </w:p>
        </w:tc>
      </w:tr>
      <w:tr>
        <w:trPr>
          <w:trHeight w:val="224"/>
        </w:trPr>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0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r>
    </w:tbl>
    <w:p>
      <w:pPr>
        <w:spacing w:after="0" w:line="79"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1333 Broadway, 10th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14605</wp:posOffset>
            </wp:positionV>
            <wp:extent cx="3257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3" w:lineRule="exact"/>
        <w:rPr>
          <w:sz w:val="24"/>
          <w:szCs w:val="24"/>
          <w:color w:val="auto"/>
        </w:rPr>
      </w:pPr>
    </w:p>
    <w:p>
      <w:pPr>
        <w:jc w:val="center"/>
        <w:ind w:right="240"/>
        <w:spacing w:after="0"/>
        <w:rPr>
          <w:sz w:val="20"/>
          <w:szCs w:val="20"/>
          <w:color w:val="auto"/>
        </w:rPr>
      </w:pPr>
      <w:r>
        <w:rPr>
          <w:rFonts w:ascii="Arial" w:cs="Arial" w:eastAsia="Arial" w:hAnsi="Arial"/>
          <w:sz w:val="18"/>
          <w:szCs w:val="18"/>
          <w:color w:val="auto"/>
        </w:rPr>
        <w:t>(Address of Principal Executive Offices)</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(347) 727-2474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(Issuer’s Telephone Number, Including Area Code)</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32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Trading Symbol</w:t>
            </w:r>
          </w:p>
        </w:tc>
        <w:tc>
          <w:tcPr>
            <w:tcW w:w="3380" w:type="dxa"/>
            <w:vAlign w:val="bottom"/>
            <w:gridSpan w:val="3"/>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00" w:type="dxa"/>
            <w:vAlign w:val="bottom"/>
          </w:tcPr>
          <w:p>
            <w:pPr>
              <w:spacing w:after="0"/>
              <w:rPr>
                <w:sz w:val="19"/>
                <w:szCs w:val="19"/>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XELB</w:t>
            </w:r>
          </w:p>
        </w:tc>
        <w:tc>
          <w:tcPr>
            <w:tcW w:w="200" w:type="dxa"/>
            <w:vAlign w:val="bottom"/>
          </w:tcPr>
          <w:p>
            <w:pPr>
              <w:spacing w:after="0"/>
              <w:rPr>
                <w:sz w:val="19"/>
                <w:szCs w:val="19"/>
                <w:color w:val="auto"/>
              </w:rPr>
            </w:pPr>
          </w:p>
        </w:tc>
        <w:tc>
          <w:tcPr>
            <w:tcW w:w="2880" w:type="dxa"/>
            <w:vAlign w:val="bottom"/>
            <w:tcBorders>
              <w:top w:val="single" w:sz="8" w:color="auto"/>
            </w:tcBorders>
            <w:gridSpan w:val="2"/>
          </w:tcPr>
          <w:p>
            <w:pPr>
              <w:jc w:val="center"/>
              <w:ind w:left="390"/>
              <w:spacing w:after="0"/>
              <w:rPr>
                <w:sz w:val="20"/>
                <w:szCs w:val="20"/>
                <w:color w:val="auto"/>
              </w:rPr>
            </w:pPr>
            <w:r>
              <w:rPr>
                <w:rFonts w:ascii="Arial" w:cs="Arial" w:eastAsia="Arial" w:hAnsi="Arial"/>
                <w:sz w:val="18"/>
                <w:szCs w:val="18"/>
                <w:color w:val="auto"/>
                <w:w w:val="95"/>
              </w:rPr>
              <w:t>NASDAQ Global Market</w:t>
            </w:r>
          </w:p>
        </w:tc>
        <w:tc>
          <w:tcPr>
            <w:tcW w:w="5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920" w:type="dxa"/>
            <w:vAlign w:val="bottom"/>
            <w:gridSpan w:val="5"/>
          </w:tcPr>
          <w:p>
            <w:pPr>
              <w:jc w:val="center"/>
              <w:ind w:left="1170"/>
              <w:spacing w:after="0"/>
              <w:rPr>
                <w:sz w:val="20"/>
                <w:szCs w:val="20"/>
                <w:color w:val="auto"/>
              </w:rPr>
            </w:pPr>
            <w:r>
              <w:rPr>
                <w:rFonts w:ascii="Arial" w:cs="Arial" w:eastAsia="Arial" w:hAnsi="Arial"/>
                <w:sz w:val="18"/>
                <w:szCs w:val="18"/>
                <w:color w:val="auto"/>
                <w:w w:val="90"/>
              </w:rPr>
              <w:t>Securities registered pursuant to Section 12(g) of the Exchange Act: None</w:t>
            </w:r>
          </w:p>
        </w:tc>
        <w:tc>
          <w:tcPr>
            <w:tcW w:w="780" w:type="dxa"/>
            <w:vAlign w:val="bottom"/>
            <w:vMerge w:val="restart"/>
          </w:tcPr>
          <w:p>
            <w:pPr>
              <w:ind w:left="2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tc>
        <w:tc>
          <w:tcPr>
            <w:tcW w:w="500" w:type="dxa"/>
            <w:vAlign w:val="bottom"/>
            <w:vMerge w:val="restart"/>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250"/>
        </w:trPr>
        <w:tc>
          <w:tcPr>
            <w:tcW w:w="894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w:t>
            </w:r>
          </w:p>
        </w:tc>
        <w:tc>
          <w:tcPr>
            <w:tcW w:w="780" w:type="dxa"/>
            <w:vAlign w:val="bottom"/>
            <w:vMerge w:val="continue"/>
          </w:tcPr>
          <w:p>
            <w:pPr>
              <w:spacing w:after="0"/>
              <w:rPr>
                <w:sz w:val="21"/>
                <w:szCs w:val="21"/>
                <w:color w:val="auto"/>
              </w:rPr>
            </w:pPr>
          </w:p>
        </w:tc>
        <w:tc>
          <w:tcPr>
            <w:tcW w:w="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94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w:t>
            </w:r>
          </w:p>
        </w:tc>
        <w:tc>
          <w:tcPr>
            <w:tcW w:w="78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w:t>
            </w:r>
          </w:p>
        </w:tc>
        <w:tc>
          <w:tcPr>
            <w:tcW w:w="500" w:type="dxa"/>
            <w:vAlign w:val="bottom"/>
          </w:tcPr>
          <w:p>
            <w:pPr>
              <w:ind w:left="2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spacing w:after="0" w:line="3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1934 during the past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Unicode MS" w:cs="Arial Unicode MS" w:eastAsia="Arial Unicode MS" w:hAnsi="Arial Unicode MS"/>
          <w:sz w:val="18"/>
          <w:szCs w:val="18"/>
          <w:color w:val="auto"/>
        </w:rPr>
        <w:t>☐</w:t>
      </w:r>
    </w:p>
    <w:p>
      <w:pPr>
        <w:spacing w:after="0" w:line="3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89" w:lineRule="exact"/>
        <w:rPr>
          <w:sz w:val="24"/>
          <w:szCs w:val="24"/>
          <w:color w:val="auto"/>
        </w:rPr>
      </w:pPr>
    </w:p>
    <w:p>
      <w:pPr>
        <w:spacing w:after="0" w:line="395"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242" w:lineRule="exact"/>
        <w:tabs>
          <w:tab w:leader="none" w:pos="136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Unicode MS" w:cs="Arial Unicode MS" w:eastAsia="Arial Unicode MS" w:hAnsi="Arial Unicode MS"/>
          <w:sz w:val="18"/>
          <w:szCs w:val="18"/>
          <w:color w:val="auto"/>
        </w:rPr>
        <w:t>☐</w:t>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30" w:lineRule="exact"/>
        <w:rPr>
          <w:sz w:val="24"/>
          <w:szCs w:val="24"/>
          <w:color w:val="auto"/>
        </w:rPr>
      </w:pPr>
    </w:p>
    <w:p>
      <w:pPr>
        <w:ind w:left="80"/>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60" w:lineRule="exact"/>
        <w:rPr>
          <w:sz w:val="24"/>
          <w:szCs w:val="24"/>
          <w:color w:val="auto"/>
        </w:rPr>
      </w:pPr>
    </w:p>
    <w:p>
      <w:pPr>
        <w:sectPr>
          <w:pgSz w:w="11900" w:h="16838" w:orient="portrait"/>
          <w:cols w:equalWidth="0" w:num="4">
            <w:col w:w="1620" w:space="100"/>
            <w:col w:w="2820" w:space="720"/>
            <w:col w:w="2040" w:space="100"/>
            <w:col w:w="2820"/>
          </w:cols>
          <w:pgMar w:left="840" w:top="665" w:right="839" w:bottom="1440" w:gutter="0" w:footer="0" w:header="0"/>
          <w:type w:val="continuous"/>
        </w:sect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8"/>
          <w:szCs w:val="18"/>
          <w:color w:val="auto"/>
        </w:rPr>
        <w:t>☐</w:t>
      </w:r>
    </w:p>
    <w:p>
      <w:pPr>
        <w:spacing w:after="0" w:line="3" w:lineRule="exact"/>
        <w:rPr>
          <w:sz w:val="24"/>
          <w:szCs w:val="24"/>
          <w:color w:val="auto"/>
        </w:rPr>
      </w:pPr>
    </w:p>
    <w:p>
      <w:pPr>
        <w:spacing w:after="0" w:line="242" w:lineRule="exact"/>
        <w:tabs>
          <w:tab w:leader="none" w:pos="79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 Yes</w:t>
      </w:r>
      <w:r>
        <w:rPr>
          <w:sz w:val="20"/>
          <w:szCs w:val="20"/>
          <w:color w:val="auto"/>
        </w:rPr>
        <w:tab/>
      </w:r>
      <w:r>
        <w:rPr>
          <w:rFonts w:ascii="Arial Unicode MS" w:cs="Arial Unicode MS" w:eastAsia="Arial Unicode MS" w:hAnsi="Arial Unicode MS"/>
          <w:sz w:val="18"/>
          <w:szCs w:val="18"/>
          <w:color w:val="auto"/>
        </w:rPr>
        <w:t xml:space="preserve">☐ </w:t>
      </w:r>
      <w:r>
        <w:rPr>
          <w:rFonts w:ascii="Arial" w:cs="Arial" w:eastAsia="Arial" w:hAnsi="Arial"/>
          <w:sz w:val="18"/>
          <w:szCs w:val="18"/>
          <w:color w:val="auto"/>
        </w:rPr>
        <w:t>No</w:t>
      </w:r>
      <w:r>
        <w:rPr>
          <w:rFonts w:ascii="Arial Unicode MS" w:cs="Arial Unicode MS" w:eastAsia="Arial Unicode MS" w:hAnsi="Arial Unicode MS"/>
          <w:sz w:val="18"/>
          <w:szCs w:val="18"/>
          <w:color w:val="auto"/>
        </w:rPr>
        <w:t xml:space="preserve">   ☒</w:t>
      </w:r>
    </w:p>
    <w:p>
      <w:pPr>
        <w:spacing w:after="0" w:line="75" w:lineRule="exact"/>
        <w:rPr>
          <w:sz w:val="24"/>
          <w:szCs w:val="24"/>
          <w:color w:val="auto"/>
        </w:rPr>
      </w:pPr>
    </w:p>
    <w:p>
      <w:pPr>
        <w:jc w:val="both"/>
        <w:spacing w:after="0" w:line="311"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computed second fiscal quarter was $10,967,000 based upon the closing price of such common stock on June 30, 2020.</w:t>
      </w:r>
    </w:p>
    <w:p>
      <w:pPr>
        <w:spacing w:after="0" w:line="14" w:lineRule="exact"/>
        <w:rPr>
          <w:sz w:val="24"/>
          <w:szCs w:val="24"/>
          <w:color w:val="auto"/>
        </w:rPr>
      </w:pPr>
    </w:p>
    <w:p>
      <w:pPr>
        <w:ind w:right="1540"/>
        <w:spacing w:after="0" w:line="355" w:lineRule="auto"/>
        <w:rPr>
          <w:sz w:val="20"/>
          <w:szCs w:val="20"/>
          <w:color w:val="auto"/>
        </w:rPr>
      </w:pPr>
      <w:r>
        <w:rPr>
          <w:rFonts w:ascii="Arial" w:cs="Arial" w:eastAsia="Arial" w:hAnsi="Arial"/>
          <w:sz w:val="18"/>
          <w:szCs w:val="18"/>
          <w:color w:val="auto"/>
        </w:rPr>
        <w:t>The number of shares of the issuer’s common stock issued and outstanding as of March 30, 2021 was 19,260,862 shares. 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494665</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23495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66040</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380" w:type="dxa"/>
            <w:vAlign w:val="bottom"/>
            <w:gridSpan w:val="11"/>
          </w:tcPr>
          <w:p>
            <w:pPr>
              <w:ind w:left="5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12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Item</w:t>
              </w:r>
            </w:hyperlink>
          </w:p>
        </w:tc>
        <w:tc>
          <w:tcPr>
            <w:tcW w:w="80" w:type="dxa"/>
            <w:vAlign w:val="bottom"/>
            <w:tcBorders>
              <w:bottom w:val="single" w:sz="8" w:color="0000EE"/>
            </w:tcBorders>
          </w:tcPr>
          <w:p>
            <w:pPr>
              <w:spacing w:after="0"/>
              <w:rPr>
                <w:rFonts w:ascii="Arial" w:cs="Arial" w:eastAsia="Arial" w:hAnsi="Arial"/>
                <w:sz w:val="10"/>
                <w:szCs w:val="10"/>
                <w:color w:val="0000EE"/>
                <w:w w:val="71"/>
              </w:rPr>
            </w:pPr>
            <w:hyperlink w:anchor="page3">
              <w:r>
                <w:rPr>
                  <w:rFonts w:ascii="Arial" w:cs="Arial" w:eastAsia="Arial" w:hAnsi="Arial"/>
                  <w:sz w:val="10"/>
                  <w:szCs w:val="10"/>
                  <w:color w:val="0000EE"/>
                  <w:w w:val="71"/>
                </w:rPr>
                <w:t>1</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6540" w:type="dxa"/>
            <w:vAlign w:val="bottom"/>
            <w:gridSpan w:val="19"/>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Item</w:t>
              </w:r>
            </w:hyperlink>
          </w:p>
        </w:tc>
        <w:tc>
          <w:tcPr>
            <w:tcW w:w="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1A</w:t>
              </w:r>
            </w:hyperlink>
          </w:p>
        </w:tc>
        <w:tc>
          <w:tcPr>
            <w:tcW w:w="24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628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Item</w:t>
              </w:r>
            </w:hyperlink>
          </w:p>
        </w:tc>
        <w:tc>
          <w:tcPr>
            <w:tcW w:w="80" w:type="dxa"/>
            <w:vAlign w:val="bottom"/>
          </w:tcPr>
          <w:p>
            <w:pPr>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2</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Item</w:t>
              </w:r>
            </w:hyperlink>
          </w:p>
        </w:tc>
        <w:tc>
          <w:tcPr>
            <w:tcW w:w="80" w:type="dxa"/>
            <w:vAlign w:val="bottom"/>
          </w:tcPr>
          <w:p>
            <w:pPr>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3</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Item</w:t>
              </w:r>
            </w:hyperlink>
          </w:p>
        </w:tc>
        <w:tc>
          <w:tcPr>
            <w:tcW w:w="80" w:type="dxa"/>
            <w:vAlign w:val="bottom"/>
            <w:tcBorders>
              <w:bottom w:val="single" w:sz="8" w:color="0000EE"/>
            </w:tcBorders>
          </w:tcPr>
          <w:p>
            <w:pPr>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4</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Mine Safety Disclosures</w:t>
              </w:r>
            </w:hyperlink>
          </w:p>
        </w:tc>
        <w:tc>
          <w:tcPr>
            <w:tcW w:w="54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31">
              <w:r>
                <w:rPr>
                  <w:rFonts w:ascii="Arial" w:cs="Arial" w:eastAsia="Arial" w:hAnsi="Arial"/>
                  <w:sz w:val="18"/>
                  <w:szCs w:val="18"/>
                  <w:color w:val="0000EE"/>
                  <w:w w:val="96"/>
                </w:rPr>
                <w:t>Item</w:t>
              </w:r>
            </w:hyperlink>
          </w:p>
        </w:tc>
        <w:tc>
          <w:tcPr>
            <w:tcW w:w="80" w:type="dxa"/>
            <w:vAlign w:val="bottom"/>
          </w:tcPr>
          <w:p>
            <w:pPr>
              <w:spacing w:after="0"/>
              <w:rPr>
                <w:rFonts w:ascii="Arial" w:cs="Arial" w:eastAsia="Arial" w:hAnsi="Arial"/>
                <w:sz w:val="10"/>
                <w:szCs w:val="10"/>
                <w:color w:val="0000EE"/>
                <w:w w:val="71"/>
              </w:rPr>
            </w:pPr>
            <w:hyperlink w:anchor="page31">
              <w:r>
                <w:rPr>
                  <w:rFonts w:ascii="Arial" w:cs="Arial" w:eastAsia="Arial" w:hAnsi="Arial"/>
                  <w:sz w:val="10"/>
                  <w:szCs w:val="10"/>
                  <w:color w:val="0000EE"/>
                  <w:w w:val="71"/>
                </w:rPr>
                <w:t>5</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Market for Registrant’s Common Equity, Related Stockholder Matters and Issuer Purchases of</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Equity Securities</w:t>
              </w:r>
            </w:hyperlink>
          </w:p>
        </w:tc>
        <w:tc>
          <w:tcPr>
            <w:tcW w:w="40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Item</w:t>
              </w:r>
            </w:hyperlink>
          </w:p>
        </w:tc>
        <w:tc>
          <w:tcPr>
            <w:tcW w:w="80" w:type="dxa"/>
            <w:vAlign w:val="bottom"/>
            <w:tcBorders>
              <w:bottom w:val="single" w:sz="8" w:color="0000EE"/>
            </w:tcBorders>
          </w:tcPr>
          <w:p>
            <w:pPr>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6</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Selected Financial Data</w:t>
              </w:r>
            </w:hyperlink>
          </w:p>
        </w:tc>
        <w:tc>
          <w:tcPr>
            <w:tcW w:w="548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34">
              <w:r>
                <w:rPr>
                  <w:rFonts w:ascii="Arial" w:cs="Arial" w:eastAsia="Arial" w:hAnsi="Arial"/>
                  <w:sz w:val="18"/>
                  <w:szCs w:val="18"/>
                  <w:color w:val="0000EE"/>
                  <w:w w:val="96"/>
                </w:rPr>
                <w:t>Item</w:t>
              </w:r>
            </w:hyperlink>
          </w:p>
        </w:tc>
        <w:tc>
          <w:tcPr>
            <w:tcW w:w="80" w:type="dxa"/>
            <w:vAlign w:val="bottom"/>
          </w:tcPr>
          <w:p>
            <w:pPr>
              <w:spacing w:after="0"/>
              <w:rPr>
                <w:rFonts w:ascii="Arial" w:cs="Arial" w:eastAsia="Arial" w:hAnsi="Arial"/>
                <w:sz w:val="10"/>
                <w:szCs w:val="10"/>
                <w:color w:val="0000EE"/>
                <w:w w:val="71"/>
              </w:rPr>
            </w:pPr>
            <w:hyperlink w:anchor="page34">
              <w:r>
                <w:rPr>
                  <w:rFonts w:ascii="Arial" w:cs="Arial" w:eastAsia="Arial" w:hAnsi="Arial"/>
                  <w:sz w:val="10"/>
                  <w:szCs w:val="10"/>
                  <w:color w:val="0000EE"/>
                  <w:w w:val="71"/>
                </w:rPr>
                <w:t>7</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Item</w:t>
              </w:r>
            </w:hyperlink>
          </w:p>
        </w:tc>
        <w:tc>
          <w:tcPr>
            <w:tcW w:w="220" w:type="dxa"/>
            <w:vAlign w:val="bottom"/>
            <w:gridSpan w:val="4"/>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7A</w:t>
              </w:r>
            </w:hyperlink>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Item</w:t>
              </w:r>
            </w:hyperlink>
          </w:p>
        </w:tc>
        <w:tc>
          <w:tcPr>
            <w:tcW w:w="80" w:type="dxa"/>
            <w:vAlign w:val="bottom"/>
            <w:tcBorders>
              <w:top w:val="single" w:sz="8" w:color="0000EE"/>
              <w:bottom w:val="single" w:sz="8" w:color="0000EE"/>
            </w:tcBorders>
          </w:tcPr>
          <w:p>
            <w:pPr>
              <w:spacing w:after="0"/>
              <w:rPr>
                <w:rFonts w:ascii="Arial" w:cs="Arial" w:eastAsia="Arial" w:hAnsi="Arial"/>
                <w:sz w:val="10"/>
                <w:szCs w:val="10"/>
                <w:color w:val="0000EE"/>
                <w:w w:val="71"/>
              </w:rPr>
            </w:pPr>
            <w:hyperlink w:anchor="page50">
              <w:r>
                <w:rPr>
                  <w:rFonts w:ascii="Arial" w:cs="Arial" w:eastAsia="Arial" w:hAnsi="Arial"/>
                  <w:sz w:val="10"/>
                  <w:szCs w:val="10"/>
                  <w:color w:val="0000EE"/>
                  <w:w w:val="71"/>
                </w:rPr>
                <w:t>8</w:t>
              </w:r>
            </w:hyperlink>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28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Item</w:t>
              </w:r>
            </w:hyperlink>
          </w:p>
        </w:tc>
        <w:tc>
          <w:tcPr>
            <w:tcW w:w="80" w:type="dxa"/>
            <w:vAlign w:val="bottom"/>
          </w:tcPr>
          <w:p>
            <w:pPr>
              <w:spacing w:after="0"/>
              <w:rPr>
                <w:rFonts w:ascii="Arial" w:cs="Arial" w:eastAsia="Arial" w:hAnsi="Arial"/>
                <w:sz w:val="10"/>
                <w:szCs w:val="10"/>
                <w:color w:val="0000EE"/>
                <w:w w:val="71"/>
              </w:rPr>
            </w:pPr>
            <w:hyperlink w:anchor="page88">
              <w:r>
                <w:rPr>
                  <w:rFonts w:ascii="Arial" w:cs="Arial" w:eastAsia="Arial" w:hAnsi="Arial"/>
                  <w:sz w:val="10"/>
                  <w:szCs w:val="10"/>
                  <w:color w:val="0000EE"/>
                  <w:w w:val="71"/>
                </w:rPr>
                <w:t>9</w:t>
              </w:r>
            </w:hyperlink>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Changes in and Disagreements with Accountants on Accounting and Financial Disclosure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Item</w:t>
              </w:r>
            </w:hyperlink>
          </w:p>
        </w:tc>
        <w:tc>
          <w:tcPr>
            <w:tcW w:w="2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9A</w:t>
              </w:r>
            </w:hyperlink>
          </w:p>
        </w:tc>
        <w:tc>
          <w:tcPr>
            <w:tcW w:w="24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88">
              <w:r>
                <w:rPr>
                  <w:rFonts w:ascii="Arial" w:cs="Arial" w:eastAsia="Arial" w:hAnsi="Arial"/>
                  <w:sz w:val="18"/>
                  <w:szCs w:val="18"/>
                  <w:color w:val="0000EE"/>
                  <w:w w:val="87"/>
                </w:rPr>
                <w:t>Controls and Procedures</w:t>
              </w:r>
            </w:hyperlink>
          </w:p>
        </w:tc>
        <w:tc>
          <w:tcPr>
            <w:tcW w:w="54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Item</w:t>
              </w:r>
            </w:hyperlink>
          </w:p>
        </w:tc>
        <w:tc>
          <w:tcPr>
            <w:tcW w:w="200" w:type="dxa"/>
            <w:vAlign w:val="bottom"/>
            <w:gridSpan w:val="3"/>
          </w:tcPr>
          <w:p>
            <w:pPr>
              <w:spacing w:after="0" w:line="196" w:lineRule="exact"/>
              <w:rPr>
                <w:rFonts w:ascii="Arial" w:cs="Arial" w:eastAsia="Arial" w:hAnsi="Arial"/>
                <w:sz w:val="18"/>
                <w:szCs w:val="18"/>
                <w:color w:val="0000EE"/>
                <w:w w:val="72"/>
              </w:rPr>
            </w:pPr>
            <w:hyperlink w:anchor="page89">
              <w:r>
                <w:rPr>
                  <w:rFonts w:ascii="Arial" w:cs="Arial" w:eastAsia="Arial" w:hAnsi="Arial"/>
                  <w:sz w:val="18"/>
                  <w:szCs w:val="18"/>
                  <w:color w:val="0000EE"/>
                  <w:w w:val="72"/>
                </w:rPr>
                <w:t>9B</w:t>
              </w:r>
            </w:hyperlink>
          </w:p>
        </w:tc>
        <w:tc>
          <w:tcPr>
            <w:tcW w:w="260" w:type="dxa"/>
            <w:vAlign w:val="bottom"/>
            <w:gridSpan w:val="2"/>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38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Item</w:t>
              </w:r>
            </w:hyperlink>
          </w:p>
        </w:tc>
        <w:tc>
          <w:tcPr>
            <w:tcW w:w="160" w:type="dxa"/>
            <w:vAlign w:val="bottom"/>
            <w:gridSpan w:val="2"/>
          </w:tcPr>
          <w:p>
            <w:pPr>
              <w:spacing w:after="0"/>
              <w:rPr>
                <w:rFonts w:ascii="Arial" w:cs="Arial" w:eastAsia="Arial" w:hAnsi="Arial"/>
                <w:sz w:val="17"/>
                <w:szCs w:val="17"/>
                <w:color w:val="0000EE"/>
                <w:w w:val="73"/>
              </w:rPr>
            </w:pPr>
            <w:hyperlink w:anchor="page89">
              <w:r>
                <w:rPr>
                  <w:rFonts w:ascii="Arial" w:cs="Arial" w:eastAsia="Arial" w:hAnsi="Arial"/>
                  <w:sz w:val="17"/>
                  <w:szCs w:val="17"/>
                  <w:color w:val="0000EE"/>
                  <w:w w:val="73"/>
                </w:rPr>
                <w:t>10</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Promoters, Control Persons and Corporate Governance;</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89">
              <w:r>
                <w:rPr>
                  <w:rFonts w:ascii="Arial" w:cs="Arial" w:eastAsia="Arial" w:hAnsi="Arial"/>
                  <w:sz w:val="18"/>
                  <w:szCs w:val="18"/>
                  <w:color w:val="0000EE"/>
                  <w:w w:val="91"/>
                </w:rPr>
                <w:t>Compliance with Section 16(a) of the Exchange Act</w:t>
              </w:r>
            </w:hyperlink>
          </w:p>
        </w:tc>
        <w:tc>
          <w:tcPr>
            <w:tcW w:w="2440" w:type="dxa"/>
            <w:vAlign w:val="bottom"/>
            <w:tcBorders>
              <w:top w:val="single" w:sz="8" w:color="0000EE"/>
            </w:tcBorders>
            <w:gridSpan w:val="3"/>
          </w:tcPr>
          <w:p>
            <w:pPr>
              <w:spacing w:after="0"/>
              <w:rPr>
                <w:sz w:val="17"/>
                <w:szCs w:val="17"/>
                <w:color w:val="auto"/>
              </w:rPr>
            </w:pPr>
          </w:p>
        </w:tc>
        <w:tc>
          <w:tcPr>
            <w:tcW w:w="98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97">
              <w:r>
                <w:rPr>
                  <w:rFonts w:ascii="Arial" w:cs="Arial" w:eastAsia="Arial" w:hAnsi="Arial"/>
                  <w:sz w:val="18"/>
                  <w:szCs w:val="18"/>
                  <w:color w:val="0000EE"/>
                  <w:w w:val="96"/>
                </w:rPr>
                <w:t>Item</w:t>
              </w:r>
            </w:hyperlink>
          </w:p>
        </w:tc>
        <w:tc>
          <w:tcPr>
            <w:tcW w:w="160" w:type="dxa"/>
            <w:vAlign w:val="bottom"/>
            <w:tcBorders>
              <w:bottom w:val="single" w:sz="8" w:color="0000EE"/>
            </w:tcBorders>
            <w:gridSpan w:val="2"/>
          </w:tcPr>
          <w:p>
            <w:pPr>
              <w:spacing w:after="0"/>
              <w:rPr>
                <w:rFonts w:ascii="Arial" w:cs="Arial" w:eastAsia="Arial" w:hAnsi="Arial"/>
                <w:sz w:val="17"/>
                <w:szCs w:val="17"/>
                <w:color w:val="0000EE"/>
                <w:w w:val="73"/>
              </w:rPr>
            </w:pPr>
            <w:hyperlink w:anchor="page97">
              <w:r>
                <w:rPr>
                  <w:rFonts w:ascii="Arial" w:cs="Arial" w:eastAsia="Arial" w:hAnsi="Arial"/>
                  <w:sz w:val="17"/>
                  <w:szCs w:val="17"/>
                  <w:color w:val="0000EE"/>
                  <w:w w:val="73"/>
                </w:rPr>
                <w:t>11</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Executive Compensation</w:t>
              </w:r>
            </w:hyperlink>
          </w:p>
        </w:tc>
        <w:tc>
          <w:tcPr>
            <w:tcW w:w="538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100">
              <w:r>
                <w:rPr>
                  <w:rFonts w:ascii="Arial" w:cs="Arial" w:eastAsia="Arial" w:hAnsi="Arial"/>
                  <w:sz w:val="18"/>
                  <w:szCs w:val="18"/>
                  <w:color w:val="0000EE"/>
                  <w:w w:val="96"/>
                </w:rPr>
                <w:t>Item</w:t>
              </w:r>
            </w:hyperlink>
          </w:p>
        </w:tc>
        <w:tc>
          <w:tcPr>
            <w:tcW w:w="160" w:type="dxa"/>
            <w:vAlign w:val="bottom"/>
            <w:gridSpan w:val="2"/>
          </w:tcPr>
          <w:p>
            <w:pPr>
              <w:spacing w:after="0"/>
              <w:rPr>
                <w:rFonts w:ascii="Arial" w:cs="Arial" w:eastAsia="Arial" w:hAnsi="Arial"/>
                <w:sz w:val="17"/>
                <w:szCs w:val="17"/>
                <w:color w:val="0000EE"/>
                <w:w w:val="73"/>
              </w:rPr>
            </w:pPr>
            <w:hyperlink w:anchor="page100">
              <w:r>
                <w:rPr>
                  <w:rFonts w:ascii="Arial" w:cs="Arial" w:eastAsia="Arial" w:hAnsi="Arial"/>
                  <w:sz w:val="17"/>
                  <w:szCs w:val="17"/>
                  <w:color w:val="0000EE"/>
                  <w:w w:val="73"/>
                </w:rPr>
                <w:t>12</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Security Ownership of Certain Beneficial Owners and Management and Related Stockholder</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Matters</w:t>
              </w:r>
            </w:hyperlink>
          </w:p>
        </w:tc>
        <w:tc>
          <w:tcPr>
            <w:tcW w:w="50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100" w:type="dxa"/>
            <w:vAlign w:val="bottom"/>
            <w:gridSpan w:val="7"/>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74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rFonts w:ascii="Arial" w:cs="Arial" w:eastAsia="Arial" w:hAnsi="Arial"/>
                <w:sz w:val="18"/>
                <w:szCs w:val="18"/>
                <w:color w:val="0000EE"/>
                <w:w w:val="96"/>
              </w:rPr>
            </w:pPr>
            <w:hyperlink w:anchor="page102">
              <w:r>
                <w:rPr>
                  <w:rFonts w:ascii="Arial" w:cs="Arial" w:eastAsia="Arial" w:hAnsi="Arial"/>
                  <w:sz w:val="18"/>
                  <w:szCs w:val="18"/>
                  <w:color w:val="0000EE"/>
                  <w:w w:val="96"/>
                </w:rPr>
                <w:t>Item</w:t>
              </w:r>
            </w:hyperlink>
          </w:p>
        </w:tc>
        <w:tc>
          <w:tcPr>
            <w:tcW w:w="200" w:type="dxa"/>
            <w:vAlign w:val="bottom"/>
            <w:gridSpan w:val="3"/>
          </w:tcPr>
          <w:p>
            <w:pPr>
              <w:spacing w:after="0" w:line="196" w:lineRule="exact"/>
              <w:rPr>
                <w:rFonts w:ascii="Arial" w:cs="Arial" w:eastAsia="Arial" w:hAnsi="Arial"/>
                <w:sz w:val="18"/>
                <w:szCs w:val="18"/>
                <w:color w:val="0000EE"/>
                <w:w w:val="79"/>
              </w:rPr>
            </w:pPr>
            <w:hyperlink w:anchor="page102">
              <w:r>
                <w:rPr>
                  <w:rFonts w:ascii="Arial" w:cs="Arial" w:eastAsia="Arial" w:hAnsi="Arial"/>
                  <w:sz w:val="18"/>
                  <w:szCs w:val="18"/>
                  <w:color w:val="0000EE"/>
                  <w:w w:val="79"/>
                </w:rPr>
                <w:t>13</w:t>
              </w:r>
            </w:hyperlink>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80" w:type="dxa"/>
            <w:vAlign w:val="bottom"/>
            <w:gridSpan w:val="22"/>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Certain Relationships and Related Transactions, and Director Independence</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6"/>
              </w:rPr>
            </w:pPr>
            <w:hyperlink w:anchor="page105">
              <w:r>
                <w:rPr>
                  <w:rFonts w:ascii="Arial" w:cs="Arial" w:eastAsia="Arial" w:hAnsi="Arial"/>
                  <w:sz w:val="18"/>
                  <w:szCs w:val="18"/>
                  <w:color w:val="0000EE"/>
                  <w:w w:val="96"/>
                </w:rPr>
                <w:t>Item</w:t>
              </w:r>
            </w:hyperlink>
          </w:p>
        </w:tc>
        <w:tc>
          <w:tcPr>
            <w:tcW w:w="16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73"/>
              </w:rPr>
            </w:pPr>
            <w:hyperlink w:anchor="page105">
              <w:r>
                <w:rPr>
                  <w:rFonts w:ascii="Arial" w:cs="Arial" w:eastAsia="Arial" w:hAnsi="Arial"/>
                  <w:sz w:val="17"/>
                  <w:szCs w:val="17"/>
                  <w:color w:val="0000EE"/>
                  <w:w w:val="73"/>
                </w:rPr>
                <w:t>14</w:t>
              </w:r>
            </w:hyperlink>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Principal Accounting Fees and Services</w:t>
              </w:r>
            </w:hyperlink>
          </w:p>
        </w:tc>
        <w:tc>
          <w:tcPr>
            <w:tcW w:w="2580" w:type="dxa"/>
            <w:vAlign w:val="bottom"/>
            <w:tcBorders>
              <w:top w:val="single" w:sz="8" w:color="0000EE"/>
            </w:tcBorders>
            <w:gridSpan w:val="4"/>
          </w:tcPr>
          <w:p>
            <w:pPr>
              <w:spacing w:after="0"/>
              <w:rPr>
                <w:sz w:val="17"/>
                <w:szCs w:val="17"/>
                <w:color w:val="auto"/>
              </w:rPr>
            </w:pPr>
          </w:p>
        </w:tc>
        <w:tc>
          <w:tcPr>
            <w:tcW w:w="17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2"/>
        </w:trPr>
        <w:tc>
          <w:tcPr>
            <w:tcW w:w="1180" w:type="dxa"/>
            <w:vAlign w:val="bottom"/>
            <w:gridSpan w:val="9"/>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IV</w:t>
              </w:r>
            </w:hyperlink>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420" w:type="dxa"/>
            <w:vAlign w:val="bottom"/>
            <w:gridSpan w:val="1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106">
              <w:r>
                <w:rPr>
                  <w:rFonts w:ascii="Arial" w:cs="Arial" w:eastAsia="Arial" w:hAnsi="Arial"/>
                  <w:sz w:val="18"/>
                  <w:szCs w:val="18"/>
                  <w:color w:val="0000EE"/>
                  <w:w w:val="96"/>
                </w:rPr>
                <w:t>Item</w:t>
              </w:r>
            </w:hyperlink>
          </w:p>
        </w:tc>
        <w:tc>
          <w:tcPr>
            <w:tcW w:w="160" w:type="dxa"/>
            <w:vAlign w:val="bottom"/>
            <w:tcBorders>
              <w:bottom w:val="single" w:sz="8" w:color="0000EE"/>
            </w:tcBorders>
            <w:gridSpan w:val="2"/>
          </w:tcPr>
          <w:p>
            <w:pPr>
              <w:spacing w:after="0"/>
              <w:rPr>
                <w:rFonts w:ascii="Arial" w:cs="Arial" w:eastAsia="Arial" w:hAnsi="Arial"/>
                <w:sz w:val="17"/>
                <w:szCs w:val="17"/>
                <w:color w:val="0000EE"/>
                <w:w w:val="73"/>
              </w:rPr>
            </w:pPr>
            <w:hyperlink w:anchor="page106">
              <w:r>
                <w:rPr>
                  <w:rFonts w:ascii="Arial" w:cs="Arial" w:eastAsia="Arial" w:hAnsi="Arial"/>
                  <w:sz w:val="17"/>
                  <w:szCs w:val="17"/>
                  <w:color w:val="0000EE"/>
                  <w:w w:val="73"/>
                </w:rPr>
                <w:t>15</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Exhibits</w:t>
              </w:r>
            </w:hyperlink>
          </w:p>
        </w:tc>
        <w:tc>
          <w:tcPr>
            <w:tcW w:w="6580" w:type="dxa"/>
            <w:vAlign w:val="bottom"/>
            <w:gridSpan w:val="2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09">
              <w:r>
                <w:rPr>
                  <w:rFonts w:ascii="Arial" w:cs="Arial" w:eastAsia="Arial" w:hAnsi="Arial"/>
                  <w:sz w:val="18"/>
                  <w:szCs w:val="18"/>
                  <w:color w:val="0000EE"/>
                  <w:w w:val="85"/>
                </w:rPr>
                <w:t>Signatures</w:t>
              </w:r>
            </w:hyperlink>
          </w:p>
        </w:tc>
        <w:tc>
          <w:tcPr>
            <w:tcW w:w="6420" w:type="dxa"/>
            <w:vAlign w:val="bottom"/>
            <w:gridSpan w:val="1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396" w:lineRule="exact"/>
        <w:rPr>
          <w:sz w:val="20"/>
          <w:szCs w:val="20"/>
          <w:color w:val="auto"/>
        </w:rPr>
      </w:pPr>
    </w:p>
    <w:p>
      <w:pPr>
        <w:jc w:val="both"/>
        <w:ind w:left="60" w:right="59"/>
        <w:spacing w:after="0" w:line="200" w:lineRule="auto"/>
        <w:rPr>
          <w:sz w:val="20"/>
          <w:szCs w:val="20"/>
          <w:color w:val="auto"/>
        </w:rPr>
      </w:pPr>
      <w:r>
        <w:rPr>
          <w:rFonts w:ascii="Arial" w:cs="Arial" w:eastAsia="Arial" w:hAnsi="Arial"/>
          <w:sz w:val="18"/>
          <w:szCs w:val="18"/>
          <w:color w:val="auto"/>
        </w:rPr>
        <w:t>The "Isaac Mizrahi New York</w:t>
      </w:r>
      <w:r>
        <w:rPr>
          <w:rFonts w:ascii="Arial" w:cs="Arial" w:eastAsia="Arial" w:hAnsi="Arial"/>
          <w:sz w:val="24"/>
          <w:szCs w:val="24"/>
          <w:color w:val="auto"/>
          <w:vertAlign w:val="superscript"/>
        </w:rPr>
        <w:t>®</w:t>
      </w:r>
      <w:r>
        <w:rPr>
          <w:rFonts w:ascii="Arial" w:cs="Arial" w:eastAsia="Arial" w:hAnsi="Arial"/>
          <w:sz w:val="18"/>
          <w:szCs w:val="18"/>
          <w:color w:val="auto"/>
        </w:rPr>
        <w:t>," “Isaac Mizrahi</w:t>
      </w:r>
      <w:r>
        <w:rPr>
          <w:rFonts w:ascii="Arial" w:cs="Arial" w:eastAsia="Arial" w:hAnsi="Arial"/>
          <w:sz w:val="24"/>
          <w:szCs w:val="24"/>
          <w:color w:val="auto"/>
          <w:vertAlign w:val="superscript"/>
        </w:rPr>
        <w:t>®</w:t>
      </w:r>
      <w:r>
        <w:rPr>
          <w:rFonts w:ascii="Arial" w:cs="Arial" w:eastAsia="Arial" w:hAnsi="Arial"/>
          <w:sz w:val="18"/>
          <w:szCs w:val="18"/>
          <w:color w:val="auto"/>
        </w:rPr>
        <w:t>," "IsaacMizrahiLIVE</w:t>
      </w:r>
      <w:r>
        <w:rPr>
          <w:rFonts w:ascii="Arial" w:cs="Arial" w:eastAsia="Arial" w:hAnsi="Arial"/>
          <w:sz w:val="24"/>
          <w:szCs w:val="24"/>
          <w:color w:val="auto"/>
          <w:vertAlign w:val="superscript"/>
        </w:rPr>
        <w:t>®</w:t>
      </w:r>
      <w:r>
        <w:rPr>
          <w:rFonts w:ascii="Arial" w:cs="Arial" w:eastAsia="Arial" w:hAnsi="Arial"/>
          <w:sz w:val="18"/>
          <w:szCs w:val="18"/>
          <w:color w:val="auto"/>
        </w:rPr>
        <w:t>," "Isaac Mizrahi Jeans</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"Isaac Mizrahi CRAFT </w:t>
      </w:r>
      <w:r>
        <w:rPr>
          <w:rFonts w:ascii="Arial" w:cs="Arial" w:eastAsia="Arial" w:hAnsi="Arial"/>
          <w:sz w:val="24"/>
          <w:szCs w:val="24"/>
          <w:color w:val="auto"/>
          <w:vertAlign w:val="superscript"/>
        </w:rPr>
        <w:t>™</w:t>
      </w:r>
      <w:r>
        <w:rPr>
          <w:rFonts w:ascii="Arial" w:cs="Arial" w:eastAsia="Arial" w:hAnsi="Arial"/>
          <w:sz w:val="18"/>
          <w:szCs w:val="18"/>
          <w:color w:val="auto"/>
        </w:rPr>
        <w:t>," "Judith Ripka LTD</w:t>
      </w:r>
      <w:r>
        <w:rPr>
          <w:rFonts w:ascii="Arial" w:cs="Arial" w:eastAsia="Arial" w:hAnsi="Arial"/>
          <w:sz w:val="24"/>
          <w:szCs w:val="24"/>
          <w:color w:val="auto"/>
          <w:vertAlign w:val="superscript"/>
        </w:rPr>
        <w:t>™</w:t>
      </w:r>
      <w:r>
        <w:rPr>
          <w:rFonts w:ascii="Arial" w:cs="Arial" w:eastAsia="Arial" w:hAnsi="Arial"/>
          <w:sz w:val="18"/>
          <w:szCs w:val="18"/>
          <w:color w:val="auto"/>
        </w:rPr>
        <w:t>," "Judith Ripka Collection</w:t>
      </w:r>
      <w:r>
        <w:rPr>
          <w:rFonts w:ascii="Arial" w:cs="Arial" w:eastAsia="Arial" w:hAnsi="Arial"/>
          <w:sz w:val="24"/>
          <w:szCs w:val="24"/>
          <w:color w:val="auto"/>
          <w:vertAlign w:val="superscript"/>
        </w:rPr>
        <w:t>™</w:t>
      </w:r>
      <w:r>
        <w:rPr>
          <w:rFonts w:ascii="Arial" w:cs="Arial" w:eastAsia="Arial" w:hAnsi="Arial"/>
          <w:sz w:val="18"/>
          <w:szCs w:val="18"/>
          <w:color w:val="auto"/>
        </w:rPr>
        <w:t>," "Judith Ripka Legacy</w:t>
      </w:r>
      <w:r>
        <w:rPr>
          <w:rFonts w:ascii="Arial" w:cs="Arial" w:eastAsia="Arial" w:hAnsi="Arial"/>
          <w:sz w:val="24"/>
          <w:szCs w:val="24"/>
          <w:color w:val="auto"/>
          <w:vertAlign w:val="superscript"/>
        </w:rPr>
        <w:t>™</w:t>
      </w:r>
      <w:r>
        <w:rPr>
          <w:rFonts w:ascii="Arial" w:cs="Arial" w:eastAsia="Arial" w:hAnsi="Arial"/>
          <w:sz w:val="18"/>
          <w:szCs w:val="18"/>
          <w:color w:val="auto"/>
        </w:rPr>
        <w:t>," "Judith Ripka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"Judith Ripka Sterling </w:t>
      </w:r>
      <w:r>
        <w:rPr>
          <w:rFonts w:ascii="Arial" w:cs="Arial" w:eastAsia="Arial" w:hAnsi="Arial"/>
          <w:sz w:val="24"/>
          <w:szCs w:val="24"/>
          <w:color w:val="auto"/>
          <w:vertAlign w:val="superscript"/>
        </w:rPr>
        <w:t>™</w:t>
      </w:r>
      <w:r>
        <w:rPr>
          <w:rFonts w:ascii="Arial" w:cs="Arial" w:eastAsia="Arial" w:hAnsi="Arial"/>
          <w:sz w:val="18"/>
          <w:szCs w:val="18"/>
          <w:color w:val="auto"/>
        </w:rPr>
        <w:t>," "Halston," "Halston Heritage," "H by Halston</w:t>
      </w:r>
      <w:r>
        <w:rPr>
          <w:rFonts w:ascii="Arial" w:cs="Arial" w:eastAsia="Arial" w:hAnsi="Arial"/>
          <w:sz w:val="24"/>
          <w:szCs w:val="24"/>
          <w:color w:val="auto"/>
          <w:vertAlign w:val="superscript"/>
        </w:rPr>
        <w:t>®</w:t>
      </w:r>
      <w:r>
        <w:rPr>
          <w:rFonts w:ascii="Arial" w:cs="Arial" w:eastAsia="Arial" w:hAnsi="Arial"/>
          <w:sz w:val="18"/>
          <w:szCs w:val="18"/>
          <w:color w:val="auto"/>
        </w:rPr>
        <w:t>," "H Halston</w:t>
      </w:r>
      <w:r>
        <w:rPr>
          <w:rFonts w:ascii="Arial" w:cs="Arial" w:eastAsia="Arial" w:hAnsi="Arial"/>
          <w:sz w:val="24"/>
          <w:szCs w:val="24"/>
          <w:color w:val="auto"/>
          <w:vertAlign w:val="superscript"/>
        </w:rPr>
        <w:t>™</w:t>
      </w:r>
      <w:r>
        <w:rPr>
          <w:rFonts w:ascii="Arial" w:cs="Arial" w:eastAsia="Arial" w:hAnsi="Arial"/>
          <w:sz w:val="18"/>
          <w:szCs w:val="18"/>
          <w:color w:val="auto"/>
        </w:rPr>
        <w:t>," "Roy Frowick," "C. Wonder</w:t>
      </w:r>
      <w:r>
        <w:rPr>
          <w:rFonts w:ascii="Arial" w:cs="Arial" w:eastAsia="Arial" w:hAnsi="Arial"/>
          <w:sz w:val="24"/>
          <w:szCs w:val="24"/>
          <w:color w:val="auto"/>
          <w:vertAlign w:val="superscript"/>
        </w:rPr>
        <w:t>™</w:t>
      </w:r>
      <w:r>
        <w:rPr>
          <w:rFonts w:ascii="Arial" w:cs="Arial" w:eastAsia="Arial" w:hAnsi="Arial"/>
          <w:sz w:val="18"/>
          <w:szCs w:val="18"/>
          <w:color w:val="auto"/>
        </w:rPr>
        <w:t>," and "C. Wonder Limited</w:t>
      </w:r>
      <w:r>
        <w:rPr>
          <w:rFonts w:ascii="Arial" w:cs="Arial" w:eastAsia="Arial" w:hAnsi="Arial"/>
          <w:sz w:val="24"/>
          <w:szCs w:val="24"/>
          <w:color w:val="auto"/>
          <w:vertAlign w:val="superscript"/>
        </w:rPr>
        <w:t>™</w:t>
      </w:r>
      <w:r>
        <w:rPr>
          <w:rFonts w:ascii="Arial" w:cs="Arial" w:eastAsia="Arial" w:hAnsi="Arial"/>
          <w:sz w:val="18"/>
          <w:szCs w:val="18"/>
          <w:color w:val="auto"/>
        </w:rPr>
        <w:t>" brands and all related logos and other trademarks or service marks of the Company appearing in this Annual Report are the property of the Company.</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Xcel Brands, Inc. (the “Company,” “Xcel,” or “We”) is a media and consumer products company engaged in the design, production, marketing, wholesale and direct-to-consumer sales of branded apparel, footwear, accessories, fine jewelry, home goods and other consumer products, and the acquisition of dynamic consumer lifestyle brands.</w:t>
      </w:r>
    </w:p>
    <w:p>
      <w:pPr>
        <w:spacing w:after="0" w:line="16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Xcel was founded in 2011 with a vision to reimagine shopping, entertainment, and social media as one thing. Xcel owns the Isaac Mizrahi brand (the “Isaac Mirzrahi Brand”), the Halston brand (the “Halston Brand”), the Judith Ripka brand (the “Ripka Brand”), the C Wonder brand (the “C Wonder Brand”), the LOGO by Lori Goldstein brand (the “Logo Lori Goldstein Brand”), and the Longaberger brand (the “Longaberger Brand”), pioneering a true omni-channel sales strategy which includes the promotion and sale of products under its brands through interactive television, digital live-stream shopping, brick-and-mortar retail, wholesale and e-commerce channels to be everywhere their customers shop. The Company’s brands have generated over $3 billion in retail sales via live streaming in interactive television and digital channels alone.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70" w:lineRule="exact"/>
        <w:rPr>
          <w:sz w:val="20"/>
          <w:szCs w:val="20"/>
          <w:color w:val="auto"/>
        </w:rPr>
      </w:pPr>
    </w:p>
    <w:p>
      <w:pPr>
        <w:ind w:left="700" w:right="7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Distribution and/or licensing of our brands for sale through interactive television (i.e., QVC, HSN, The Shopping Channel, TVSN, CJO, etc.);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direct-to-consumer distribution of our brands through e-commerce and live streaming;</w:t>
      </w:r>
    </w:p>
    <w:p>
      <w:pPr>
        <w:spacing w:after="0" w:line="225"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brick-and-mortar retail channels whereby we provide certain design services; and</w:t>
      </w:r>
    </w:p>
    <w:p>
      <w:pPr>
        <w:spacing w:after="0" w:line="14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and leveraging our operating infrastructure and distribution relationships.</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We believe that Xcel offers a unique value proposition to our retail and direct-to-consumer customers, and our licensees for the following reasons:</w:t>
      </w:r>
    </w:p>
    <w:p>
      <w:pPr>
        <w:spacing w:after="0" w:line="170" w:lineRule="exact"/>
        <w:rPr>
          <w:sz w:val="20"/>
          <w:szCs w:val="20"/>
          <w:color w:val="auto"/>
        </w:rPr>
      </w:pPr>
    </w:p>
    <w:p>
      <w:pPr>
        <w:ind w:left="700" w:hanging="32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management team, including our officers’ and directors’ experience in, and relationships within the industry;</w:t>
      </w:r>
    </w:p>
    <w:p>
      <w:pPr>
        <w:spacing w:after="0" w:line="248" w:lineRule="exact"/>
        <w:rPr>
          <w:rFonts w:ascii="Arial" w:cs="Arial" w:eastAsia="Arial" w:hAnsi="Arial"/>
          <w:sz w:val="16"/>
          <w:szCs w:val="16"/>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deep knowledge and expertise in live streaming;</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that enables us to design and distribute trend-right product;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media and internet presence and distribution.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design, production and supply chain platform was developed to shorten the supply chain cycle by utilizing state-of-the-art supply chain management technology, trend analytics, and data science to actively monitor fashion trends and read and react to customer demands.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November 2019, we acquired a controlling interest in the Longaberger Brand, an authentic American heritage home products brand that began making artisan baskets in 1896, and we are re-imagining it in 2021 as a digital live-streaming shopping marketplace built to bring women together to support local communities.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April 2021, we acquired the Lori Goldstein brands, including LOGO by Lori Goldstein, a sophisticated lifestyle brand designed to bring style to the masses and that speaks to everyday women. The acquisition focuses on growing the popular brand through our omni-channel approach including live streaming, e-commerce, and interactive television, and expanding the business into new products and categories.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principal office is located at 1333 Broadway, New York, NY 10018. Our telephone number is (347) 727-2474. Additionally, we maintain websites for our respective brands and an e-commerce site for our Judith Ripka brand at www.isaacmizrahi.com, www.judithripka.com, www.cwonder.com, and www.lorigoldstein.com. Our corporate website is www.xcelbrands.com.</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Brand Portfolio</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Currently, our brand portfolio consists of the Isaac Mizrahi, Judith Ripka, Halston, C Wonder, Logo Lori Goldstein, and Longaberger Brands, and the various labels under these brands. We acquired the Logo Lori Goldstein Brand, and the various labels under the brand, in April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Isaac Mizrahi</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Isaac Mizrahi is an iconic American brand that stands for timeless, cosmopolitan style. Isaac Mizrahi, the designer, launched his eponymous label in 1987 to critical acclaim, including four Council of Fashion Designers of America (CFDA) awards. Since then, this brand has become known and beloved around the world for its colorful and stylish designs. As a true lifestyle brand, under Xcel’s ownership it has expanded into over 150 different product categories including sportswear, footwear, handbags, watches, eyewear, tech accessories, home, and other merchandise. Under our ubiquitous-channel retail sales strategy, the brand is available across various distribution channels to reach customers wherever they shop: better department stores, such as Saks and Hudson’s Bay; interactive television, including QVC and The Shopping Channel; and national specialty retailers. The brand is also sold in various global locations, including Canada, Italy, the United Kingdom, and Japan. We acquired the Isaac Mizrahi brand in September 2011.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Judith Ripka</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Judith Ripka is a luxury jewelry brand founded by Judith Ripka in 1977.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in fine jewelry stores, luxury retailers, and via e-commerce. Ms. Ripka launched an innovative collection of fine jewelry on QVC under the Judith Ripka Brand in 1996, where the brand offers customers fine jewelry, watches, and accessories at more accessible price points, including precious and semi-precious stones and multi-faceted diamonique stones made exclusively for QVC. We acquired the Ripka brand in April 2014. In December 2017, we launched our Judith Ripka Fine Jewelry e-commerce operations and in January 2018, we launched the Judith Ripka Fine Jewelry wholesale operations.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Halston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The brand is available across various distribution channels including premium and better department stores, e-commerce, interactive television, and national specialty retailers.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 Wonder</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 Wonder brand was founded by J. Christopher Burch in 2011 to offer a wide-ranging assortment of beautiful, versatile, and spirited products that are designed to transport its customers to a place they have never been. C Wonder offers women’s clothing, footwear, jewelry and accessories, and delightful surprises at every turn. We acquired the C Wonder Brand in July 2015, and the brand is available at mass merchant retailers, clubs, and certain off-price retailers.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Longaberger</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Longaberger is an iconic American heritage home and collectibles brand that began making baskets in 1896 and launched a direct sales company in 1973 by the Longaberger family. The brand is best known for its distinctive handwoven baskets. We acquired a 50% ownership interest in this brand through a joint venture with Hilco Global in November 2019, and are actively managing this brand to build on its history and bring it into the future as a digital first live-streaming and social commerce business. We launched our Longaberger e-commerce and live-streaming operations in February 2020.</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Lori Goldstein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Lori Goldstein helped the fashion industry recognize the value and influence of a visionary stylist by telling powerful, transformative, and authentic stories through the static image. After 35 years behind the camera, Lori ventured in front of it in 2009 when she launched LOGO by Lori Goldstein, an exclusive collection for QVC. LOGO was born from Lori's lifelong passion for layering clothes and her "anything goes with everything" approach to fashion, and is a sophisticated lifestyle brand that embraces Lori's aesthetic and speaks to everyday women. LOGO draws inspiration from the beauty of women of all ages and sizes and gives them the tools and fashion pieces to be their most fabulous selves. We acquired the Lori Goldstein brands, including LOGO by Lori Goldstein, in April 2021, and the brand is currently available through the QVC channel.</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vision is intended to reimagine shopping, entertainment, and social media as one. To fulfill this vision, we plan to continue to grow the reach of our brand portfolio by leveraging our technology and live-streaming platforms, design expertise, our integrated design, production and supply chain technology platforms, marketing expertise, and our relationships with our retail and direct-to-consumer customers, key licensees, manufacturers, and retailers. We also continue to market our brands through our innovative true omni-channel retail sales strategy. Our strategy includes distribution through interactive television, e-commerce, live streaming, and traditional brick-and-mortar retail channels. By leveraging the reach and consumer engagement of our media partners, and by developing rich online video and social media content under our brands, our strategy is to drive increased customer engagement and generate sales across our channels of distribution. Key elements of our strategy include:</w:t>
      </w:r>
    </w:p>
    <w:p>
      <w:pPr>
        <w:spacing w:after="0" w:line="181" w:lineRule="exact"/>
        <w:rPr>
          <w:sz w:val="20"/>
          <w:szCs w:val="20"/>
          <w:color w:val="auto"/>
        </w:rPr>
      </w:pPr>
    </w:p>
    <w:p>
      <w:pPr>
        <w:jc w:val="both"/>
        <w:ind w:left="380" w:right="79" w:hanging="330"/>
        <w:spacing w:after="0" w:line="259"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and Leverage our Live-Streaming Platform. </w:t>
      </w:r>
      <w:r>
        <w:rPr>
          <w:rFonts w:ascii="Arial" w:cs="Arial" w:eastAsia="Arial" w:hAnsi="Arial"/>
          <w:sz w:val="18"/>
          <w:szCs w:val="18"/>
          <w:color w:val="auto"/>
        </w:rPr>
        <w:t>We recently launched our live-streaming platform through our</w:t>
      </w:r>
      <w:r>
        <w:rPr>
          <w:rFonts w:ascii="Arial" w:cs="Arial" w:eastAsia="Arial" w:hAnsi="Arial"/>
          <w:sz w:val="18"/>
          <w:szCs w:val="18"/>
          <w:i w:val="1"/>
          <w:iCs w:val="1"/>
          <w:color w:val="auto"/>
        </w:rPr>
        <w:t xml:space="preserve"> </w:t>
      </w:r>
      <w:r>
        <w:rPr>
          <w:rFonts w:ascii="Arial" w:cs="Arial" w:eastAsia="Arial" w:hAnsi="Arial"/>
          <w:sz w:val="18"/>
          <w:szCs w:val="18"/>
          <w:color w:val="auto"/>
        </w:rPr>
        <w:t>Longaberger brand social commerce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86" w:lineRule="exact"/>
        <w:rPr>
          <w:rFonts w:ascii="Arial" w:cs="Arial" w:eastAsia="Arial" w:hAnsi="Arial"/>
          <w:sz w:val="18"/>
          <w:szCs w:val="18"/>
          <w:color w:val="auto"/>
        </w:rPr>
      </w:pPr>
    </w:p>
    <w:p>
      <w:pPr>
        <w:jc w:val="both"/>
        <w:ind w:left="380" w:right="79" w:hanging="330"/>
        <w:spacing w:after="0" w:line="288"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Expand and Leverage Design, Production and Supply Chain Platform. </w:t>
      </w:r>
      <w:r>
        <w:rPr>
          <w:rFonts w:ascii="Arial" w:cs="Arial" w:eastAsia="Arial" w:hAnsi="Arial"/>
          <w:sz w:val="16"/>
          <w:szCs w:val="16"/>
          <w:color w:val="auto"/>
        </w:rPr>
        <w:t>Our design, production and supply chain</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 shortens the supply chain cycle by utilizing state-of-the-art product lifecycle management (“PLM”) and Enterprise Resource Planning (“ERP”) systems, proprietary merchandising strategies, 3D design, trend analytics, data science and consumer insight testing to actively monitor fashion trends, while leveraging our experience and know-how to quickly design, test, market, produce, and source high-quality goods. Given some of the challenges facing the department store industry today, including declining customer traffic, aggressive mark-down cadence, and inability to respond quickly to customer demands, we developed this design, production and supply chain platform to address these challenges and deliver a 360-degree solution to our retail partners, including design, marketing, production, and sourcing services. We intend to leverage the platform across additional brands and retailers, and we believe that it provides us with a value-added service that differentiates us from our competitors and competing brands.</w:t>
      </w:r>
    </w:p>
    <w:p>
      <w:pPr>
        <w:spacing w:after="0" w:line="168" w:lineRule="exact"/>
        <w:rPr>
          <w:rFonts w:ascii="Arial" w:cs="Arial" w:eastAsia="Arial" w:hAnsi="Arial"/>
          <w:sz w:val="16"/>
          <w:szCs w:val="16"/>
          <w:color w:val="auto"/>
        </w:rPr>
      </w:pPr>
    </w:p>
    <w:p>
      <w:pPr>
        <w:jc w:val="both"/>
        <w:ind w:left="380" w:right="79" w:hanging="330"/>
        <w:spacing w:after="0" w:line="29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Continue to Develop our Integrated Technologies Platform. </w:t>
      </w:r>
      <w:r>
        <w:rPr>
          <w:rFonts w:ascii="Arial" w:cs="Arial" w:eastAsia="Arial" w:hAnsi="Arial"/>
          <w:sz w:val="16"/>
          <w:szCs w:val="16"/>
          <w:color w:val="auto"/>
        </w:rPr>
        <w:t>We are developing and investing in integrated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technologies including live-streaming and direct sales, e-commerce, customer relationship management, 3D design, trend analytics, data science, and consumer insight testing as a refinement of our marketing, design, production and supply chain capabilities in order to market, design, plan, and distribute our products more efficiently and intelligently. Driven by short-lead marketing, such as live streaming, social media, and new direct-to-consumer business models, consumers now expect more from brands and retailers, and we believe that the solution is to deliver to the customer what they want, when they want it, at a price that is fair. Advances in 3D design technologies and software allow us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spacing w:after="0" w:line="289" w:lineRule="auto"/>
        <w:rPr>
          <w:sz w:val="20"/>
          <w:szCs w:val="20"/>
          <w:color w:val="auto"/>
        </w:rPr>
      </w:pPr>
      <w:r>
        <w:rPr>
          <w:rFonts w:ascii="Arial" w:cs="Arial" w:eastAsia="Arial" w:hAnsi="Arial"/>
          <w:sz w:val="16"/>
          <w:szCs w:val="16"/>
          <w:color w:val="auto"/>
        </w:rPr>
        <w:t>to design more efficiently, seamlessly communicate technical aspects of designs with our manufacturing partners, and produce better, more consistent products. Additionally, photo-realistic images generated by the current generation of 3D design software can be used to perform consumer insight testing on products, to determine demand and plan quantities for production even before a sample is made. Trend analytics including advanced algorithms focused on internet searches, social media, and inventory trends provide a forward-looking view of consumer design preferences and allow us to design into trends early-on, while data analytics will allow us to review performance and respond quickly in our read-and-react design, production and supply chain model. Live streaming and customer relationship management systems enable us to better demonstrate our products and foster high engagement with our customers. We will also seek to utilize machine learning and artificial intelligence to automate at least a portion of these functions.</w:t>
      </w:r>
    </w:p>
    <w:p>
      <w:pPr>
        <w:spacing w:after="0" w:line="166" w:lineRule="exact"/>
        <w:rPr>
          <w:sz w:val="20"/>
          <w:szCs w:val="20"/>
          <w:color w:val="auto"/>
        </w:rPr>
      </w:pPr>
    </w:p>
    <w:p>
      <w:pPr>
        <w:jc w:val="both"/>
        <w:ind w:left="380" w:right="59"/>
        <w:spacing w:after="0" w:line="259" w:lineRule="auto"/>
        <w:rPr>
          <w:sz w:val="20"/>
          <w:szCs w:val="20"/>
          <w:color w:val="auto"/>
        </w:rPr>
      </w:pPr>
      <w:r>
        <w:rPr>
          <w:rFonts w:ascii="Arial" w:cs="Arial" w:eastAsia="Arial" w:hAnsi="Arial"/>
          <w:sz w:val="18"/>
          <w:szCs w:val="18"/>
          <w:color w:val="auto"/>
        </w:rPr>
        <w:t>We believe that our investment into these technologies position us to provide unique solutions to a rapidly changing environment. More importantly, we believe that it will help us continue to grow our business across our brands, and the integrated technologies platform itself should develop more significant value as we continue to build and develop it.</w:t>
      </w:r>
    </w:p>
    <w:p>
      <w:pPr>
        <w:spacing w:after="0" w:line="187" w:lineRule="exact"/>
        <w:rPr>
          <w:sz w:val="20"/>
          <w:szCs w:val="20"/>
          <w:color w:val="auto"/>
        </w:rPr>
      </w:pPr>
    </w:p>
    <w:p>
      <w:pPr>
        <w:jc w:val="both"/>
        <w:ind w:left="380" w:right="79" w:hanging="330"/>
        <w:spacing w:after="0" w:line="255"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 Other Retail Partnerships. </w:t>
      </w:r>
      <w:r>
        <w:rPr>
          <w:rFonts w:ascii="Arial" w:cs="Arial" w:eastAsia="Arial" w:hAnsi="Arial"/>
          <w:sz w:val="18"/>
          <w:szCs w:val="18"/>
          <w:color w:val="auto"/>
        </w:rPr>
        <w:t>We have entered into promotional collaborations and/or marketing agreements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large global companies such as Sesame Street, Hewlett Packard, Revlon, Johnson &amp; Johnson, and Kleenex, and have developed exclusive programs through certain licensees for specialty retailers such as Best Buy and Bed Bath &amp; Beyond. We plan to continue to develop strategic relationships under our brands that can leverage our media reach through interactive television and social media to drive traffic and sales for our brands and retail partners and enhance the visibility of our brands.</w:t>
      </w:r>
    </w:p>
    <w:p>
      <w:pPr>
        <w:spacing w:after="0" w:line="192" w:lineRule="exact"/>
        <w:rPr>
          <w:rFonts w:ascii="Arial" w:cs="Arial" w:eastAsia="Arial" w:hAnsi="Arial"/>
          <w:sz w:val="18"/>
          <w:szCs w:val="18"/>
          <w:color w:val="auto"/>
        </w:rPr>
      </w:pPr>
    </w:p>
    <w:p>
      <w:pPr>
        <w:jc w:val="both"/>
        <w:ind w:left="380" w:right="79" w:hanging="330"/>
        <w:spacing w:after="0" w:line="273"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Expand Wholesale License Relationships. </w:t>
      </w:r>
      <w:r>
        <w:rPr>
          <w:rFonts w:ascii="Arial" w:cs="Arial" w:eastAsia="Arial" w:hAnsi="Arial"/>
          <w:sz w:val="17"/>
          <w:szCs w:val="17"/>
          <w:color w:val="auto"/>
        </w:rPr>
        <w:t>We have entered into numerous license agreements for various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categories under our brands. We have expanded the presence of our brands at department stores and have launched additional categories in the department store channel, including footwear, handbags, dresses, costume jewelry, and sunglasses. We continue to seek opportunities to expand the businesses of our licensees, as well as entering into licenses for new categories under each of our brands where the category is authentic to the brand, for both our existing brands as well as brands that we may acquire and/or develop in the future.</w:t>
      </w:r>
    </w:p>
    <w:p>
      <w:pPr>
        <w:spacing w:after="0" w:line="177" w:lineRule="exact"/>
        <w:rPr>
          <w:rFonts w:ascii="Arial" w:cs="Arial" w:eastAsia="Arial" w:hAnsi="Arial"/>
          <w:sz w:val="17"/>
          <w:szCs w:val="17"/>
          <w:color w:val="auto"/>
        </w:rPr>
      </w:pPr>
    </w:p>
    <w:p>
      <w:pPr>
        <w:jc w:val="both"/>
        <w:ind w:left="380" w:right="79" w:hanging="330"/>
        <w:spacing w:after="0" w:line="279"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Deliver Quality Product Offerings. </w:t>
      </w:r>
      <w:r>
        <w:rPr>
          <w:rFonts w:ascii="Arial" w:cs="Arial" w:eastAsia="Arial" w:hAnsi="Arial"/>
          <w:sz w:val="17"/>
          <w:szCs w:val="17"/>
          <w:color w:val="auto"/>
        </w:rPr>
        <w:t>We employ a professional team to provide best in class design, production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to ensure that our products adhere to stringent quality standards and design specifications that we have developed. We intend to continue to invest in our design and marketing capabilities in order to differentiate our services to our customers and licensees and our brands in the marketplace.</w:t>
      </w:r>
    </w:p>
    <w:p>
      <w:pPr>
        <w:spacing w:after="0" w:line="171" w:lineRule="exact"/>
        <w:rPr>
          <w:rFonts w:ascii="Arial" w:cs="Arial" w:eastAsia="Arial" w:hAnsi="Arial"/>
          <w:sz w:val="17"/>
          <w:szCs w:val="17"/>
          <w:color w:val="auto"/>
        </w:rPr>
      </w:pPr>
    </w:p>
    <w:p>
      <w:pPr>
        <w:jc w:val="both"/>
        <w:ind w:left="380" w:right="79" w:hanging="330"/>
        <w:spacing w:after="0" w:line="286"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Acquire, Develop or Partner with Brands. </w:t>
      </w:r>
      <w:r>
        <w:rPr>
          <w:rFonts w:ascii="Arial" w:cs="Arial" w:eastAsia="Arial" w:hAnsi="Arial"/>
          <w:sz w:val="17"/>
          <w:szCs w:val="17"/>
          <w:color w:val="auto"/>
        </w:rPr>
        <w:t>We plan to continue to pursue the acquisition and/or development of</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brands or the rights to brands which we believe are synergistic and complementary to our overall strategy. Our brand acquisition and development strategy are focused on dynamic brands that we believe:</w:t>
      </w:r>
    </w:p>
    <w:p>
      <w:pPr>
        <w:spacing w:after="0" w:line="165" w:lineRule="exact"/>
        <w:rPr>
          <w:sz w:val="20"/>
          <w:szCs w:val="20"/>
          <w:color w:val="auto"/>
        </w:rPr>
      </w:pPr>
    </w:p>
    <w:p>
      <w:pPr>
        <w:ind w:left="1680" w:hanging="334"/>
        <w:spacing w:after="0"/>
        <w:tabs>
          <w:tab w:leader="none" w:pos="16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are synergistic to our existing portfolio of brands;</w:t>
      </w:r>
    </w:p>
    <w:p>
      <w:pPr>
        <w:spacing w:after="0" w:line="209" w:lineRule="exact"/>
        <w:rPr>
          <w:rFonts w:ascii="Courier New" w:cs="Courier New" w:eastAsia="Courier New" w:hAnsi="Courier New"/>
          <w:sz w:val="18"/>
          <w:szCs w:val="18"/>
          <w:color w:val="auto"/>
        </w:rPr>
      </w:pPr>
    </w:p>
    <w:p>
      <w:pPr>
        <w:ind w:left="1680" w:hanging="334"/>
        <w:spacing w:after="0"/>
        <w:tabs>
          <w:tab w:leader="none" w:pos="16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are strategic to our growth in a channel of distribution; and</w:t>
      </w:r>
    </w:p>
    <w:p>
      <w:pPr>
        <w:spacing w:after="0" w:line="209" w:lineRule="exact"/>
        <w:rPr>
          <w:rFonts w:ascii="Courier New" w:cs="Courier New" w:eastAsia="Courier New" w:hAnsi="Courier New"/>
          <w:sz w:val="18"/>
          <w:szCs w:val="18"/>
          <w:color w:val="auto"/>
        </w:rPr>
      </w:pPr>
    </w:p>
    <w:p>
      <w:pPr>
        <w:ind w:left="1680" w:hanging="334"/>
        <w:spacing w:after="0"/>
        <w:tabs>
          <w:tab w:leader="none" w:pos="1680" w:val="left"/>
        </w:tabs>
        <w:numPr>
          <w:ilvl w:val="0"/>
          <w:numId w:val="7"/>
        </w:numPr>
        <w:rPr>
          <w:rFonts w:ascii="Courier New" w:cs="Courier New" w:eastAsia="Courier New" w:hAnsi="Courier New"/>
          <w:sz w:val="18"/>
          <w:szCs w:val="18"/>
          <w:color w:val="auto"/>
        </w:rPr>
      </w:pPr>
      <w:r>
        <w:rPr>
          <w:rFonts w:ascii="Arial" w:cs="Arial" w:eastAsia="Arial" w:hAnsi="Arial"/>
          <w:sz w:val="18"/>
          <w:szCs w:val="18"/>
          <w:color w:val="auto"/>
        </w:rPr>
        <w:t>are expected to be accretive to our earnings.</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Design, Production and Marketing</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Interactive TV</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Qurate Retail Group (“Qurate”) is an important strategic partner in our interactive television business, is our largest licensee for our Mizrahi, Ripka, Halston, and Longaberger brands. Qurate’s business model is to promote and sell products through its interactive television programs featured on QVC and HSN and related e-commerce and mobile platforms. We employ and manage on-air spokespersons under each of these brands in order to promote products under our brands on QVC and HSN. According to Qurate, Qurate had global revenues of approximately $14.2 billion in 2020, of which e-commerce sales represented approximately $8.9 billion, and Qurate’s programming currently reaches approximately 380</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million homes worldwide. Qurate is ranked as one of the Top 10 e-commerce retailers in North America according to Digital Commerce 360. Our agreements with Qurate allow our on-air spokespersons to promote our non-Qurate product lines and strategic partnerships under the Mizrahi, Ripka, and Halston brands through QVC’s and HSN’s programs, subject to certain parameters including the payment of a portion of our non-Qurate revenues to Qurate. We believe that our ability to continue to leverage Qurate’s media platform, reach, and attractive customer base to cross-promote products in and drive traffic to our other channels of distribution provides us a unique advantage.</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licensing business model allows us to focus on our core competencies of design, production, marketing, and brand management without much of the investment requirements in inventory associated with traditional consumer product companies. The Isaac Mizrahi Brand is licensed through our wholly owned subsidiary, IM Brands, LLC (“IM Brands”), the Ripka Brand is licensed through our wholly owned subsidiary, JR Licensing, LLC (“JR Licensing”) and the Halston Brand is licensed through our wholly owned subsidiaries, H Licensing, LLC (“H Licensing”) and H Heritage Licensing, LLC ("H Heritage Licensing") and the Longaberger brand is licensed through our joint venture Longaberger Licensing, LLC (“Longaberger Licensing”).</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Qurate Agreements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Through our wholly owned subsidiaries, we have entered into direct-to-retail license agreements with Qurate Retail Group (“Qurate”), pursuant to which we design, and Qurate sources and sells, various products under our IsaacMizrahiLIVE brand, the Judith Ripka brands, the H by Halston brand, and the Longaberger brand. These agreements include, respectively, the Qurate Agreement for the Mizrahi Brand (the "IM QVC Agreement"), the Qurate Agreement for the Ripka Brand (the "Ripka QVC Agreement"), the Qurate Agreement for the H Halston Brand (the “H QVC Agreement"), and the Qurate Agreement for the Longaberger Brand (the “Longaberger QVC Agreement”) (collectively, the “QVC Agreements”). Qurate owns the rights to all designs produced under these agreements, and the agreements include the sale of products across various categories through Qurate’s television media and related internet sites.</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Pursuant to these agreements, we have granted to Qurate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The agreements include automatic renewal periods as detailed below unless terminated by either party.</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Agreement</w:t>
            </w: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Current Term Expiry</w:t>
            </w:r>
          </w:p>
        </w:tc>
        <w:tc>
          <w:tcPr>
            <w:tcW w:w="14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Automatic Renewal</w:t>
            </w: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Xcel Commenced</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QVC Product Launch</w:t>
            </w:r>
          </w:p>
        </w:tc>
        <w:tc>
          <w:tcPr>
            <w:tcW w:w="0" w:type="dxa"/>
            <w:vAlign w:val="bottom"/>
          </w:tcPr>
          <w:p>
            <w:pPr>
              <w:spacing w:after="0"/>
              <w:rPr>
                <w:sz w:val="1"/>
                <w:szCs w:val="1"/>
                <w:color w:val="auto"/>
              </w:rPr>
            </w:pPr>
          </w:p>
        </w:tc>
      </w:tr>
      <w:tr>
        <w:trPr>
          <w:trHeight w:val="171"/>
        </w:trPr>
        <w:tc>
          <w:tcPr>
            <w:tcW w:w="3140" w:type="dxa"/>
            <w:vAlign w:val="bottom"/>
            <w:gridSpan w:val="2"/>
            <w:vMerge w:val="continue"/>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Brand with QVC</w:t>
            </w: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September 30, 2021</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one-year period</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September 2011</w:t>
            </w: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2022</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one-year period</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April 2014</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31, 2022</w:t>
            </w:r>
          </w:p>
        </w:tc>
        <w:tc>
          <w:tcPr>
            <w:tcW w:w="14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three-year period</w:t>
            </w:r>
          </w:p>
        </w:tc>
        <w:tc>
          <w:tcPr>
            <w:tcW w:w="13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7"/>
              </w:rPr>
              <w:t>January 2015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Longaberger QVC Agreement</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31, 2021</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two-year period</w:t>
            </w: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November 2019</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foregoing and during the same periods, Qurate and its subsidiaries have the exclusive, worldwide right to use the names, likenesses, images, voices, and performances of our spokespersons to promote the respective products. Under the IM QVC Agreement, IM Brands has also granted to Qurate and its affiliates, during the same period, exclusive, worldwide rights to promote third 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Under the QVC Agreements, Qurate is obligated to make payments to us on a quarterly basis, based upon the net retail sales of the specified branded products. Net retail sales are defined as the aggregate amount of all revenue generated through the sale of the specified branded products by Qurate and its subsidiaries under the QVC Agreements, excluding freight, shipping and handling charges, customer returns, and sales, use, or other taxes.</w:t>
      </w:r>
    </w:p>
    <w:p>
      <w:pPr>
        <w:spacing w:after="0" w:line="171"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Notwithstanding our grant of worldwide promotion rights to Qurate, we may, with the permission of Qurate, sell the respective branded products (i) to better or prestige retailers, but excluding discount divisions of such companies and mass merchants, (ii) via specifically branded brick-and-mortar retail stores, and (iii) via company websites, in exchange for making reverse royalty payments to Qurate based on the net retail sales of such products through such channels – with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exception of the Longaberger Brand, for which no reverse royalty payments are required to be made to Qurate under the terms of the applicable agreement.</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Also, under the QVC Agreements, except for the Longaberger QVC Agreement, we will pay a royalty participation fee to Qurate on revenue earned from the sale, license, consignment, or any other form of distribution of any products, bearing, marketed in connection with or otherwise associated with the specified trademarks and brands.</w:t>
      </w:r>
    </w:p>
    <w:p>
      <w:pPr>
        <w:spacing w:after="0" w:line="16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Under the QVC Agreements, we are generally restricted from selling products under the specified respective brands or trademarks (including the trademarks, copyrights, designs, logos, and related intellectual property themselves) to certain mass merchants. The QVC Agreements generally prohibit us from selling products under the specified respective brands or any of our other trademarks and brands to a direct competitor of Qurate (generally defined as any entity other than Qurate whose primary means of deriving revenue is the transmission of interactive television programs) without Qurate’s consent. In addition, during the terms of the IM QVC Agreement and the Ripka QVC Agreement, and for one year thereafter, the respective subsidiary may not, without Qurate’s consent, promote, advertise, endorse, or sell (i) the specified branded products through any means or (ii) any products through interactive television. During the term of the H QVC Agreement, and for one year thereafter, H Licensing may not, without Qurate’s consent, promote, advertise, endorse, or sell any products, including the H by Halston brands, through interactive television.</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addition to the foregoing, certain of the agreements permit us to promote brick-and-mortar collections on Qurate’s television programs subject to certain terms and restrictions.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years ended December 31, 2020 and 2019, net revenue from Qurate collectively accounted for 60% and 53%, respectively, of the total revenues of the Company.</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In the fourth quarter of 2020, the Company transitioned and discontinued licensing of the H Halston brand to QVC. The Company began wholesale supply sales of the H Halston products under arrangements with HSN and certain QVC global affiliates and other unrelated interactive television networks.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Licensing Agreements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have entered into numerous other licensing agreements for sales and distribution through e-commerce and traditional brick-and-mortar retailers. Authorized distribution channels include department stores, mass merchant retailers, clubs, and national specialty retailers such as Best Buy and Bed Bath &amp; Beyond.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w:t>
      </w:r>
    </w:p>
    <w:p>
      <w:pPr>
        <w:spacing w:after="0" w:line="18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are in discussions with other potential licensees and strategic partners to license and/or co-brand the Mizrahi brand, Ripka brand, Halston brand, C Wonder brand and Longaberger brand for additional categories. In certain cases, we have engaged licensing agents to assist in the procurement of such licenses for which we or our licensees pay such agents’ fees based upon a percentage of the net sales of licensed products by such licensees, or a percentage of the royalty payments that we receive from such licensees. While many of the new and proposed licensing agreements will likely require us to provide seasonal design services, most of our new and prospective licensing partners have their own design staff, and we therefore expect low incremental overhead costs related to expanding our licensing business. We will endeavor, where possible, to require licensees to provide guaranteed minimum royalties under their license agreements.</w:t>
      </w:r>
    </w:p>
    <w:p>
      <w:pPr>
        <w:spacing w:after="0" w:line="16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directly from the interactive television licensee, and (ii) sales of products to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Wholesale and e-Commerce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February 2020, we added our Longaberger brand to our e-commerce and live-streaming operations. We continue to expand our wholesale business by adding new domestic accounts, expanding in international markets, and pursuing independent retailers for our jewelry business. Our strategy is to continue to grow our direct-to-consumer and live-streaming businesses into a significant portion of our overall business.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certain cases, the Company collaborates with and provides promotional services to other brands or companies, which arrangements may include the use of our brands for the promotion of such company or brands through the internet, television, or other digital content, print media, or other marketing campaigns featuring in-person appearances by our celebrity spokespersons, the development of limited collections of products (which may include co-branded products) for such company, or other services as determined on a case-by-case basis. These have included promotions with Sesame Street, Hewlett Packard, Revlon, Johnson &amp; Johnson, and Kleenex.</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also provide certain technology services to our retail partners and certain of our licensees under our proprietary integrated technology platform.</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Marketing is a critical element to maximize brand value to our licensees and our Company. Therefore, we employ live streaming, social media, and other marketing and public relations support for our brands.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Given our true omni-channel retail sales strategy focusing on the sale of branded products through various distribution channels (including live-streaming, e-commerce, interactive television, and traditional brick-and-mortar sales channels), our marketing efforts currently focus on leveraging micro and mega-influencers, entertainment tie-ins, PR and editorial, social media campaigns, personal appearances, and digital content in order to drive retail sales of product and consumer awareness across our various sales distribution channels. We seek to create the intersection where shopping, entertainment, and social media meet. As such, our marketing is currently conducted primarily through live-streaming and social media, videos, images, and other digital content that are all updated regularly and are amplified by micro and mega-influencers and entertainment tie-ins. Our efforts also include promoting namesakes of our brands and our personalities through various media including live-streaming, television, design for performances, and other events. We also work with our retail partners to leverage their marketing resources, including e-commerce platforms and related digital marketing campaigns, social media platforms, direct mail pieces, and public relations efforts.</w:t>
      </w:r>
    </w:p>
    <w:p>
      <w:pPr>
        <w:spacing w:after="0" w:line="17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Our agreements with Qurate allow our brand spokespersons to promote our non-Qurate product lines and strategic partnerships under our brands through Qurate’s programs, subject to certain parameters including the payment of a portion of our non-Qurate revenues to Qurate. We believe that this provides us with the ability to leverage Qurate’s media platform (including television, e-commerce, and social media) and Qurate’s customer base of approximately 380 million households worldwide to cross-promote products in and drive traffic to our other channels of distribution. Many of our licensees make advertising and marketing contributions to the Company under their license agreements which are used to fund marketing-related expenses and further promote our brands as we deem appropriate. Certain of the wholesale licenses contain requirements to provide advertising or marketing for our brands under their respective license agreements.</w:t>
      </w:r>
    </w:p>
    <w:p>
      <w:pPr>
        <w:spacing w:after="0" w:line="16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also market the Mizrahi brand through www.isaacmizrahi.com, Halston Brand through www.halston.com, the Judith Ripka Fine Jewelry brand through www.judithripka.com, the C Wonder brand through www.cwonder.com, the Logo Lori Goldstein brand through www.lorigoldstein.com, and the Longaberger brand through www.longaberger.com. Through our</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websites, we are able to present the products under our brands to customers with branding that reflects each brand’s heritage and unique point-of-view.</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e-commerce businesses’ growth is dependent on live-streaming and other marketing to drive traffic to our websites and converting our visitors into customers.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7" w:lineRule="exact"/>
        <w:rPr>
          <w:sz w:val="20"/>
          <w:szCs w:val="20"/>
          <w:color w:val="auto"/>
        </w:rPr>
      </w:pPr>
    </w:p>
    <w:p>
      <w:pPr>
        <w:ind w:left="700" w:right="79" w:hanging="32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management team, including our officers’ and directors’ historical track records and relationships within the industry;</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brand management platform, which has a strong focus on design, product, marketing, and technology; and</w:t>
      </w:r>
    </w:p>
    <w:p>
      <w:pPr>
        <w:spacing w:after="0" w:line="248" w:lineRule="exact"/>
        <w:rPr>
          <w:rFonts w:ascii="Arial" w:cs="Arial" w:eastAsia="Arial" w:hAnsi="Arial"/>
          <w:sz w:val="16"/>
          <w:szCs w:val="16"/>
          <w:color w:val="auto"/>
        </w:rPr>
      </w:pPr>
    </w:p>
    <w:p>
      <w:pPr>
        <w:jc w:val="both"/>
        <w:ind w:left="700" w:right="79" w:hanging="326"/>
        <w:spacing w:after="0" w:line="263"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strategies of wholesales and direct-to consumer sales and licensing brands with significant media presence and driving sales through our true omni-channel retail sales strategy across interactive television, brick-and-mortar, live streaming, and e-commerce distribution channels.</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through its subsidiaries, owns and exploits the Mizrahi brands, which include the trademarks and brands Isaac Mizrahi, Isaac Mizrahi New York, IMNYC Isaac Mizrahi, and IsaacMizrahiLIVE; the Ripka brands, which include the trademarks and brands Judith Ripka LTD, Judith Ripka Collection, Judith Ripka Legacy, Judith Ripka, and Judith Ripka Sterling; all Halston brands and trademarks, namely, Halston, Halston Heritage, Roy Frowick, H by Halston, and H Halston; the C Wonder brands, which include the trademarks and brands C Wonder and C Wonder Limited; and the Logo Lori Goldstein brands, which include the trademarks and brands LOGO by Lori Goldstein, LOGO, LOGO Links, LOGO Lounge, LOGO Layers, and LOGO Luna. We also manage and have a 50% ownership interest in the brands and trademarks of the Longaberger brand through our joint venture with Hilco Global.</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applications consistent with the Company’s business goals. In addition, the Company registers its trademarks in certain other countries and regions around the world as it deems appropriate.</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employees’ knowledge, social, and personality attributes enable our company to achieve its goals, develop our business, and remain innovative. As of December 31, 2020, we had 60 full-time employees and nine part-time employees. We value our employees and are committed to providing a healthy and safe work environment. For certain key employees, including our brand ambassadors and spokespersons, we typically enter into multi-year employment agreements. Overall, we believe that our relationship with our employees is good. None of our employees are represented by a labor union.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Securities and Exchange Commission (“SEC”), or in any press release or other written or oral statement we may make. Please also see “Forward-Looking Statements” on page 3 for additional information regarding Forward-Looking Statements.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a limited amount of cash to grow our operations. If we cannot obtain additional sources of cash, our growth prospects and future profitability may be materially adversely affected, and we may not be able to implement our business plan. Such additional financing may not be available on satisfactory terms or it may not be available when needed, or at all.</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As of December 31, 2020, we had cash and cash equivalents of approximately $5.0 million. Although we believe that our existing cash and our anticipated cash flow from operations will be sufficient to sustain our operations at our current expense levels for at least 12 months subsequent to the date of the filing of this Annual Report on Form 10-K, we may require significant additional cash to satisfy our working capital requirements, expand our operations or acquire additional brands, although historically we have funded acquisitions with debt and equity financing. Our inability to finance our growth, either internally through our operations or externally, may limit our growth potential and our ability to execute</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business strategy successfully. If we issue securities to raise capital to finance operations and/or pay down or restructure our debt, our existing stockholders may experience dilution. In addition, the new securities may have rights senior to those of our common stock.</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Our significant debt obligations could impair our liquidity and financial condition, and in the event we are unable to meet our debt obligations, we could lose ownership of our trademarks and/or other assets.</w:t>
      </w:r>
    </w:p>
    <w:p>
      <w:pPr>
        <w:spacing w:after="0" w:line="14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14, 2021, we entered into a loan and security agreement with Bank Hapoalim B.M. and FEAC Agent LLC and the financial institutions party thereto. We have an outstanding balance of $25.0 million as of April 15, 2021 under this credit facility. We may also assume or incur additional debt, including secured debt, in the future in connection with, or to fund, future acquisitions or for other operating needs.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debt obligations:</w:t>
      </w:r>
    </w:p>
    <w:p>
      <w:pPr>
        <w:spacing w:after="0" w:line="225" w:lineRule="exact"/>
        <w:rPr>
          <w:sz w:val="20"/>
          <w:szCs w:val="20"/>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impair our liquidity;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make it more difficult for us to satisfy our other obligations;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are secured by substantially all of our assets;</w:t>
      </w:r>
    </w:p>
    <w:p>
      <w:pPr>
        <w:spacing w:after="0" w:line="225" w:lineRule="exact"/>
        <w:rPr>
          <w:rFonts w:ascii="Arial" w:cs="Arial" w:eastAsia="Arial" w:hAnsi="Arial"/>
          <w:sz w:val="18"/>
          <w:szCs w:val="18"/>
          <w:color w:val="auto"/>
        </w:rPr>
      </w:pPr>
    </w:p>
    <w:p>
      <w:pPr>
        <w:ind w:left="700" w:right="79" w:hanging="326"/>
        <w:spacing w:after="0" w:line="34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23" w:lineRule="exact"/>
        <w:rPr>
          <w:rFonts w:ascii="Arial" w:cs="Arial" w:eastAsia="Arial" w:hAnsi="Arial"/>
          <w:sz w:val="16"/>
          <w:szCs w:val="16"/>
          <w:color w:val="auto"/>
        </w:rPr>
      </w:pPr>
    </w:p>
    <w:p>
      <w:pPr>
        <w:ind w:left="700" w:right="79" w:hanging="32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impede us from obtaining additional financing in the future for working capital, capital expenditures, acquisitions and general corporate purposes;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restrictions on us with respect to the use of our available cash, including in connection with future transactions;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could limit our ability to execute on our acquisition strategy; and</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us more vulnerable in the event of a downturn in our business prospects and could limit our flexibility to plan for, or react to, changes in our sales and licensing channels.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event that we fail in the future to make any required payment under the agreements governing our indebtedness or if we fail to comply with the financial and operating covenants contained in those agreements, we would be in default with respect to that indebtedness and the lenders could declare such indebtedness to be immediately due and payable. Our prior credit facility with Bank Hapoalim B.M. had been amended in the past (including for the years ended December 31, 2020 and 2019) to eliminate or change the minimum EBITDA (as defined in the agreement) requirement for specified periods. The impact the COVID-19 pandemic will have on our operating results could result in our inability to comply with certain debt covenants and require the lenders under the loan agreement to waive compliance with or agree to amend any such covenant to avoid a default. There can be no assurance that the lenders will amend or grant waivers to the loan agreement to adjust or eliminate covenants or waive our non-compliance or breach of a financial or other covenant in the future. Termination of any of the Qurate Agreements would also result in a default under our loan agreement. A debt default could significantly diminish the market value and marketability of our common stock and could result in the acceleration of the payment obligations under all or a portion of our indebtedness, or a renegotiation of our loan agreement with more onerous terms and/or additional equity dilution. Since substantially all of our debt obligations are secured by our assets, upon a default, our lenders may be able to foreclose on our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A substantial portion of our licensing revenue is concentrated with a limited number of licensees such that the loss of any of such licensees could decrease our revenue and impair our cash flows.</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 substantial portion of our revenues has been paid by Qurate, through the respective agreements with Qurate through QVC and HSN. During the years ended December 31, 2020 and 2019, Qurate accounted for approximately 60% and 53%, respectively, of our total revenue. Because we are dependent on these agreements with Qurate for a significant portion of our revenues, if Qurate were to have financial difficulties, or if Qurate decides not to renew or extend its existing agreements with us, our revenue and cash flows could be reduced substantially. Our cash flow would also be significantly impacted if there were significant delays in our collection of receivables from Qurate. Additionally, we have limited control over the programming that Qurate devotes to our brands or its promotional sales with our brands (such as “Today’s Special Value” sales). Qurate has reduced the programming time it devotes to jewelry and, accordingly, also to our Ripka brand, and if Qurate further reduces or modifies its programming or promotional sales related to our brands, our revenues and cash flows could be reduced substantially. In order to increase sales of a brand through Qurate, we generally require additional television programming time dedicated to the brand by Qurate. Qurate is not required to devote any minimum amount of programming time for any of our brands.</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While our business with Qurate has grown since the IsaacMizrahiLIVE brand was launched through December 31, 2017, our 2018 Qurate revenues were flat to 2017, and Qurate revenues declined from 2018 to 2019 and again from 2019 to 2020. There is no guarantee that our Qurate revenues will grow in the future or that they will not decline.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Qurate.</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agreements with Qurate restrict us from selling products under our brands with certain retailers, or branded products we sell on Qurate to any other retailer except certain interactive television channels in other territories approved by Qurate, and provides Qurate with a right to terminate the respective agreement if we breach these provisions.</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Although most of our licenses and our Qurate Agreements prohibit the sale of products under our brands to retailers who are restricted by Qurate, and our license agreements with other interactive television companies prohibit such licensees from selling products to retailers restricted by Qurate under the brands we sell on Qurate outside of certain approved territories, one or more of our licensees could sell to a restricted retailer or territory, putting us in breach of our agreements with Qurate and exposing us to potential termination by Qurate. A breach of any of these agreements could also result in Qurate seeking monetary damages, seeking an injunction against us and our other licensees, reducing the programming time allocated to our brands, and/or terminating the respective agreement, which could have a material adverse effect on our net income and cash flows. Termination of any one of our agreements with Qurate would result in a default under our credit facility with Bank Hapoalim B.M. and would also enable Bank Hapoalim B.M. to foreclose on our assets, including our membership interests in our subsidiaries, which combined currently hold all of our trademarks and other intangible assets.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dependent upon the promotional services of Isaac Mizrahi as they relate to the Mizrahi brands.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we lose the services of Isaac Mizrahi, we may not be able to fully comply with the terms of our agreement with Qurate, and it may result in significant reductions in the value of the Mizrahi brands and our prospects, revenues, and cash flows. Isaac Mizrahi is a key individual in our continued promotion of the Mizrahi brands and the principal salesperson of the Mizrahi brands on Qurate. Failure of Isaac Mizrahi to provide services to Qurate could result in a termination of the IM Qurate Agreement, which could trigger an event of default under our credit facility with Bank Hapoalim B.M. Although we have entered into an employment agreement with Mr. Mizrahi and he is a significant stockholder of Xcel, there is no guarantee that we will not lose his services. To the extent that any of Mr. Mizrahi’s services become unavailable to us, we will likely need to find a replacement for Mr. Mizrahi to promote the Mizrahi brands. Competition for skilled designers and high-profile brand promoters is intense, and compensation levels may be high, and there is no guarantee that we would be able to identify and attract a qualified replacement, or if Mr. Mizrahi’s services are not available to us, that we would be able to promote the Mizrahi brands as well as we are able to with Mr. Mizrahi. This could significantly affect the value of the Mizrahi brands and our ability to market the brands, and could impede our ability to fully implement our business</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plan and future growth strategy, which would harm our business and prospects. Additionally, while we acquired all trademarks, image, and likeness of Isaac Mizrahi, pursuant to the acquisition of the Mizrahi business and his employment agreement, Mr. Mizrahi has retained certain rights to participate in outside business activities, including hosting and appearing in television shows, movies and theater productions, and writing and publishing books and other publications. Mr. Mizrahi’s participation in these personal business ventures could limit his availability to us and affect his ability to perform under this employment agreement. Finally, there is no guarantee that Mr. Mizrahi will not take an action that consumers view as negative, which may harm the Mizrahi brands as well as our business and prospects.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are dependent upon the promotional services of Lori Goldstein as they relate to the Logo Lori Goldstein brands.</w:t>
      </w:r>
    </w:p>
    <w:p>
      <w:pPr>
        <w:spacing w:after="0" w:line="24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If we lose the services of Lori Goldstein, we may not be able to fully comply with the terms of our agreement with Qurate, and it may result in significant reductions in the value of the Logo Lori Goldstein brands and our prospects, revenues, and cash flows. Lori Goldstein is a key individual in our continued promotion of the Logo Lori Goldstein brands and the principal salesperson of the Logo Lori Goldstein brands on Qurate. Failure of Lori Goldstein to provide services to Qurate could result in a termination of related agreements with Qurate, which could trigger an event of default under our credit facility with Bank Hapoalim B.M. Although we have entered into an employment agreement with Ms. Goldstein, there is no guarantee that we will not lose her services. To the extent that any of Ms. Goldstein’s services become unavailable to us, we will likely need to find a replacement for Ms. Goldstein to promote the Logo Lori Goldstein brands. Competition for skilled designers and high-profile brand promoters is intense, and compensation levels may be high, and there is no guarantee that we would be able to identify and attract a qualified replacement, or if Ms. Goldstein’s services are not available to us, that we would be able to promote the Logo Lori Goldstein brands as well as we are able to with Ms. Goldstein. This could significantly affect the value of the Logo Lori Goldstein brands and our ability to market the brands, and could impede our ability to fully implement our business plan and future growth strategy, which would harm our business and prospects. Additionally, while we acquired all trademarks, image, and likeness of Lori Goldstein, pursuant to the acquisition of the Logo Lori Goldstein assets and her employment agreement, Ms. Goldstein has retained certain rights to participate in outside business activities, including hosting and appearing in television shows, movies and theater productions, and writing and publishing books and other publications. Ms. Goldstein’s participation in these personal business ventures could limit her availability to us and affect her ability to perform under this employment agreement. Finally, there is no guarantee that Ms. Goldstein will not take an action that consumers view as negative, which may harm the Logo Lori Goldstein brands as well as our business and prospects.</w:t>
      </w:r>
    </w:p>
    <w:p>
      <w:pPr>
        <w:spacing w:after="0" w:line="3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 and impact our ability to service our debt obligations.</w:t>
      </w:r>
    </w:p>
    <w:p>
      <w:pPr>
        <w:spacing w:after="0" w:line="16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Our revenues are dependent on payments made to us under our licensing agreements. Although the licensing agreements for our brands typically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jeopardize our ability to meet the financial covenant requirements in connection with our debt facility or facilities. Further, such failure may impact our ability to make required payments with respect to such indebtedness. The failure to satisfy our financial covenant requirements or to make such required payments would give our lenders the right to accelerate all obligations under our debt facility or facilities and foreclose on our trademarks, license agreements, and other related assets securing such notes.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77" w:lineRule="auto"/>
        <w:rPr>
          <w:sz w:val="20"/>
          <w:szCs w:val="20"/>
          <w:color w:val="auto"/>
        </w:rPr>
      </w:pPr>
      <w:r>
        <w:rPr>
          <w:rFonts w:ascii="Arial" w:cs="Arial" w:eastAsia="Arial" w:hAnsi="Arial"/>
          <w:sz w:val="18"/>
          <w:szCs w:val="18"/>
          <w:b w:val="1"/>
          <w:bCs w:val="1"/>
          <w:i w:val="1"/>
          <w:iCs w:val="1"/>
          <w:color w:val="auto"/>
        </w:rPr>
        <w:t>Our business is dependent on continued market acceptance of our brands and any future brands we acquire and the products of our licensees.</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Although many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our trademarks. In addition, if such devaluation of our trademarks were to occur, a material impairment in the carrying value of one or more of our trademarks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6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Negative claims or publicity regarding Xcel,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88"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expect to achieve growth based upon our plans to expand our business under our existing brands. If we fail to manage our expected future growth, our business and operating results could be materially harmed.</w:t>
      </w:r>
    </w:p>
    <w:p>
      <w:pPr>
        <w:spacing w:after="0" w:line="14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expect to achieve growth in our existing brands through expansion of our wholesale business and e-commerce platforms. Revenue growth is expected to come from new wholesale accounts and increased traffic to our e-commerce sites. We continue to seek new opportunities and international expansion through interactive television and licensing arrangements. The success of our company, however, will still remain largely dependent on our ability to build and maintain broad market acceptance of our brands, to contract with and retain key licensees and on our licensees’ ability to accurately predict upcoming fashion and design trends within customer bases and fulfill the product requirements of retail channels within the global marketplace.</w:t>
      </w:r>
    </w:p>
    <w:p>
      <w:pPr>
        <w:spacing w:after="0" w:line="19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Our recent growth has placed, and our anticipated future growth will continue to place, considerable demands on our management and other resources. Our ability to compete effectively and to manage future growth, if any, will depend on the sufficiency and adequacy of our current resources and infrastructure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competition for retail licenses and brand acquisitions, and insufficient capitalization for future transactions.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We are subject to the risks associated with our Judith Ripka brand’s wholesale and direct-to-consumer model.</w:t>
      </w:r>
    </w:p>
    <w:p>
      <w:pPr>
        <w:spacing w:after="0" w:line="24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commenced e-commerce sales and wholesales of our Judith Ripka brand in 2017 and 2018, respectively. In 2019, we completed the transition of our non-interactive television operations of our Judith Ripka brand to a wholesale and direct-to-consumer model, thus changing these operations from a licensed model to a wholesale and direct-to-consumer business model. As a result, we do not have a well-established history of conducting these operations.</w:t>
      </w:r>
    </w:p>
    <w:p>
      <w:pPr>
        <w:spacing w:after="0" w:line="17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produce product for our Judith Ripka brands to hold as inventory for sales through our website and wholesale accounts. If we misjudge the market for our Judith Ripka products, we may be faced with significant excess inventory for some products and missed opportunities for other products. In addition, weak sales and mark downs by our retailers or our need to liquidate excess inventory could adversely affect our results of operations. If we are not successful in managing our inventory balances, our cash flows and operating results may be adversely affected.</w:t>
      </w:r>
    </w:p>
    <w:p>
      <w:pPr>
        <w:spacing w:after="0" w:line="1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If our customers change their buying patterns, request additional allowances, develop their own private label brands or enter into agreements with national brand manufacturers to sell their products on an exclusive basis, our sales to these customers could be materially adversely affected.</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Our customers’ buying patterns, as well as the need to provide additional allowances to customers, could have a material adverse effect on our business, results of operations and financial condition. Customers’ strategic initiatives, including developing their own private labels brands, selling national brands on an exclusive basis, reducing the number of vendors they purchase from, or reducing the floor space dedicated to our brands could also impact our sales to these customers. There is a trend among major retailers to concentrate purchasing among a narrowing group of vendors. To the extent that any key customer reduces the number of its vendors or allocates less floor space for our products and, as a result, reduces or eliminates purchases from us, there could be a material adverse effect on us.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Intense competition in the apparel, fashion, and jewelry industries could reduce our sales and profitability.</w:t>
      </w:r>
    </w:p>
    <w:p>
      <w:pPr>
        <w:spacing w:after="0" w:line="23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71" w:lineRule="exact"/>
        <w:rPr>
          <w:sz w:val="20"/>
          <w:szCs w:val="20"/>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and maintaining favorable brand recognition;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products that appeal to consumers;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pricing products appropriately;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determining and maintaining product quality;</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access to sufficient floor space in retail locations;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providing appropriate services and support to retailers;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growing market share;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maintaining a competitive e-commerce site;</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hiring and retaining key employees;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protecting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Competition in the apparel, fashion and jewelry industries is intense and is dominated by a number of very large brands, many of which have longer operating histories, larger customer bases, more established relationships with a broader set of suppliers,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spacing w:after="0" w:line="161"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Because of the intense competition within our existing and potential wholesale licensees’ markets and the strength of some of their competitors, we and our licensees may not be able to continue to compete successfully.</w:t>
      </w:r>
    </w:p>
    <w:p>
      <w:pPr>
        <w:spacing w:after="0" w:line="12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92" w:lineRule="exact"/>
        <w:rPr>
          <w:sz w:val="20"/>
          <w:szCs w:val="20"/>
          <w:color w:val="auto"/>
        </w:rPr>
      </w:pPr>
    </w:p>
    <w:p>
      <w:pPr>
        <w:jc w:val="both"/>
        <w:ind w:left="60" w:right="239"/>
        <w:spacing w:after="0" w:line="263" w:lineRule="auto"/>
        <w:rPr>
          <w:sz w:val="20"/>
          <w:szCs w:val="20"/>
          <w:color w:val="auto"/>
        </w:rPr>
      </w:pPr>
      <w:r>
        <w:rPr>
          <w:rFonts w:ascii="Arial" w:cs="Arial" w:eastAsia="Arial" w:hAnsi="Arial"/>
          <w:sz w:val="18"/>
          <w:szCs w:val="18"/>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extent of our foreign sourcing may adversely affect our business.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We and our licensees work with several manufacturers overseas, primarily located in China and Thailand. A manufacturing contractor’s failure to ship products to us in a timely manner or to meet the required quality standards could cause us to miss the delivery date requirements of our customers for those items. The failure to make timely deliveries may cause customers to cancel orders, refuse to accept deliveries or demand reduced prices, any of which could have a material adverse effect on us. As a result of the magnitude of our foreign sourcing, our business is subject to the following risks:</w:t>
      </w:r>
    </w:p>
    <w:p>
      <w:pPr>
        <w:spacing w:after="0" w:line="161" w:lineRule="exact"/>
        <w:rPr>
          <w:sz w:val="20"/>
          <w:szCs w:val="20"/>
          <w:color w:val="auto"/>
        </w:rPr>
      </w:pPr>
    </w:p>
    <w:p>
      <w:pPr>
        <w:jc w:val="both"/>
        <w:ind w:left="700" w:right="79" w:hanging="326"/>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in countries or regions, especially Asia, including heightened terrorism and other security concerns, which could subject imported or exported goods to additional or more frequent inspections, leading to delays in deliveries or impoundment of goods;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regulations, quotas and other trade restrictions relating to imports, including quotas imposed by bilateral textile agreements between the U.S. and foreign countries;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increased duties, taxes and other charges on imports;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pandemics and disease outbreaks such as COVID-19;</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union strikes at ports through which our products enter the U.S.;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shortages in countries where contractors and suppliers are located;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transfer of funds to or from foreign countries;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disease epidemics and health-related concerns, which could result in closed factories, reduced workforces, scarcity of raw materials and scrutiny or embargoing of goods produced in infected areas;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migration and development of manufacturing contractors, which could affect where our products are or are planned to be produced;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the costs of fuel, travel and transportation;</w:t>
      </w:r>
    </w:p>
    <w:p>
      <w:pPr>
        <w:spacing w:after="0" w:line="225"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manufacturing flexibility because of geographic distance between our foreign manufacturers and us, increasing the risk that we may have to mark down unsold inventory as a result of misjudging the market for a foreign-made product; and</w:t>
      </w:r>
    </w:p>
    <w:p>
      <w:pPr>
        <w:spacing w:after="0" w:line="183" w:lineRule="exact"/>
        <w:rPr>
          <w:rFonts w:ascii="Arial" w:cs="Arial" w:eastAsia="Arial" w:hAnsi="Arial"/>
          <w:sz w:val="18"/>
          <w:szCs w:val="18"/>
          <w:color w:val="auto"/>
        </w:rPr>
      </w:pPr>
    </w:p>
    <w:p>
      <w:pPr>
        <w:ind w:left="700" w:hanging="32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violations by foreign contractors of labor and wage standards and resulting adverse publicity.</w:t>
      </w:r>
    </w:p>
    <w:p>
      <w:pPr>
        <w:spacing w:after="0" w:line="22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If these risks limit or prevent us from manufacturing products in any significant international market, prevent us from acquiring products from foreign suppliers, or significantly increase the cost of our products, our operations could be seriously disrupted until alternative suppliers are found or alternative markets are developed, which could negatively impact our business.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pandemic outbreak of disease or similar public health threat, or fear of such an event, could have a material adverse impact on the Company's business, operating results and financial condition</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A pandemic or outbreak of disease or similar public health threat, such as the COVID-19 pandemic, or fear of such an event, could have a material adverse impact on our business, operating results, and financial condition. The current COVID-19 pandemic has caused a disruption to our business, beginning in March 2020. The impacts of the current COVID-19 pandemic are broad reaching and are having an impact on our licensing and wholesale businesses. The COVID-19 pandemic is impacting our supply chain as most of our products are manufactured in China, Thailand, and other places around the world affected by this event.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pandemic has affected the financial health of certain of our customers, and the bankruptcy of certain other customers, including Lord &amp; Taylor and Le Tote, Stein Mart, and Century 21, from which we had an aggregate of $1.21 million of accounts receivable due at December 31, 2020. As a result, we have recognized an allowance for doubtful accounts of $0.97 million for the year ended December 31, 2020,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We expect that the impact the COVID-19 pandemic may have on our operating results could result in our inability to comply with certain debt covenants and require BHI to waive compliance with, or agree to amend, any such covenant to avoid a default. The COVID-19 pandemic is ongoing, and its dynamic nature, including uncertainties relating to the ultimate geographic spread of the virus, the severity of the disease, the duration of the pandemic, and actions that would be taken by governmental authorities to contain the pandemic or to treat its impact, makes it difficult to forecast any effects on our 2021 results. However, as of the date of this filing, we expect our results for 2021 to be negatively affected.</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not be entitled to forgiveness of our recently received Paycheck Protection Program loan, and our application for the Paycheck Protection Program loan could in the future be determined to have been impermissible or could result in damage to our reputation.</w:t>
      </w:r>
    </w:p>
    <w:p>
      <w:pPr>
        <w:spacing w:after="0" w:line="18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We received an unsecured loan in the amount of $1,805,856 (the “PPP Loan”) pursuant to the Paycheck Protection Program (the “PPP”) under the Coronavirus Aid, Relief, and Economic Security Act (the “CARES Act”). The PPP Loan has a two-year term and bears interest at a rate of 1.0% per annum. Monthly principal and interest payments are deferred for six months after the date of disbursement. The PPP Loan may be prepaid at any time prior to maturity with no prepayment penalties. The Promissory Note contains events of default and other provisions customary for a loan of this type. The Paycheck Protection Program provides that the PPP Loan may be partially or wholly forgiven if the funds are used for certain qualifying expenses as described in the CARES Act. Such forgiveness will be determined, subject to limitations, based on the use of loan proceeds for payment of payroll costs and any payments of mortgage interest, rent, and utilities. However, no assurance is provided that forgiveness for any portion of the PPP Loan will be obtained.</w:t>
      </w:r>
    </w:p>
    <w:p>
      <w:pPr>
        <w:spacing w:after="0" w:line="166"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In order to apply for the PPP Loan, we were required to certify, among other things, that the current economic uncertainty made the PPP Loan request necessary to support our ongoing operations.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of the CARES Act. The certification described above did not contain any objective criteria and is subject to interpretation. However, on April 23, 2020, the U.S. Small Business Administration (“SBA”) issued guidance stating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we satisfied all eligible requirements for the PPP Loan, we or any company that we may acquire in the future which received a loan under the PPP, are later determined to have violated any of the laws or governmental regulations that apply to us or such acquiree in connection with the PPP Loan or another loan under the PPP, respectively, such as the False Claims Act, or it is otherwise determined that we or such acquiree were ineligible to receive the PPP Loan or such other loan under the PPP, respectively, we or such acquiree may be subject to penalties, including significant civil, criminal and administrative penalties, and could be required to repay the PPP Loan or such other loan under the PPP, respectively, in its entirety. In addition, our receipt of the PPP Loan or any company that we may acquire in the future which received a loan under the PPP may result in adverse publicity and damage to our reputation, and a review or audit by the SBA or other government entity or claims under the False Claims Act could consume significant financial and management resources.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Fluctuations in the price, availability and quality of raw materials could cause delays and increase costs and cause our operating results and financial condition to suffer.</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Fluctuations in the price, availability and quality of the fabrics or other raw materials, particularly cotton, silk, leather and synthetics used in our manufactured apparel, and gold, silver and other precious and semi-precious metals and gem stones used in our jewelry, could have a material adverse effect on cost of sales or our ability to meet customer demands. The prices of fabrics, precious and semi-precious metals and gemstones depend largely on the market prices of the raw materials used to produce them. The price and availability of the raw materials and, in turn, the fabrics, precious and semi-precious metals and gem stones used in our apparel and jewelry may fluctuate significantly, depending on many factors, including crop yields, weather patterns, labor costs and changes in oil prices. We may not be able to create suitable design</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solutions that utilize raw materials with attractive prices or, alternatively, to pass higher raw materials prices and related transportation costs on to our customers. We are not always successful in our efforts to protect our business from the volatility of the market price of raw materials, and our business can be materially affected by dramatic movements in prices of raw materials. The ultimate effect of this change on our earnings cannot be quantified, as the effect of movements in raw materials prices on industry selling prices are uncertain, but any significant increase in these prices could have a material adverse effect on our business, financial condition and operating results.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reliance on independent manufacturers could cause delays or quality issues which could damage customer relationships.</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We use approximately eight independent manufacturers to assemble or produce all of our products. We are dependent on the ability of these independent manufacturers to adequately finance the production of goods ordered and maintain sufficient manufacturing capacity. The use of independent manufacturers to produce finished goods and the resulting lack of direct control could subject us to difficulty in obtaining timely delivery of products of acceptable quality. We generally do not have long-term written agreements with any independent manufacturers. As a result, any single manufacturing contractor could unilaterally terminate its relationship with us at any time. Supply disruptions from these manufacturers (or any of our other manufacturers) could have a material adverse effect on our ability to meet customer demands, if we are unable to source suitable replacement materials at acceptable prices or at all. Moreover, alternative manufacturers, if available, may not be able to provide us with products or services of a comparable quality, at an acceptable price or on a timely basis. We may also, from time to time, make a decision to enter into a relationship with a new manufacturer. Identifying a suitable supplier is an involved process that requires us to become satisfied with their quality control, responsiveness and service, financial stability and labor and other ethical practices. There can be no assurance that there will not be a disruption in the supply of our products from independent manufacturers or that any new manufacturer will be successful in producing our products in a manner we expected. The failure of any independent manufacturer to perform or the loss of any independent manufacturer could have a material adverse effect on our business, results of operations and financial condition.</w:t>
      </w:r>
    </w:p>
    <w:p>
      <w:pPr>
        <w:spacing w:after="0" w:line="18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independent manufacturers fail to use ethical business practices and comply with applicable laws and regulations, our brand image could be harmed due to negative publicity.</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have established and currently maintain operating guidelines which promote ethical business practices such as fair wage practices, compliance with child labor laws and other local laws. While we monitor compliance with those guidelines, we do not control our independent manufacturers or their business practices. Accordingly, we cannot guarantee their compliance with our guidelines. A lack of demonstrated compliance could lead us to seek alternative suppliers, which could increase our costs and result in delayed delivery of our products, product shortages or other disruptions of our operations.</w:t>
      </w:r>
    </w:p>
    <w:p>
      <w:pPr>
        <w:spacing w:after="0" w:line="19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Violation of labor or other laws by our independent manufacturers or the divergence of an independent manufacturer’s labor or other practices from those generally accepted as ethical in the U.S. or other markets in which we do business could also attract negative publicity for us and our brand. From time to time, our audit results have revealed a lack of compliance in certain respects, including with respect to local labor, safety and environmental laws. Other fashion companies have faced criticism after highly-publicized incidents or compliance issues have occurred or been exposed at factories producing their products. To the extent our manufacturers do not bring their operations into compliance with such laws or resolve material issues identified in any of our audit results, we may face similar criticism and negative publicity. This could diminish the value of our brand image and reduce demand for our merchandise. In addition, other fashion companies have encountered organized boycotts of their products in such situations. If we, or other companies in our industry, encounter similar problems in the future, it could harm our brand image, stock price and results of operations.</w:t>
      </w:r>
    </w:p>
    <w:p>
      <w:pPr>
        <w:spacing w:after="0" w:line="16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Monitoring compliance by independent manufacturers is complicated by the fact that expectations of ethical business practices continually evolve, may be substantially more demanding than applicable legal requirements and are driven in part by legal developments and by diverse groups active in publicizing and organizing public responses to perceived ethical shortcomings. Accordingly, we cannot predict how such expectations might develop in the future and cannot be certain that our guidelines would satisfy all parties who are active in monitoring and publicizing perceived shortcomings in labor and other business practices worldwide.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are unable to identify and successfully acquire additional trademarks, our growth may be limited and, even if additional trademarks are acquired, we may not realize anticipated benefits due to integration or licensing difficulties.</w:t>
      </w:r>
    </w:p>
    <w:p>
      <w:pPr>
        <w:spacing w:after="0" w:line="10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While we are focused on growing our existing brands, we intend to selectively seek to acquire additional intellectual property. However, as our competitors continue to pursue a brand management model, acquisitions may become more expensive and suitable acquisition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92"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Although we will seek to temper our acquisition risks by following acquisition guidelines relating to purchase price and valuation, projected returns, existing strength of the brand, its diversification benefits to us, its potential licensing scale and creditworthiness of licensee base, acquisitions,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76" w:lineRule="exact"/>
        <w:rPr>
          <w:sz w:val="20"/>
          <w:szCs w:val="20"/>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costs associated with the target acquisition or its integration with our company;</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or consummate additional quality business opportunities, including potential licenses and new product lines and markets;</w:t>
      </w:r>
    </w:p>
    <w:p>
      <w:pPr>
        <w:spacing w:after="0" w:line="170"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negative effects on reported results of operations from acquisition related charges and costs, and amortization of acquired intangibles;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challenges of maintaining focus on, and continuing to execute, core strategies and business plans as our brand and license portfolio grows and becomes more diversified;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effects on existing licensing and other relationships;</w:t>
      </w:r>
    </w:p>
    <w:p>
      <w:pPr>
        <w:spacing w:after="0" w:line="225"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183"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70"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in our acquisitions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acquisition, we may elect to pursue the acquisition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a result, there is no guarantee that our stockholders will achieve greater returns as a result of any future acquisitions we complete.</w:t>
      </w:r>
    </w:p>
    <w:p>
      <w:pPr>
        <w:spacing w:after="0" w:line="170"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b w:val="1"/>
          <w:bCs w:val="1"/>
          <w:i w:val="1"/>
          <w:iCs w:val="1"/>
          <w:color w:val="auto"/>
        </w:rPr>
        <w:t>Our failure to protect our proprietary rights could compromise our competitive position and decrease the value of our brands.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 Intellectual property rights may be unavailable or limited in some countries because standards of registration and ownership vary internationally. Consequently, in certain foreign jurisdictions, we have elected or may elect not to apply for trademark registrations. Also, in certain jurisdictions, as described above, certain H by Halston and H Halston trademark registrations or applications that we acquired (including but not limited to those based upon “intent to use”) may not yet be recorded in our name, due to laws governing the timing and nature of certain trademark assignments. Where laws limit our ability to record in our name trademarks that we have purchased, we have obtained by way of license all necessary rights to operate our business.</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76"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success is largely dependent upon the efforts of Robert W. D’Loren, our Chief Executive Officer and Chairman of our board of directors. Our continued success is largely dependent upon his continued efforts and those of our other key executives. Although we entered into an employment agreement with Mr. D’Loren, as well as employment agreements with other executives and key employees, including Isaac Mizrahi,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 In addition, Bank Hapoalim B.M. requires that Robert W. D’Loren is the Chairman of the board of directors of the Company. The failure of Mr. D’Loren to continue in his duties as Chairman of our board of directors would result in a default under the credit facility with Bank Hapoalim B.M.</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trademarks and other intangible assets are subject to impairment charges under accounting guidelines.</w:t>
      </w:r>
    </w:p>
    <w:p>
      <w:pPr>
        <w:spacing w:after="0" w:line="237"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Intangible assets including our trademarks represent a substantial portion of our assets. Under accounting principles generally accepted in the United States of America (“GAAP”), indefinite lived intangible assets, including our trademarks, are not amortized, but must be tested for impairment annually or more frequently if events or circumstances indicate the asset may be impaired. The estimated useful life of an intangible asset must be evaluated each reporting period to determine whether events and circumstances continue to support an indefinite useful life. Finite lived intangible assets are amortized over their estimated useful lives.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For the year ended December 31, 2019, we recorded a $6.2 million impairment charge related to the Ripka Brand trademarks, driven by the timing of the continued transition from a licensing model to a wholesale and direct-to-consumer model. For the year ended December 31, 2020, we recorded a $13.0 million impairment charge related to the Ripka Brand trademarks, driven by delays and uncertainty in implementing the brick-and-mortar retail store strategy for a portion of the brand, primarily as a result of the novel coronavirus disease pandemic. Any further write-down of intangible assets resulting from future periodic evaluations would, as applicable, either decrease our net income or increase our net loss and those decreases or increases could be material.</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Changes in effective tax rates or adverse outcomes resulting from examination of our income or other tax returns could adversely affect our results.</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years ended December 31, 2017 through December 31, 2020.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must successfully maintain and/or upgrade our information technology systems.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70"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and availability of credit and tax rates in the general economy and in the international, regional and local markets in which our products are sold and the impact of natural disasters and pandemics and disease outbreaks such as the COVID-19 pandemic.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sales volumes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8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System security risk issues as well as other major system failures could disrupt our internal operations or information technology services, and any such disruption could negatively impact our net sales, increase our expenses and harm our reputation.</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Experienced computer programmers and hackers, and even internal users, may be able to penetrate our network security and misappropriate our confidential information or that of third parties, including our customers, enter into or facilitate fraudulent transactions, create system disruptions or cause shutdowns.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 In addition, we rely on third parties for the operation of our websites, and for the various social media tools and websites we use as part of our marketing strategy.</w:t>
      </w:r>
    </w:p>
    <w:p>
      <w:pPr>
        <w:spacing w:after="0" w:line="16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including the European Union’s general data protection regulations to be effective in May 2018,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Changes in laws could make conducting our business more expensive or otherwise change the way we do business.</w:t>
      </w:r>
    </w:p>
    <w:p>
      <w:pPr>
        <w:spacing w:after="0" w:line="24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9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8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ensure compliance with this legislation for the years ended December 31, 2020 and 2019, and will continue to do so for future fiscal periods. We cannot be certain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8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not satisfied with the level at which our controls are documented, designed or operating. Our remediation efforts may not enable us to avoid a material weakness or significant deficiency in the future.</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70"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Pursuant to a voting agreement, IM Ready-Made, LLC, Isaac Mizrahi, and Marisa Gardini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each of Judith Ripka and the H Company IP, LLC and certain other parties have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6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combined voting power of the common stock ownership of our officers, directors, and key employees is approximately 60% of our voting securities as of March 26, 2021. As a result, our management and key employees through such stock ownership will exercise significant influence over all matters requiring shareholder approval, including the election of our directors and approval of significant corporate transactions. This concentration of ownership in management and key employees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8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 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common stock is currently thinly traded, and you may be unable to sell at or near ask prices or at all if you need to sell or liquidate a substantial number of shares at one time.</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Although our common stock is listed on the NASDAQ Global Market, our common stock is currently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has declined over the past three years and may be volatile, which could reduce the market price of our common stock.</w:t>
      </w:r>
    </w:p>
    <w:p>
      <w:pPr>
        <w:spacing w:after="0" w:line="170"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Currently the publicly traded shares of our common stock are not widely held, and do not have significant trading volume, and, therefore, may experience significant price and volume fluctuations. Although our common stock is quoted on the NASDAQ Global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few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7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Rule 3a51-1 of the Exchange Act establishes the definition of a “penny stock,” for purposes relevant to us, as any equity security that has a minimum bid price of less than $5.00 per share or with an exercise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70" w:lineRule="exact"/>
        <w:rPr>
          <w:sz w:val="20"/>
          <w:szCs w:val="20"/>
          <w:color w:val="auto"/>
        </w:rPr>
      </w:pP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basis on which the broker or dealer made the suitability determination;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 and disclosure requirements could impede the sale of our common stock even if and when our common stock becomes listed on the NASDAQ Global Market. In addition, the liquidity for our common stock may decrease, with a corresponding decrease in the price of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Although our common stock closed at $2.25 per share on April 13, 2021, no assurance can be given that the per share price of our common stock will maintain such levels or that our stock will not be subject to these “penny stock” rules in the future.</w:t>
      </w:r>
    </w:p>
    <w:p>
      <w:pPr>
        <w:spacing w:after="0" w:line="184"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issue a substantial number of shares of common stock upon exercise of outstanding warrants and options and to satisfy obligations to the H Company IP, LLC (the “Halston Heritage Earn-Out”) if certain conditions, including royalty revenue targets, are met.</w:t>
      </w:r>
    </w:p>
    <w:p>
      <w:pPr>
        <w:spacing w:after="0" w:line="184"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As of December 31, 2020, we had outstanding warrants and options to purchase 7,759,190 shares of our common stock.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w:t>
      </w:r>
    </w:p>
    <w:p>
      <w:pPr>
        <w:spacing w:after="0" w:line="17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issuance of shares to satisfy such obligations and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2020, we had an aggregate of 1,549,598 shares of common stock available for grants under our Amended and Restated 2011 Equity Incentive Plan (the "Plan") to our directors, executive officers, employees, and consultants. Issuances of common stock pursuant to the exercise of stock options or other stock grants or awards which may be granted under our Plan will dilute your interest in us.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do not anticipate paying cash dividends on our common stock.</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with Bank Hapoalim B.M. limits the amount of cash dividends we may pay while amounts under the credit facility are outstanding.</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Provisions of our corporate charter documents could delay or prevent change of control.</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b w:val="1"/>
          <w:bCs w:val="1"/>
          <w:i w:val="1"/>
          <w:iCs w:val="1"/>
          <w:color w:val="auto"/>
        </w:rPr>
        <w:t>Holders of our common stock may be subject to restrictions on the use of Rule 144 by shell companies or former shell companies.</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67"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We currently lease and maintain our corporate offices and operations facility located at 1333 Broadway, 10th floor, New York, New York. We entered into a lease agreement on July 8, 2015 for such offices of approximately 29,600 square feet of office space. This lease commenced on March 1, 2016 and shall expire on October 30, 2027.</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also lease approximately 18,500 square feet of office space at 475 Tenth Avenue, 4th Floor, New York, New York. This location represents our former corporate offices and operations facility, which we relocated to our current location described above in June 2016. This lease shall expire on February 28, 2022. We are currently subleasing this office space to a third-party subtenant through February 27, 2022.</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also lease approximately 1,300 square feet of retail space for a planned future retail store location in Westchester, New York.</w:t>
      </w:r>
    </w:p>
    <w:p>
      <w:pPr>
        <w:spacing w:after="0" w:line="166"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183" w:lineRule="exact"/>
        <w:rPr>
          <w:sz w:val="20"/>
          <w:szCs w:val="20"/>
          <w:color w:val="auto"/>
        </w:rPr>
      </w:pPr>
    </w:p>
    <w:p>
      <w:pPr>
        <w:ind w:left="60"/>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3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common stock is listed on the NASDAQ Global Market, under the trading symbol “XELB.”</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table below sets forth the range of quarterly high and low sales prices for our common stock in 2020 and 2019:</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December 31, 2020</w:t>
            </w: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Second Quarter</w:t>
            </w:r>
          </w:p>
        </w:tc>
        <w:tc>
          <w:tcPr>
            <w:tcW w:w="2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Fourth Quarter</w:t>
            </w:r>
          </w:p>
        </w:tc>
        <w:tc>
          <w:tcPr>
            <w:tcW w:w="2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December 31, 2019</w:t>
            </w:r>
          </w:p>
        </w:tc>
        <w:tc>
          <w:tcPr>
            <w:tcW w:w="2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Second Quarter</w:t>
            </w:r>
          </w:p>
        </w:tc>
        <w:tc>
          <w:tcPr>
            <w:tcW w:w="2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Fourth Quarter</w:t>
            </w:r>
          </w:p>
        </w:tc>
        <w:tc>
          <w:tcPr>
            <w:tcW w:w="29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of December 31, 2020, the number of our stockholders of record was 578 (excluding beneficial owners and any shares held in street name or by nominees).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have never declared or paid any cash dividends on our common stock. In addition, our credit facility with Bank Hapoalim B.M. limits the amount of cash dividends we may pay while amounts under the credit facility are outstanding. Furthermore,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Plan, as amended.</w:t>
      </w:r>
    </w:p>
    <w:p>
      <w:pPr>
        <w:spacing w:after="0" w:line="171" w:lineRule="exact"/>
        <w:rPr>
          <w:sz w:val="20"/>
          <w:szCs w:val="20"/>
          <w:color w:val="auto"/>
        </w:rPr>
      </w:pPr>
    </w:p>
    <w:p>
      <w:pPr>
        <w:ind w:left="700" w:right="79" w:hanging="32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Plan provides for the grant of stock options or restricted stock (any grant under the Plan, an “Award”). The stock options may be incentive stock options or non-qualified stock options.</w:t>
      </w:r>
    </w:p>
    <w:p>
      <w:pPr>
        <w:spacing w:after="0" w:line="170"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total of 13,000,000 shares of common stock are eligible for issuance under the Plan, and the maximum number of shares of common stock with respect to which incentive stock options may be granted under the Plan is 5,000,000.</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79" w:hanging="326"/>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Plan may be administered by the Board of Directors (the “Board”) or a committee consisting of two or more members of the Board of Directors appointed by the Board (for purposes of this description, any such committee, a “Committee”).</w:t>
      </w:r>
    </w:p>
    <w:p>
      <w:pPr>
        <w:spacing w:after="0" w:line="183" w:lineRule="exact"/>
        <w:rPr>
          <w:rFonts w:ascii="Arial" w:cs="Arial" w:eastAsia="Arial" w:hAnsi="Arial"/>
          <w:sz w:val="18"/>
          <w:szCs w:val="18"/>
          <w:color w:val="auto"/>
        </w:rPr>
      </w:pPr>
    </w:p>
    <w:p>
      <w:pPr>
        <w:jc w:val="both"/>
        <w:ind w:left="700" w:right="79" w:hanging="326"/>
        <w:spacing w:after="0" w:line="255"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Officers and other employees of our Company or any parent or subsidiary of our Company who are at the time of the grant of an Award employed by us or any parent or subsidiary of our Company are eligible to be granted options or other Awards under the Plan. In addition, non-qualified stock options and other Awards may be granted under the Plan to any person, including, but not limited to, directors, independent agents, consultants and attorneys who the Board or the Committee, as the case may be, believes has contributed or will contribute to our success.</w:t>
      </w:r>
    </w:p>
    <w:p>
      <w:pPr>
        <w:spacing w:after="0" w:line="192"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pacing w:after="0" w:line="186" w:lineRule="exact"/>
        <w:rPr>
          <w:rFonts w:ascii="Arial" w:cs="Arial" w:eastAsia="Arial" w:hAnsi="Arial"/>
          <w:sz w:val="18"/>
          <w:szCs w:val="18"/>
          <w:color w:val="auto"/>
        </w:rPr>
      </w:pPr>
    </w:p>
    <w:p>
      <w:pPr>
        <w:jc w:val="both"/>
        <w:ind w:left="700" w:right="79" w:hanging="326"/>
        <w:spacing w:after="0" w:line="286"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w:t>
      </w:r>
    </w:p>
    <w:p>
      <w:pPr>
        <w:spacing w:after="0" w:line="165"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exercise price of a non-qualified stock option may not be less than fair market value of the shares of common stock underlying the option on the date the option is granted.</w:t>
      </w:r>
    </w:p>
    <w:p>
      <w:pPr>
        <w:spacing w:after="0" w:line="170" w:lineRule="exact"/>
        <w:rPr>
          <w:rFonts w:ascii="Arial" w:cs="Arial" w:eastAsia="Arial" w:hAnsi="Arial"/>
          <w:sz w:val="18"/>
          <w:szCs w:val="18"/>
          <w:color w:val="auto"/>
        </w:rPr>
      </w:pPr>
    </w:p>
    <w:p>
      <w:pPr>
        <w:jc w:val="both"/>
        <w:ind w:left="700" w:right="79" w:hanging="326"/>
        <w:spacing w:after="0" w:line="25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187" w:lineRule="exact"/>
        <w:rPr>
          <w:rFonts w:ascii="Arial" w:cs="Arial" w:eastAsia="Arial" w:hAnsi="Arial"/>
          <w:sz w:val="18"/>
          <w:szCs w:val="18"/>
          <w:color w:val="auto"/>
        </w:rPr>
      </w:pPr>
    </w:p>
    <w:p>
      <w:pPr>
        <w:jc w:val="both"/>
        <w:ind w:left="700" w:right="79" w:hanging="326"/>
        <w:spacing w:after="0" w:line="25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87" w:lineRule="exact"/>
        <w:rPr>
          <w:rFonts w:ascii="Arial" w:cs="Arial" w:eastAsia="Arial" w:hAnsi="Arial"/>
          <w:sz w:val="18"/>
          <w:szCs w:val="18"/>
          <w:color w:val="auto"/>
        </w:rPr>
      </w:pPr>
    </w:p>
    <w:p>
      <w:pPr>
        <w:jc w:val="both"/>
        <w:ind w:left="700" w:right="79" w:hanging="326"/>
        <w:spacing w:after="0" w:line="269"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78" w:lineRule="exact"/>
        <w:rPr>
          <w:rFonts w:ascii="Arial" w:cs="Arial" w:eastAsia="Arial" w:hAnsi="Arial"/>
          <w:sz w:val="17"/>
          <w:szCs w:val="17"/>
          <w:color w:val="auto"/>
        </w:rPr>
      </w:pPr>
    </w:p>
    <w:p>
      <w:pPr>
        <w:jc w:val="both"/>
        <w:ind w:left="700" w:right="79" w:hanging="326"/>
        <w:spacing w:after="0" w:line="286" w:lineRule="auto"/>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65" w:lineRule="exact"/>
        <w:rPr>
          <w:rFonts w:ascii="Arial" w:cs="Arial" w:eastAsia="Arial" w:hAnsi="Arial"/>
          <w:sz w:val="17"/>
          <w:szCs w:val="17"/>
          <w:color w:val="auto"/>
        </w:rPr>
      </w:pPr>
    </w:p>
    <w:p>
      <w:pPr>
        <w:ind w:left="700" w:hanging="326"/>
        <w:spacing w:after="0"/>
        <w:tabs>
          <w:tab w:leader="none" w:pos="7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 options or other Awards may be granted on or after the tenth anniversary of the effective date of the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From time to time, the Company issues stock-based compensation to its officers, directors, employees, and consultants. The maximum term of options granted is generally 10 years and generally options vest over a period of six months to four years. However, the Board may approve other vesting schedules. Options may be exercised in whole or in part. The exercise price of stock options granted is generally the fair market value of the Company’s common stock as determined by the Board on the date of grant, considering factors such as the sale of stock, results of operations, and consideration of the fair value of comparable private companies in the industry.</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we use the simplified method to determine the expected term. The risk-free interest rate is based on the U.S. Treasury rates at the date of grant with maturity dates approximately equal to the expected term at the grant date. The historical volatility of comparable companies’ stock is used as the basis for the volatility assumption. The Company has never paid cash dividends, and does not currently intend to pay cash dividends, and thus assumes a 0% dividend yield.</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sets forth information as of December 31, 2020 regarding compensation plans under which our equity securities are authorized for issuance: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Number of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 be 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6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9"/>
        </w:trPr>
        <w:tc>
          <w:tcPr>
            <w:tcW w:w="4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40" w:type="dxa"/>
            <w:vAlign w:val="bottom"/>
          </w:tcPr>
          <w:p>
            <w:pPr>
              <w:spacing w:after="0"/>
              <w:rPr>
                <w:sz w:val="12"/>
                <w:szCs w:val="12"/>
                <w:color w:val="auto"/>
              </w:rPr>
            </w:pPr>
          </w:p>
        </w:tc>
        <w:tc>
          <w:tcPr>
            <w:tcW w:w="14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 (a))</w:t>
            </w:r>
          </w:p>
        </w:tc>
        <w:tc>
          <w:tcPr>
            <w:tcW w:w="0" w:type="dxa"/>
            <w:vAlign w:val="bottom"/>
          </w:tcPr>
          <w:p>
            <w:pPr>
              <w:spacing w:after="0"/>
              <w:rPr>
                <w:sz w:val="1"/>
                <w:szCs w:val="1"/>
                <w:color w:val="auto"/>
              </w:rPr>
            </w:pPr>
          </w:p>
        </w:tc>
      </w:tr>
      <w:tr>
        <w:trPr>
          <w:trHeight w:val="171"/>
        </w:trPr>
        <w:tc>
          <w:tcPr>
            <w:tcW w:w="4180" w:type="dxa"/>
            <w:vAlign w:val="bottom"/>
            <w:gridSpan w:val="4"/>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Equity compensation Plans (1)</w:t>
            </w:r>
          </w:p>
        </w:tc>
        <w:tc>
          <w:tcPr>
            <w:tcW w:w="1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7,759,190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1,549,598</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Pursuant to our 2011 Equity Incentive Plan.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were no sales of unregistered or registered securities during the years ended December 2020 and 2019.</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following table provides information with respect to common stock repurchased by us during the years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and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a Publicly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gridSpan w:val="3"/>
            <w:vMerge w:val="restart"/>
          </w:tcPr>
          <w:p>
            <w:pPr>
              <w:ind w:left="2180"/>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gridSpan w:val="3"/>
            <w:vMerge w:val="continue"/>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Plan or Program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1, 2020 to March 31, 2020 (i)</w:t>
            </w:r>
          </w:p>
        </w:tc>
        <w:tc>
          <w:tcPr>
            <w:tcW w:w="1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155,556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May 1, 2020 to May 31, 2020 (i)</w:t>
            </w:r>
          </w:p>
        </w:tc>
        <w:tc>
          <w:tcPr>
            <w:tcW w:w="1060" w:type="dxa"/>
            <w:vAlign w:val="bottom"/>
          </w:tcPr>
          <w:p>
            <w:pPr>
              <w:jc w:val="right"/>
              <w:spacing w:after="0"/>
              <w:rPr>
                <w:sz w:val="20"/>
                <w:szCs w:val="20"/>
                <w:color w:val="auto"/>
              </w:rPr>
            </w:pPr>
            <w:r>
              <w:rPr>
                <w:rFonts w:ascii="Arial" w:cs="Arial" w:eastAsia="Arial" w:hAnsi="Arial"/>
                <w:sz w:val="18"/>
                <w:szCs w:val="18"/>
                <w:color w:val="auto"/>
              </w:rPr>
              <w:t>87,249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0.98</w:t>
            </w:r>
          </w:p>
        </w:tc>
        <w:tc>
          <w:tcPr>
            <w:tcW w:w="140" w:type="dxa"/>
            <w:vAlign w:val="bottom"/>
          </w:tcPr>
          <w:p>
            <w:pPr>
              <w:spacing w:after="0"/>
              <w:rPr>
                <w:sz w:val="18"/>
                <w:szCs w:val="18"/>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2020 to December 31, 2020 (i)</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year ended December 31,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245,283</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4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September 1, 2019 to September 30, 2019 (i)</w:t>
            </w:r>
          </w:p>
        </w:tc>
        <w:tc>
          <w:tcPr>
            <w:tcW w:w="1060" w:type="dxa"/>
            <w:vAlign w:val="bottom"/>
          </w:tcPr>
          <w:p>
            <w:pPr>
              <w:jc w:val="right"/>
              <w:spacing w:after="0"/>
              <w:rPr>
                <w:sz w:val="20"/>
                <w:szCs w:val="20"/>
                <w:color w:val="auto"/>
              </w:rPr>
            </w:pPr>
            <w:r>
              <w:rPr>
                <w:rFonts w:ascii="Arial" w:cs="Arial" w:eastAsia="Arial" w:hAnsi="Arial"/>
                <w:sz w:val="18"/>
                <w:szCs w:val="18"/>
                <w:color w:val="auto"/>
              </w:rPr>
              <w:t>18,147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1, 2019 to October 31, 2019 (i)</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November 1, 2019 to November 30, 2019 (i)</w:t>
            </w:r>
          </w:p>
        </w:tc>
        <w:tc>
          <w:tcPr>
            <w:tcW w:w="1060" w:type="dxa"/>
            <w:vAlign w:val="bottom"/>
          </w:tcPr>
          <w:p>
            <w:pPr>
              <w:jc w:val="right"/>
              <w:spacing w:after="0"/>
              <w:rPr>
                <w:sz w:val="20"/>
                <w:szCs w:val="20"/>
                <w:color w:val="auto"/>
              </w:rPr>
            </w:pPr>
            <w:r>
              <w:rPr>
                <w:rFonts w:ascii="Arial" w:cs="Arial" w:eastAsia="Arial" w:hAnsi="Arial"/>
                <w:sz w:val="18"/>
                <w:szCs w:val="18"/>
                <w:color w:val="auto"/>
              </w:rPr>
              <w:t>57,980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140" w:type="dxa"/>
            <w:vAlign w:val="bottom"/>
          </w:tcPr>
          <w:p>
            <w:pPr>
              <w:spacing w:after="0"/>
              <w:rPr>
                <w:sz w:val="18"/>
                <w:szCs w:val="18"/>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 2019 to December 31, 2019 (i)</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3"/>
          </w:tcPr>
          <w:p>
            <w:pPr>
              <w:spacing w:after="0"/>
              <w:rPr>
                <w:sz w:val="20"/>
                <w:szCs w:val="20"/>
                <w:color w:val="auto"/>
              </w:rPr>
            </w:pPr>
            <w:r>
              <w:rPr>
                <w:rFonts w:ascii="Arial" w:cs="Arial" w:eastAsia="Arial" w:hAnsi="Arial"/>
                <w:sz w:val="18"/>
                <w:szCs w:val="18"/>
                <w:color w:val="auto"/>
              </w:rPr>
              <w:t>Total year ended December 31, 2019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right="79" w:hanging="330"/>
        <w:spacing w:after="0" w:line="293" w:lineRule="auto"/>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shares were exchanged from employees and directors in connection with the income tax withholding obligations on behalf of such employees and directors from the vesting of restricted stock.</w:t>
      </w:r>
    </w:p>
    <w:p>
      <w:pPr>
        <w:spacing w:after="0" w:line="163"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Smaller reporting companies are not required to provide the information required by this Item 6.</w:t>
      </w:r>
    </w:p>
    <w:p>
      <w:pPr>
        <w:spacing w:after="0" w:line="221"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 December 31, 2020 and 2019.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Xcel Brands is a media and consumer products company engaged in the design, production, marketing, wholesale and direct-to-consumer sales of branded apparel, footwear, accessories, fine jewelry, home goods and other consumer products, and the acquisition of dynamic consumer lifestyle brands. The Company’s brands have generated over $3 billion in retail sales via live streaming in interactive television and digital channels alone.</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Xcel was founded in 2011 with a vision to reimagine shopping, entertainment, and social media as one thing. Xcel owns the Isaac Mizrahi, Halston, Judith Ripka, C Wonder, and Longaberger brands, pioneering a ubiquitous sales strategy which includes the promotion and sale of products under its brands through interactive television, digital live-stream shopping, brick-and-mortar retail,wholesale and e-commerce channels.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grow our brands, we are focused on the following primary strategies:</w:t>
      </w:r>
    </w:p>
    <w:p>
      <w:pPr>
        <w:spacing w:after="0" w:line="225" w:lineRule="exact"/>
        <w:rPr>
          <w:sz w:val="20"/>
          <w:szCs w:val="20"/>
          <w:color w:val="auto"/>
        </w:rPr>
      </w:pPr>
    </w:p>
    <w:p>
      <w:pPr>
        <w:jc w:val="both"/>
        <w:ind w:left="700" w:right="79" w:hanging="326"/>
        <w:spacing w:after="0" w:line="279"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expanding and leveraging our live-streaming platform. We recently launched our live-streaming platform through our Longaberger brand technology platform with the goal to build the world’s largest digital marketplace powered by live-streaming and micro-influencers for home and other related products, designed to create a better lifestyle. We plan to leverage this technology across our other brands.</w:t>
      </w:r>
    </w:p>
    <w:p>
      <w:pPr>
        <w:spacing w:after="0" w:line="171" w:lineRule="exact"/>
        <w:rPr>
          <w:rFonts w:ascii="Arial" w:cs="Arial" w:eastAsia="Arial" w:hAnsi="Arial"/>
          <w:sz w:val="17"/>
          <w:szCs w:val="17"/>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wholesale distribution of our brands to retailers that sell to the end consumer;</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wholesale sales and/or licensing our brands for sale through interactive television (i.e., QVC, HSN, The Shopping Channel, TVSN, etc.);</w:t>
      </w:r>
    </w:p>
    <w:p>
      <w:pPr>
        <w:spacing w:after="0" w:line="170"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licensing our brands to manufacturers and retailers for promotion and distribution through e-commerce, social commerce, and traditional brick-and-mortar retail channels whereby we provide certain design services;</w:t>
      </w:r>
    </w:p>
    <w:p>
      <w:pPr>
        <w:spacing w:after="0" w:line="146" w:lineRule="exact"/>
        <w:rPr>
          <w:rFonts w:ascii="Arial" w:cs="Arial" w:eastAsia="Arial" w:hAnsi="Arial"/>
          <w:sz w:val="17"/>
          <w:szCs w:val="17"/>
          <w:color w:val="auto"/>
        </w:rPr>
      </w:pPr>
    </w:p>
    <w:p>
      <w:pPr>
        <w:ind w:left="700" w:hanging="32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 of our brands through e-commerce directly to the end consumer; and</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acquiring additional consumer brands and integrating them into our operating platform and leveraging our operating infrastructure and distribution relationships.</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We believe that we offer a unique value proposition to our retail and direct-to-consumer customers, and our licensees for the following reasons:</w:t>
      </w:r>
    </w:p>
    <w:p>
      <w:pPr>
        <w:spacing w:after="0" w:line="170" w:lineRule="exact"/>
        <w:rPr>
          <w:sz w:val="20"/>
          <w:szCs w:val="20"/>
          <w:color w:val="auto"/>
        </w:rPr>
      </w:pPr>
    </w:p>
    <w:p>
      <w:pPr>
        <w:ind w:left="700" w:hanging="326"/>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management team, including our officers’ and directors’ experience in, and relationships within, the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deep knowledge and expertise in live-streaming sales;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design, production, sales, marketing, and supply chain and integrated technology platform enables us to design, market, and distribute trend-right product; and</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operating strategy, significant media and internet presence and distribution network.</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vision is intended to reimagine shopping, entertainment, and social media as one thing. By leveraging live streaming, digital, and social media content across all distribution channels, we seek to drive consumer engagement and generate retail sales across our brands. Our strong relationships with leading retailers, interactive television companies, and streaming networks enable us to reach consumers in over 380 million homes worldwide and hundreds of millions of social media followers.</w:t>
      </w:r>
    </w:p>
    <w:p>
      <w:pPr>
        <w:spacing w:after="0" w:line="18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believe our design, production, and supply chain platform provides significant competitive advantages compared with traditional wholesale consumer products companies that design, manufacture, and distribute products. We focus on our core competencies of live streaming, marking, design, integrated technologies, production and supply chain platform, and brand development. We believe that we offer a 360-degree solution to our retail partners that addresses many of the challenges facing the retail industry today. We believe our platform is highly scalable. Additionally, we believe we can acquire additional brands into our platform in order to leverage our operating infrastructure, marketing capabilities, and distribution network.</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consolidated financial statements, our most critical accounting policies, discussed below, pertain to revenue recognition, trademarks and other intangible assets, stock-based compensation, fair value of contingent obligations, and income taxes.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connection with our licensing model, we follow Financial Accounting Standards Board (“FASB”) Accounting Standards Codification (“ASC”) 606-10-55-65, by which we recognize revenue at the later of when (1) the subsequent sale or usage occurs or (2) the performance obligation to which some or all of the sales- or usage-based royalty has been allocated is satisfied (in whole or in part). More specifically, we separately identify:</w:t>
      </w:r>
    </w:p>
    <w:p>
      <w:pPr>
        <w:spacing w:after="0" w:line="187" w:lineRule="exact"/>
        <w:rPr>
          <w:sz w:val="20"/>
          <w:szCs w:val="20"/>
          <w:color w:val="auto"/>
        </w:rPr>
      </w:pPr>
    </w:p>
    <w:p>
      <w:pPr>
        <w:jc w:val="both"/>
        <w:ind w:left="440" w:right="59" w:hanging="1"/>
        <w:spacing w:after="0" w:line="257" w:lineRule="auto"/>
        <w:tabs>
          <w:tab w:leader="none" w:pos="7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pacing w:after="0" w:line="187" w:lineRule="exact"/>
        <w:rPr>
          <w:rFonts w:ascii="Arial" w:cs="Arial" w:eastAsia="Arial" w:hAnsi="Arial"/>
          <w:sz w:val="18"/>
          <w:szCs w:val="18"/>
          <w:color w:val="auto"/>
        </w:rPr>
      </w:pPr>
    </w:p>
    <w:p>
      <w:pPr>
        <w:jc w:val="both"/>
        <w:ind w:left="440" w:right="59" w:hanging="1"/>
        <w:spacing w:after="0" w:line="311" w:lineRule="auto"/>
        <w:tabs>
          <w:tab w:leader="none" w:pos="909"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40" w:right="59"/>
        <w:spacing w:after="0" w:line="263" w:lineRule="auto"/>
        <w:rPr>
          <w:sz w:val="20"/>
          <w:szCs w:val="20"/>
          <w:color w:val="auto"/>
        </w:rPr>
      </w:pPr>
      <w:r>
        <w:rPr>
          <w:rFonts w:ascii="Arial" w:cs="Arial" w:eastAsia="Arial" w:hAnsi="Arial"/>
          <w:sz w:val="18"/>
          <w:szCs w:val="18"/>
          <w:color w:val="auto"/>
        </w:rPr>
        <w:t>royalties in excess of minimum guaranteed is applied and such sales-based royalties are recognized to distinct period only when the minimum guaranteed is exceeded on a cumulative basis (this approach is identified as “View C” by the TRG).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Wholesale Sales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generate revenue through sale of branded jewelry and apparel to both domestic and international customers who, in turn, sell the products to their consumers. We recognize revenue when performance obligations identified under the terms of contracts with our customers are satisfied, which occurs upon the transfer of control of the merchandise in accordance with the contractual terms and conditions of the sale.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 to Consumer Sales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revenue associated with our e-commerce jewelry operations and the Longaberger brand is recognized at a point in time when product is shipped to the customer.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Trademarks and Other Intangible Assets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follow ASC Topic 350, “Intangibles - Goodwill and Other.” Under this standard, goodwill and indefinite-lived intangible assets are not amortized, but are required to be assessed for impairment at least annually. Our finite-lived intangible assets are amortized over their estimated useful lives.</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We perform our annual quantitative analysis of indefinite-lived intangible assets as of December 31 each year. As a result of performing our annual impairment testing of indefinite-lived intangible assets for the year ended December 31, 2019, we recorded a $6.2 million impairment charge related to the Ripka Brand trademarks, driven by the timing of the continued transition from a licensing model to a wholesale and direct-to-consumer model.</w:t>
      </w:r>
    </w:p>
    <w:p>
      <w:pPr>
        <w:spacing w:after="0" w:line="17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Effective January 1, 2020, we determined that the Ripka Brand, inclusive of all its trademarks, has a finite life of 15 years, and began to amortize these trademarks on a straight-line basis accordingly. During the year ended December 31, 2020, delays and uncertainty in implementing the brick-and-mortar retail store strategy for a portion of the Ripka Brand, primarily as a result of the novel coronavirus disease pandemic, indicated that the carrying value of the Ripka Brand trademarks may not be recoverable. Therefore, we performed an impairment test of finite-lived intangible assets, and as a result, recorded a $13.0 million impairment charge related to the Ripka Brand trademarks.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other impairment charges were recorded for intangible assets for the years ended December 31, 2020 and 2019.</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Indefinite-Lived Intangibles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tests its indefinite-lived intangible assets for recovery in accordance with ASC 820-10-55-3F, which states that the income approach (“Income Approach”) converts future amounts (for example, cash flows) into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such assets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recoverability of the assets.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Finite-Lived Intangibles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Company’s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With reference to our finite-lived intangible assets’ impairment process,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discounted cash flows analysis or appraisals.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determine if an arrangement is a lease at inception. At commencement of a lease, we recognize an operating lease right-of-use (“ROU”) asset, representing our right to use the underlying leased asset for the lease term, and a lease liability, representing our obligation to make future lease payments, based on the present value of the remaining lease payments over the lease term. As most of our leases do not provide an implicit rate, we use our incremental borrowing rate based on the information available at commencement date in determining the present value of lease payments. We may use the implicit rate when readily determinable. Operating lease ROU assets also include scheduled lease payments made and initial direct costs, and exclude lease incentives and accrued rent. Lease terms may include options to extend or terminate the lease when it is reasonably certain that we will exercise that option. Lease expense for operating lease payments related to office leases is generally recognized on a straight-line basis over the lease term. Lease expense for operating lease payments related to retail leases is generally recognized on a straight-line basis over the period of operation, as this is representative of the pattern in which benefit is derived from the lease.</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real estate leases, we account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leases with a term of 12 months or less, we do not recognize lease liabilities and ROU assets, but recognize the lease payments in net income on a straight-line basis over the respective lease terms.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recognize income from subleases (in which we are the sublessor) on a straight-line basis over the term of the sublease, as a reduction to lease expense.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ASC Topic 740, “Accounting for Income Taxes” clarifies the accounting for uncertainty in income taxes recognized in an enterprise’s financial statements. Tax positions shall initially be recognized in the financial statements when it is more likely than not that the position will be sustained upon examination by the tax authorities. Such tax positions shall initially and subsequently be measured as the largest amount of tax benefit that has a probability of fifty percent or greater of being realized upon ultimate settlement with the tax authority, assuming full knowledge of the position and all relevant facts. Tax years that remain open for assessment for federal and state tax purposes include the years ended December 31, 2017 through December 31, 2020.</w:t>
      </w:r>
    </w:p>
    <w:p>
      <w:pPr>
        <w:spacing w:after="0" w:line="3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December 2019, the FASB issued Accounting Standards Update (“ASU”) No. 2019-12,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This guidance is effective for public companies for fiscal years, and interim periods within those fiscal years, beginning after December 15,</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2020, with early adoption permitted. The adoption of this new guidance in 2021 will not have any significant impact on our results of operations, cash flows, and financial condition.</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In November 2019, the FASB issued ASU No. 2019-10, which, among other things, deferred the application of the new guidance on credit losses for smaller reporting companies to fiscal years beginning after December 15, 2022, including interim periods within those fiscal years. We are currently evaluating the new guidance to determine the impact the adoption of this guidance will have on our results of operations, cash flows, and financial condition.</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8"/>
          <w:szCs w:val="18"/>
          <w:color w:val="auto"/>
        </w:rPr>
        <w:t>We adopted ASU No. 2018</w:t>
      </w:r>
      <w:r>
        <w:rPr>
          <w:rFonts w:ascii="MS PGothic" w:cs="MS PGothic" w:eastAsia="MS PGothic" w:hAnsi="MS PGothic"/>
          <w:sz w:val="18"/>
          <w:szCs w:val="18"/>
          <w:color w:val="auto"/>
        </w:rPr>
        <w:t>‑</w:t>
      </w:r>
      <w:r>
        <w:rPr>
          <w:rFonts w:ascii="Arial" w:cs="Arial" w:eastAsia="Arial" w:hAnsi="Arial"/>
          <w:sz w:val="18"/>
          <w:szCs w:val="18"/>
          <w:color w:val="auto"/>
        </w:rPr>
        <w:t>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our results of operations, cash flows, and financial condition.</w:t>
      </w:r>
    </w:p>
    <w:p>
      <w:pPr>
        <w:spacing w:after="0" w:line="20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We adopted ASU No. 2016-02, “Leases,” effective January 1, 2019, by applying the new guidance under the additional and alternative transition method allowed by ASU No. 2018-11, “Leases (Topic 842): Targeted Improvements.” As of January 1, 2019, the adoption resulted in the recognition of operating lease right-of-use assets of approximately $10.4 million, lease liabilities of approximately $13.2 million, and a decrease of approximately $2.8 million in accrued rent. The adoption of the new lease accounting guidance did not have an impact on our consolidated statement of operations, and had no impact on cash provided by or used in operating, financing, or investing activities in our consolidated statement of cash flows. We elected the available practical expedients under ASC 842-10-15-37 (thereby not separating lease components from non-lease components and instead accounting for all components as a single lease component) and ASC 842-10-65-1 (thereby, among other things, not reassessing lease classification), and implemented changes to our processes and methodologies related to leases to enable the preparation of financial information upon adoption and to allow for the correct identification, classification, and measurement of leases in accordance with the new guidance going forward.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Operating Results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The consolidated financial statements and related notes included elsewhere in this Form 10-K are as of or for the year ended December 31, 2020 (the “Current Year”), and the year ended December 31, 2019 (the “Prior Year”).</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Current Year net revenue decreased approximately $12.3 million to $29.4 million from $41.7 million for the Prior Year.</w:t>
      </w:r>
    </w:p>
    <w:p>
      <w:pPr>
        <w:spacing w:after="0" w:line="23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Net licensing revenue decreased by $6.2 million in the Current Year to approximately $20.2 million, compared with $26.4 million in the Prior Year. This decline was primarily driven by a combination of (i) lower customer sales by our licensees as a result of government-ordered retail store closures as well as an overall slowdown in economic activity related to the COVID-19 pandemic, (ii) a $3.0 million reduction in guaranteed minimum revenues from one of our existing licensing arrangements upon renewal effective January 1, 2020, and (iii) a $1.7 million reduction in revenues from another one of our existing licensing arrangements changing from guaranteed minimum amounts to sales-based royalties effective April 1, 2019.</w:t>
      </w:r>
    </w:p>
    <w:p>
      <w:pPr>
        <w:spacing w:after="0" w:line="19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product sales decreased by approximately $6.1 million in the Current Year to $9.2 million, compared with approximately $15.3 million in the Prior Year. The decline in net product sales was primarily driven by lower sales as a result of government-ordered retail store closures as well as an overall slowdown in economic activity related to the COVID-19 pandemic following the outbreak of the pandemic, partially offset by volume growth in our apparel wholesale business in the first quarter of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Current Year cost of goods sold was $5.5 million, compared with $10.3 million for the Prior Year. This decrease was due to lower overall volume of wholesale and e-commerce sales in the Current Year. Gross profit (net revenue less cost of goods sold) decreased approximately $7.4 million to $24.1 million from $31.5 million in the Prior Year, primarily driven by the aforementioned decline in net licensing revenue.</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Gross profit margin from product sales increased from 33% in the Prior Year to 41% in the Current Year as a result of achieving greater efficiencies in our wholesale business operations. Total gross profit margin was 75% in the Prior Year and 81% in the Current Year; this increase was the result of the aforementioned increase in gross profit margins for product sales as well as the proportional shift of revenue mix towards licensing revenues in the Current Year.</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Operating costs and expenses increased approximately $3.5 million from $36.9 million in the Prior Year to $40.4 million in the Current Year.</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This increase was primarily due to a $13.0 million non-cash impairment charge recorded in the Current Year related to the Ripka Brand trademarks, driven by delays and uncertainty in implementing the brick-and-mortar retail store strategy for a portion of the brand, primarily as a result of the COVID-19 pandemic, compared with a similar $6.2 million non-cash impairment charge recorded in the Prior Year related to the Ripka Brand trademarks, which was driven by the timing of the transition from a licensing model to a wholesale and direct-to-consumer model. Also contributing to the increase was a $1.6 million increase in depreciation and amortization expense, primarily due to the change in estimated life for the Judith Ripka trademarks as of January 1, 2020, and $1.0 million of bad debt expense recognized in the Current Year related to the bankruptcy of several retail customers due to the COVID-19 pandemic.</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These increases in operating costs and expenses were partially offset by various cost reduction actions taken by management during the Current Year in response to the COVID-19 pandemic, including temporary reductions of employee compensation from April to December of 2020 and cutting non-essential costs, as well as government assistance received through the Paycheck Protection Program under the CARES Act, for which the Company recognized $1.8 million as a reduction to Current Year operating costs and expenses. Additionally, there were $1.3 million of costs incurred in the Prior Year in connection with a potential acquisition, which ultimately was not consummated; approximately $0.2 million of these costs were recovered or reimbursed in the Current Year.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During the Current Year, we recognized a $0.05 million net gain on the sale of certain assets related to the Longaberger brand.</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During the Prior Year, we recognized a $2.85 million gain on the reduction of contingent obligations related to the 2015 acquisition of the C Wonder Brand. As part of that acquisition, the seller was eligible to earn additional consideration based on future royalties related to the C Wonder Brand exceeding certain thresholds, and we recorded a liability for the potential future payment of such consideration. The final earn-out period ended on June 30, 2019, and the seller ultimately did not earn any additional consideration under the terms of the purchase agreement.</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and Finance Expense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Interest and finance expense for the Current Year was $1.2 million, compared with $1.5 million for the Prior Year. This decrease is primarily attributable to the fact that the Prior Year includes a $0.2 million loss on extinguishment of debt as a result of the February 11, 2019 term loan amendment, with no such comparable extinguishment loss in the current Year. The remainder of the decrease is largely due to a lower outstanding principal balance on our term loan resulting from regular debt service payments.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effective income tax rate for the Current Year was approximately 25.9% resulting in a $4.5 million income tax benefit. During the Current Year, the effective tax rate was impacted by the vesting of restricted shares of common stock. The excess tax deficiencies were treated as a discrete item in the determination of the tax provision as required by ASU 2016-09, “Improvements to Employee Share-Based Payment Accounting,” decreasing the effective rate by approximately 1.9%. The effective tax rate was also impacted by recurring permanent differences, which, based on the amount of income before income taxes compared to the permanent differences, increased the effective rate in 2020 by approximately 4.0%. The largest such recurring permanent differences were state and local tax provisions, which increased the effective rate in 2020 by approximately 4.5%, and disallowed excess compensation, which decreased the effective rate in 2020 by approximately 0.5%. Also impacting the effective rate for 2020 was the addback impact of the Paycheck Protection Program, which increased the effective rate by approximately 2.2%.</w:t>
      </w:r>
    </w:p>
    <w:p>
      <w:pPr>
        <w:spacing w:after="0" w:line="18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effective income tax rate for the Prior Year was approximately 15.8% resulting in a $0.6 million income tax benefit. During the Prior Year, the effective tax rate was impacted by the vesting of restricted shares of common stock. The excess tax deficiencies were treated as a discrete item in the determination of the tax provision as required by ASU 2016-09, “Improvements to Employee Share-Based Payment Accounting,” decreasing the effective rate by approximately 7.0%. The effective tax rate was also impacted by recurring permanent differences, which, based on the amount of income before income taxes compared to the permanent differences, increased the effective rate in 2019 by approximately 1.8%. The largest such recurring permanent differences were state and local tax provisions, which increased the effective rate in 2019 by approximately 7.4%, and was largely offset by the effect of disallowed excess compensation, which decreased the effective rate in 2019 by approximately 5.1%.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had a net loss of approximately $13.1 million for the Current Year, compared with a net loss of approximately $3.4 million for the Prior Year, as a result of the factors discussed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Net Income, Non-GAAP Diluted EPS and Adjusted EBITDA</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We had non-GAAP net income of $1.8 million or $0.10 per share (“non-GAAP diluted EPS”) based on 19,152,569 weighted average shares outstanding for the Current Year, compared with non-GAAP net income of $4.8 million, or $0.25 per share based on 18,858,379 weighted average shares outstanding for the Prior Year. Non-GAAP net income is a non-GAAP unaudited term, which we define as net income (loss) attributable to Xcel Brands, Inc. stockholders, exclusive of amortization of trademarks, stock-based compensation, non-cash interest and finance expense from discounted debt related to acquired assets, loss on extinguishment of debt, gain on sales of assets, gain on reduction of contingent obligations, costs (recoveries) in connection with potential acquisitions, certain adjustments to allowances for doubtful accounts related to debtors that have filed for bankruptcy protection triggered by the impact of COVID-19, asset impairments, and deferred income taxes. Non-GAAP net income and non-GAAP diluted EPS measures do not include the tax effect of the aforementioned adjusting items, due to the nature of these items and the Company’s tax strategy.</w:t>
      </w:r>
    </w:p>
    <w:p>
      <w:pPr>
        <w:spacing w:after="0" w:line="16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had Adjusted EBITDA of $4.1 million for the Current Year, compared with Adjusted EBITDA of approximately $7.1 million for the Prior Year. Adjusted EBITDA is a non-GAAP unaudited measure, which we define as net income (loss) attributable to Xcel Brands, Inc. stockholders before depreciation and amortization, interest and finance expenses (including loss on extinguishment of debt, if any), income taxes, other state and local franchise taxes, stock-based compensation, gain on reduction of contingent obligations, gain on sale of assets, costs (recoveries) in connection with potential acquisitions, asset impairments, and certain adjustments to allowances for doubtful accounts related to debtors that have filed for bankruptcy protection triggered by the impact of COVID-19.</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supplemental information to assist investors in evaluating the Company’s financial results. The Company has incurred certain costs which it could have eliminated but elected not to do so in light of government assistance received through the Paycheck Protection Program under the CARES Act (the “PPP Benefit”), which represents a cash benefit directly related to the Company’s operating expenses incurred. Accordingly, the PPP Benefit is not considered a reconciling item for purposes of the computation of non-GAAP net income and Adjusted EBITDA. Adjusted EBITDA is the measure used to calculate compliance with the EBITDA covenant under our term loan agreement with BHI.</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these measures in a different manner than we do.</w:t>
      </w:r>
    </w:p>
    <w:p>
      <w:pPr>
        <w:spacing w:after="0" w:line="19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non-GAAP net income:</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4340" w:type="dxa"/>
            <w:vAlign w:val="bottom"/>
            <w:gridSpan w:val="2"/>
            <w:vMerge w:val="continue"/>
          </w:tcPr>
          <w:p>
            <w:pPr>
              <w:spacing w:after="0"/>
              <w:rPr>
                <w:sz w:val="12"/>
                <w:szCs w:val="12"/>
                <w:color w:val="auto"/>
              </w:rPr>
            </w:pPr>
          </w:p>
        </w:tc>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loss attributable to Xcel Brands, Inc. stockholders</w:t>
            </w:r>
          </w:p>
        </w:tc>
        <w:tc>
          <w:tcPr>
            <w:tcW w:w="2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Intangible asset impairments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trademarks</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w w:val="92"/>
              </w:rPr>
              <w:t>(Recovery of) costs in connection with potential acquisition</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w w:val="96"/>
              </w:rPr>
              <w:t>Certain adjustments to allowances for doubtful accounts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w:t>
            </w:r>
          </w:p>
        </w:tc>
        <w:tc>
          <w:tcPr>
            <w:tcW w:w="2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benefit</w:t>
            </w:r>
          </w:p>
        </w:tc>
        <w:tc>
          <w:tcPr>
            <w:tcW w:w="23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00" w:type="dxa"/>
            <w:vAlign w:val="bottom"/>
            <w:vMerge w:val="restart"/>
          </w:tcPr>
          <w:p>
            <w:pPr>
              <w:jc w:val="right"/>
              <w:ind w:right="1990"/>
              <w:spacing w:after="0"/>
              <w:rPr>
                <w:sz w:val="20"/>
                <w:szCs w:val="20"/>
                <w:color w:val="auto"/>
              </w:rPr>
            </w:pPr>
            <w:r>
              <w:rPr>
                <w:rFonts w:ascii="Arial" w:cs="Arial" w:eastAsia="Arial" w:hAnsi="Arial"/>
                <w:sz w:val="18"/>
                <w:szCs w:val="18"/>
                <w:color w:val="auto"/>
                <w:w w:val="99"/>
              </w:rPr>
              <w:t>41</w:t>
            </w: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is a reconciliation of diluted (loss) earnings per share to non-GAAP diluted EPS: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2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attributable to Xcel Brands, Inc. stockholders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Intangible asset impairments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trademarks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Non-cash interest and finance expense</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(Recovery of) costs in connection with potential acquisitions</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Certain adjustments to allowances for doubtful accounts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Gain on sale of assets</w:t>
            </w: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Gain on reduction of contingent obligation</w:t>
            </w: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income tax (benefit) provision</w:t>
            </w:r>
          </w:p>
        </w:tc>
        <w:tc>
          <w:tcPr>
            <w:tcW w:w="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9"/>
        </w:trPr>
        <w:tc>
          <w:tcPr>
            <w:tcW w:w="5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diluted EPS</w:t>
            </w:r>
          </w:p>
        </w:tc>
        <w:tc>
          <w:tcPr>
            <w:tcW w:w="5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19,152,569</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18,858,379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basic weighted average shares outstanding to non-GAAP diluted weighted average shares outstanding: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78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 average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19,117,460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18,857,657</w:t>
            </w: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Effect of exercising warrants</w:t>
            </w:r>
          </w:p>
        </w:tc>
        <w:tc>
          <w:tcPr>
            <w:tcW w:w="960" w:type="dxa"/>
            <w:vAlign w:val="bottom"/>
          </w:tcPr>
          <w:p>
            <w:pPr>
              <w:jc w:val="right"/>
              <w:spacing w:after="0"/>
              <w:rPr>
                <w:sz w:val="20"/>
                <w:szCs w:val="20"/>
                <w:color w:val="auto"/>
              </w:rPr>
            </w:pPr>
            <w:r>
              <w:rPr>
                <w:rFonts w:ascii="Arial" w:cs="Arial" w:eastAsia="Arial" w:hAnsi="Arial"/>
                <w:sz w:val="18"/>
                <w:szCs w:val="18"/>
                <w:color w:val="auto"/>
              </w:rPr>
              <w:t>490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722</w:t>
            </w: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exercising stock options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34,619</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780" w:type="dxa"/>
            <w:vAlign w:val="bottom"/>
          </w:tcPr>
          <w:p>
            <w:pPr>
              <w:ind w:left="20"/>
              <w:spacing w:after="0"/>
              <w:rPr>
                <w:sz w:val="20"/>
                <w:szCs w:val="20"/>
                <w:color w:val="auto"/>
              </w:rPr>
            </w:pPr>
            <w:r>
              <w:rPr>
                <w:rFonts w:ascii="Arial" w:cs="Arial" w:eastAsia="Arial" w:hAnsi="Arial"/>
                <w:sz w:val="18"/>
                <w:szCs w:val="18"/>
                <w:color w:val="auto"/>
              </w:rPr>
              <w:t>Non-GAAP diluted weighted average shares outstanding</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19,152,569</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18,858,379</w:t>
            </w:r>
          </w:p>
        </w:tc>
      </w:tr>
      <w:tr>
        <w:trPr>
          <w:trHeight w:val="20"/>
        </w:trPr>
        <w:tc>
          <w:tcPr>
            <w:tcW w:w="6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table is a reconciliation of net loss (our most directly comparable financial measure presented in accordance with GAAP) to Adjusted EBITDA:</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29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62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471"/>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Intangible asset impairments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Interest and finance expense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(4,518)</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State and local franchise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(Recovery of) costs in connection with potential acquisition</w:t>
            </w: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(158)</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Certain adjustments to allowances for doubtful accounts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Property and equipment impairment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Gain on reduction of contingent obligation</w:t>
            </w:r>
          </w:p>
        </w:tc>
        <w:tc>
          <w:tcPr>
            <w:tcW w:w="32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2020 and 2019, our cash and cash equivalents were $5.0 million and $4.6 million, respectively. Restricted cash at December 31, 2020 and 2019 consisted of $1.1 million of cash deposited with Bank Hapoalim B.M. (“BHI”) as collateral for an irrevocable standby letter of credit associated with the lease of our current corporate office and operating facility.</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 principal capital requirements have been to fund working capital needs, acquire new brands, and to a lesser extent, capital expenditures. Notwithstanding our recent investments in our ERP system, our business operating model generally does not require material capital expenditures, and as of December 31, 2020, we have no significant commitments for future capital expenditures. Material cash requirements from known contractual and other obligations are discussed under “Obligations and Commitments” below.</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expect that existing cash and operating cash flows will be adequate to meet our operating needs, term debt service obligations, and capital expenditure needs, for at least the twelve months subsequent to the filing date of this Annual Report on Form 10-K. We believe that cash from future operations, including growth opportunities and future business development, as well as currently available cash, will be sufficient to satisfy our anticipated long-term operating needs, including our debt service requirements and making necessary investments in our infrastructure and technology, for the foreseeable future beyond the next twelve months.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Working Capital</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working capital (current assets less current liabilities, excluding the current portion of lease obligations and any contingent liabilities payable in common stock) was $7.9 million and $9.5 million as of December 31, 2020 and 2019, respectively. This decrease in working capital was primarily due to lower accounts receivable at December 31, 2020 as a result of the combination of lower sales during the Current Year and increased allowances for doubtful accounts. Commentary on components of our cash flows for the Current Year compared with the Prior Year is set forth below. Working capital as of December 31, 2020 included $8.9 million of accounts receivable; substantially all of this balance was collected subsequent to year-end.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Net cash provided by operating activities was approximately $3.2 million and $3.5 million in the Current Year and Prior Year, respectively.</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Current Year’s cash provided by operating activities was primarily attributable to the combination of the net loss of $(13.1) million plus non-cash expenses of approximately $16.2 million, and a net change in operating assets and liabilities of approximately $0.1 million. The net loss of $(13.1) million includes $1.8 million of government assistance received through the PPP under the CARES Act, which was recognized as a reduction to Current Year expenses for which the program was intended to compensate. Non-cash net expenses were primarily comprised of a $13.0 million intangible asset impairment charge, $5.5 million of depreciation and amortization, $1.0 million of bad debt expense, $0.9 million of stock-based compensation, and $(4.4) million of deferred income tax benefit. The net change in operating assets and liabilities includes a decrease in accounts receivable of $0.7 million, an increase in inventory of $(0.3) million, a decrease in prepaid expenses and other assets of $0.6 million, and a decrease in accounts payable, accrued expenses and other current liabilities of $(0.5) million, all of which are primarily due to timing of collections and payments, and cash paid in excess of rent expense of $(0.4) million.</w:t>
      </w:r>
    </w:p>
    <w:p>
      <w:pPr>
        <w:spacing w:after="0" w:line="18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Prior Year’s cash provided by operating activities was primarily attributable to the combination of the net loss of $(3.4) million plus non-cash expenses of approximately $7.8 million, partially offset by a net change in operating assets and liabilities of approximately $(0.9) million. Non-cash net expenses mainly consisted of a $6.2 million intangible asset impairment charge, $3.9 million of depreciation and amortization, $1.0 million of stock-based compensation, $(0.7) million of deferred income tax benefit, $(2.9) million of gain on reduction of contingent obligations, and $0.2 million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loss on extinguishment of debt. The net change in operating assets and liabilities includes a decrease in accounts receivable of $0.4 million, a decrease in inventory of $1.1 million, and a decrease in accounts payable, accrued expenses and other current liabilities of $(1.7) million, all of which are primarily due to timing of collections and payments, and cash paid in excess of rent expense of $(0.4)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Net cash used in investing activities for the Current Year was approximately $0.7 million, compared with $10.3 million in the Prior Year. Cash used in investing activities for the Current Year was primarily attributable to capital expenditures, a substantial portion of which relates to the implementation of our ERP system. Cash used in investing activities in the Prior Year was primarily related to $8.8 million in cash consideration paid to acquire the Halston Heritage Brands, as well as capital expenditures of $1.1 million predominantly related to implementation of our ERP system.</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used in financing activities for the Current Year was approximately $(2.2) million, and was primarily attributable to payments made on long-term debt obligations of $(2.3) million, cash contributions received from the non-controlling interest holder in Longaberger Licensing, LLC of $0.3 million, and $(0.2) million of shares repurchased related to vested restricted stock in exchange for withholding taxes.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cash provided by financing activities for the Prior Year was approximately $2.3 million, and was primarily attributable to proceeds received from long-term debt of $7.5 million, partially offset by payments made on our senior term debt obligation of $(4.0) million, the final payment on the IM Seller Note obligation of $(0.7) million, and payment of $(0.3) million of deferred finance costs.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Obligations and Commitments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February 26, 2016, the Company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with Bank Hapoalim B.M. as agent, and the financial institutions party thereto as lenders.</w:t>
      </w:r>
    </w:p>
    <w:p>
      <w:pPr>
        <w:spacing w:after="0" w:line="15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February 11, 2019, concurrent with the Closing Date of the acquisition of the Halston Heritage Brands (see Note 3 to the notes to financial statements), the Company entered into an amended loan agreement with BHI (the “Loan Agreement”), which amended and restated the prior term loan. Immediately prior to February 11, 2019, the aggregate principal amount of the prior term loan was $14.5 million. Pursuant to the Loan Agreement, the Lenders have extended to Xcel an additional term loan in the amount of $7.5 million, such that, as of February 11, 2019, the aggregate outstanding balance of all the term loans extended by BHI to Xcel was $22.0 million, which amount has been divided under the Loan Agreement into two term loans: (1) a term loan in the amount of $7.3 million (“Term Loan A”) and (2) a term loan in the amount of $14.7 million (“Term Loan B” and, together with Term Loan A, the “Term Loans”). The proceeds of the additional term loan were used to finance the Halston Heritage Brands acquisition.</w:t>
      </w:r>
    </w:p>
    <w:p>
      <w:pPr>
        <w:spacing w:after="0" w:line="1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terms and conditions of the Loan Agreement resulted in significantly different debt service payment requirements, compared with the prior term loan, including an increase of $7.5 million in the principal balance, and related changes to the timing and amount of principal payments, as well as changes in the interest rate. Management assessed and determined that this amendment resulted in an extinguishment of debt and recognized a loss of $0.2 million (consisting of unamortized deferred finance costs) during the year ended December 31, 2019.</w:t>
      </w:r>
    </w:p>
    <w:p>
      <w:pPr>
        <w:spacing w:after="0" w:line="1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Loan Agreement also allows that BHI and any other lender party to the Loan Agreement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Loan Agreement. Xcel</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April 13, 2020, the Company and BHI amended the Loan Agreement.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permitted Xcel to incur unsecured debt through the Paycheck Protection Program (“PPP”) under the Coronavirus Aid, Relief, and Economic Security Act (“CARES Act”), and excludes any associated PPP debt and debt service from the covenant calculations. There were no changes to the total principal balance, interest rate, or maturity date.</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18, 2020, the Company and BHI further amended the Loan Agreement. Under this amendment, the amounts of the quarterly installment payments due throughout 2021 were reduced, and the amount of principal to be repaid through variable payments based on excess cash flow was increased. In addition, there were multiple changes and waivers to the various financial covenants. There were no changes to the total principal balance, interest rate, or maturity date.</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Loan Agreement shall terminate no later than one year following the date of issuance thereof.</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remaining principal balance of the Term Loans, as amended, outstanding at December 31, 2020 is payable in fixed installments as set forth in the following table, plus the variable payments as described below:</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top w:val="single" w:sz="8" w:color="auto"/>
              <w:bottom w:val="single" w:sz="8" w:color="auto"/>
            </w:tcBorders>
          </w:tcPr>
          <w:p>
            <w:pPr>
              <w:ind w:left="20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rPr>
              <w:t>March 31, 2021, June 30, 2021, September 30, 2021, and December 31, 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2022, June 30, 2022, September 30, 2022, and December 31, 2022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2023, June 30, 2023, September 30, 2023, and December 31, 2023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ending March 31, 2021, the Company is required to repay a portion of the Term Loans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$4.45 million as of March 31, 2022, any such shortfall must be repaid at that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Thus, the aggregate remaining annual principal payments under the Term Loans at December 31, 2020 were as follows:</w:t>
      </w:r>
    </w:p>
    <w:p>
      <w:pPr>
        <w:spacing w:after="0" w:line="24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5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9"/>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9"/>
        <w:spacing w:after="0" w:line="342"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Loans and issue letters of credit; provided that any prepayment of less than all of the outstanding balances of the Term Loans and Incremental Term Loans shall be applied to the remaining amounts due in inverse order of maturity.</w:t>
      </w:r>
    </w:p>
    <w:p>
      <w:pPr>
        <w:spacing w:after="0" w:line="14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17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Notwithstanding the above, Xcel may make a voluntary prepayment of up to $0.75 million without any early termination fees, and any such prepayment would be excluded from the computation of excess cash flows.</w:t>
      </w:r>
    </w:p>
    <w:p>
      <w:pPr>
        <w:spacing w:after="0" w:line="17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Xcel’s obligations under the Loan Agreement are guaranteed by and secured by all of the assets of Xcel and its wholly owned subsidiaries, as well as any subsidiary formed or acquired that becomes a credit party to the Loan Agreement (the “Guarantors”) and, subject to certain limitations contained in Term Loans,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Loan Agreement contains customary covenants, including reporting requirements, trademark preservation, and the following financial covenants of the Company (on a consolidated basis with the Guarantors under the Loan Agreement):</w:t>
      </w:r>
    </w:p>
    <w:p>
      <w:pPr>
        <w:spacing w:after="0" w:line="124" w:lineRule="exact"/>
        <w:rPr>
          <w:sz w:val="20"/>
          <w:szCs w:val="20"/>
          <w:color w:val="auto"/>
        </w:rPr>
      </w:pPr>
    </w:p>
    <w:p>
      <w:pPr>
        <w:ind w:left="700" w:hanging="32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25"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liquid assets of at least $3.0 million through December 31, 2020, at least $2.5 million for the fiscal quarters ending March 31, 2021 through September 30, 2021, at least $3.0 million for the fiscal quarter ending December 31, 2021, and at least $5.0 million thereafter;</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fixed charge coverage ratio for the twelve fiscal month period ending at the end of each fiscal quarter shall not be less than the ratio set forth below:</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580" w:type="dxa"/>
            <w:vAlign w:val="bottom"/>
            <w:gridSpan w:val="2"/>
          </w:tcPr>
          <w:p>
            <w:pPr>
              <w:ind w:left="2120"/>
              <w:spacing w:after="0"/>
              <w:rPr>
                <w:sz w:val="20"/>
                <w:szCs w:val="20"/>
                <w:color w:val="auto"/>
              </w:rPr>
            </w:pPr>
            <w:r>
              <w:rPr>
                <w:rFonts w:ascii="Arial" w:cs="Arial" w:eastAsia="Arial" w:hAnsi="Arial"/>
                <w:sz w:val="14"/>
                <w:szCs w:val="14"/>
                <w:b w:val="1"/>
                <w:bCs w:val="1"/>
                <w:color w:val="auto"/>
              </w:rPr>
              <w:t>Fiscal Quarter End</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Fixed Charge Coverage Ratio</w:t>
            </w:r>
          </w:p>
        </w:tc>
      </w:tr>
      <w:tr>
        <w:trPr>
          <w:trHeight w:val="195"/>
        </w:trPr>
        <w:tc>
          <w:tcPr>
            <w:tcW w:w="5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December 31, 2020, March 31, 2021, June 30, 2021, September 30, 2021,</w:t>
            </w:r>
          </w:p>
        </w:tc>
        <w:tc>
          <w:tcPr>
            <w:tcW w:w="1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r>
      <w:tr>
        <w:trPr>
          <w:trHeight w:val="230"/>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December 31, 2021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 to 1.00</w:t>
            </w: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March 31, 2022, and thereafter</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1.10 to 1.00</w:t>
            </w:r>
          </w:p>
        </w:tc>
      </w:tr>
    </w:tbl>
    <w:p>
      <w:pPr>
        <w:spacing w:after="0" w:line="187" w:lineRule="exact"/>
        <w:rPr>
          <w:sz w:val="20"/>
          <w:szCs w:val="20"/>
          <w:color w:val="auto"/>
        </w:rPr>
      </w:pPr>
    </w:p>
    <w:p>
      <w:pPr>
        <w:ind w:left="700" w:right="79" w:hanging="326"/>
        <w:spacing w:after="0" w:line="342"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capital expenditures (excluding any capitalized compensation costs) shall not exceed $1.6 million for the fiscal year ending December 31, 2020, and $0.7 million for any fiscal year beginning after December 31, 2020; and</w:t>
      </w:r>
    </w:p>
    <w:p>
      <w:pPr>
        <w:spacing w:after="0" w:line="123" w:lineRule="exact"/>
        <w:rPr>
          <w:rFonts w:ascii="Arial" w:cs="Arial" w:eastAsia="Arial" w:hAnsi="Arial"/>
          <w:sz w:val="16"/>
          <w:szCs w:val="16"/>
          <w:color w:val="auto"/>
        </w:rPr>
      </w:pPr>
    </w:p>
    <w:p>
      <w:pPr>
        <w:ind w:left="700" w:right="79" w:hanging="32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leverage ratio for the twelve fiscal month period ending at the end of each fiscal period set forth below shall not exceed the ratio set forth below:</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800" w:type="dxa"/>
            <w:vAlign w:val="bottom"/>
            <w:gridSpan w:val="2"/>
          </w:tcPr>
          <w:p>
            <w:pPr>
              <w:ind w:left="2420"/>
              <w:spacing w:after="0"/>
              <w:rPr>
                <w:sz w:val="20"/>
                <w:szCs w:val="20"/>
                <w:color w:val="auto"/>
              </w:rPr>
            </w:pPr>
            <w:r>
              <w:rPr>
                <w:rFonts w:ascii="Arial" w:cs="Arial" w:eastAsia="Arial" w:hAnsi="Arial"/>
                <w:sz w:val="14"/>
                <w:szCs w:val="14"/>
                <w:b w:val="1"/>
                <w:bCs w:val="1"/>
                <w:color w:val="auto"/>
              </w:rPr>
              <w:t>Fiscal Period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09"/>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3.15 to 1.00</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March 31, 2022 and each Fiscal Quarter end thereafter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was in compliance with all applicable covenants under the Loan Agreement as of and for the fiscal year ended December 31, 2020.</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February 11, 2019 refinancing transaction and subsequent amendments, the Company incurred fees to or on behalf of BHI of approximately $0.3 million during the Prior Year and $0.03 million during the Current Year. These fees have been deferred on the consolidated balance sheets as a reduction to the carrying value of the Term Loans, and are being amortized to interest expense over the term of the Term Loans using the effective interest method. The effective interest rate on the Loan Agreement was approximately 6.6% and 6.7% for the Current Year and Prior Year, respectively.</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Current Year and Prior Year, the Company incurred interest expense of approximately $1.1 million and $1.2 million, respectively, related to term loan debt.</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April 14, 2021, we entered into a loan and security agreement with BHI, FEAC Agent LLC, and the financial institutions party thereto (the “2021 Loan Agreement”). We used a portion of the proceeds from the 2021 Loan Agreement to repay the $16.75 million outstanding balance under the previous Loan Agreement, resulting in the extinguishment of the term loan debt that existed as of December 31, 2020. Under 2021 Loan Agreement, the Company’s debt obligations increased to $25.0 million, payable in 16 equal quarterly installments of $625,000, commencing June 30, 2021 and ending on March 31, 2025, with a final payment of $15.0 million payable on the maturity date of April 14, 2025. The debt under the 2021 Loan Agreement bears interest at a weighted average rate of LIBOR plus 6.2% per annum. In addition, the 2021 Loan Agreement provides for up to $25 million of future acquisition financing, subject to lender approval on a deal-by-deal basis.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Obligations – HH Seller (Halston Heritage Earn-Out)</w:t>
      </w:r>
    </w:p>
    <w:p>
      <w:pPr>
        <w:spacing w:after="0" w:line="225" w:lineRule="exact"/>
        <w:rPr>
          <w:sz w:val="20"/>
          <w:szCs w:val="20"/>
          <w:color w:val="auto"/>
        </w:rPr>
      </w:pPr>
    </w:p>
    <w:p>
      <w:pPr>
        <w:jc w:val="both"/>
        <w:ind w:left="60" w:right="79"/>
        <w:spacing w:after="0" w:line="272" w:lineRule="auto"/>
        <w:rPr>
          <w:sz w:val="20"/>
          <w:szCs w:val="20"/>
          <w:color w:val="auto"/>
        </w:rPr>
      </w:pPr>
      <w:r>
        <w:rPr>
          <w:rFonts w:ascii="Arial" w:cs="Arial" w:eastAsia="Arial" w:hAnsi="Arial"/>
          <w:sz w:val="17"/>
          <w:szCs w:val="17"/>
          <w:color w:val="auto"/>
        </w:rPr>
        <w:t>In connection with the February 11, 2019 purchase of the Halston Heritage Trademarks from HIP, the Company agreed to pay HIP additional consideration (the “Halston Heritage Earn-Out”) of up to $6.0 million, based on royalties earned through December 31, 2022. The Halston Heritage Earn-Out of $0.9 million is recorded as a long-term liability as of December 31, 2020 and 2019 in the accompanying consolidated balance sheets, based on the difference between the fair value of the acquired assets of the Halston Heritage Trademarks and the total consideration paid. In accordance with ASC Topic 480, the Halston Heritage Earn-Out obligation is treated as a liability in the accompanying consolidated balance sheets because of the variable number of shares payable under the agreement.</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Halston Heritage Earn-Out is generally required to be paid in shares of our common stock, subject to certain limitations. Payment of this obligation in stock would not affect our liquidity.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Real Estate Leases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As described in Item 2 of this Annual Report on Form 10-K, we have real estate leases for our current office, former office, and a planned retail store location, with remaining lease terms between approximately one year to eight years. Future payments under these leases are expected to be approximately $2.7 million for the year ending December 31, 2021, $1.7 million for each year ending December 31, 2022 – 2025, and $3.3 million thereafter.</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have entered into contracts with certain executives and key employees. The future minimum payments under these contracts are expected to be approximately $6.7 million, of which approximately $4.6 million is expected to be paid in 2021 and approximately $2.1 million is expected to be paid in 2022.</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Halston brand, and C Wonder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78"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We continue to work towards expanding our wholesale and e-commerce businesses, and complement these operations with our licensing business, including interactive television, and leveraging our wholesale customers with our brick-and-mortar licensees. Our current strategy is to manage our working capital needs by minimizing inventory risk.</w:t>
      </w:r>
    </w:p>
    <w:p>
      <w:pPr>
        <w:spacing w:after="0" w:line="14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we continue to seek new opportunities, including expansion through interactive television, our design, production and supply chain platform, additional domestic and international licensing arrangements, and acquiring additional brands. In November 2019, we acquired an ownership interest in the Longaberger brand through a joint venture, and launched the brand on the QVC channel that same month. We are also actively pursuing the potential acquisition of other brands and business operations which we believe are synergistic to our existing portfolio of brands and our operating platform, and are complementary to our overall strategy.</w:t>
      </w:r>
    </w:p>
    <w:p>
      <w:pPr>
        <w:spacing w:after="0" w:line="17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However, the impacts of the current COVID-19 pandemic are broad reaching and are having an impact on our licensing and wholesale businesses. This global pandemic is impacting our supply chain, and temporary factory closures and the pace of workers returning to work have impacted our contract manufacturers’ ability to source certain raw materials and to produce finished goods in a timely manner. The pandemic is also impacting distribution and logistics providers' ability to operate in the normal course of business. In addition, COVID-19 has resulted in a sudden and continuing decrease in sales for many of our products, resulting in order cancellations. Further, the global pandemic has affected the financial health of certain of our customers, and the bankruptcy of certain other customers, including Lord &amp; Taylor and Le Tote, Stein Mart, and Century 21, from which we had an aggregate of $1.21 million of accounts receivable due at December 31, 2020. As a result, we have recognized an allowance for doubtful accounts of $0.97 million for the year ended December 31, 2020, and may be required to make additional adjustments for doubtful accounts which would increase our operating expenses in future periods and negatively impact our operating results, and could result in our failure to meet financial covenants under our credit facility. Financial impacts associated with the COVID-19 pandemic include, but are not limited to, lower net sales, adjustments to allowances for doubtful accounts due to customer bankruptcy or other inability to pay their amounts due to vendors, the delay of inventory production and fulfillment, potentially further impacting net sales, and potential incremental costs associated with mitigating the effects of the pandemic, including increased freight and logistics costs and other expenses. The impact of the COVID-19 pandemic is expected to continue to have an adverse effect on our operating results, which could result in our inability to comply with certain debt covenants and require BHI to waive compliance with, or agree to amend, any such covenant to avoid a default. The COVID-19 global pandemic is ongoing, and its dynamic nature, including uncertainties relating to the severity and duration of the pandemic, as well as actions that would be taken by governmental authorities to contain the pandemic or to treat its impact, makes it difficult to forecast any effects on our 2021 results. However, as of the date of this filing, we expect our results for some portion of 2021 to be significantly affected.</w:t>
      </w:r>
    </w:p>
    <w:p>
      <w:pPr>
        <w:spacing w:after="0" w:line="39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success, however, will still remain largely dependent on our ability to build and maintain our brands’ awareness and continue to attract wholesale and direct-to-consumer customers, and contract with and retain key licensees,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changes in the prices of</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supplies, consolidation of retail establishments, and other factors noted in “Risk Factors” could adversely affect our licensees’ ability to meet and/or exceed their contractual commitments to us and thereby adversely affect our future operating results.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material effect on our financial condition, results of operations or liquidity.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Board of Directors 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Stockholders of Xcel Brands, Inc. and Subsidiaries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have audited the accompanying consolidated balance sheets of Xcel Brands, Inc. and Subsidiaries (the “Company”) as of December 31, 2020 and 2019, and the related consolidated statements of operations, stockholders’ equity,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judgements.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Tradename Impairment Testing</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disclosed in Note 2 to the consolidated financial statements, indefinite-lived tradenames are tested for impairment annually in the fourth quarter of each year unless an interim test is required due to the presence of indictors that the tradenames may be impaired. The Company uses the income approach using a discounted cash flow model to value the indefinite-lived tradename, comparing its fair value to carrying value to determine impairment. If the carrying value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such assets is considered to be impaired, the impairment to be recognized is measured as the amount by which the carrying amount of the assets exceeds fair value.</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Finite-lived tradenames are reviewed for impairment whenever events or changes in circumstances indicate that their carrying value may not be recoverable. The Company uses the income approach using an undiscounted cash flow model to assess the recoverability of the finite-lived tradename, comparing its undiscounted cash flows to its carrying value. If the carrying value exceeds undiscounted cash flows, the Company will use a discounted cash flow model to determine the fair value, and an impairment loss is recognized if the carrying amount of finite-lived intangible asset exceeds fair value.</w:t>
      </w:r>
    </w:p>
    <w:p>
      <w:pPr>
        <w:spacing w:after="0" w:line="16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December 31, 2020, the Company had one indefinite-lived tradename (Isaac Mizrahi Brand) with a carrying value of $44,500,000. As of December 31, 2019, the Company had two indefinite-lived tradenames (Isaac Mizrahi Brand and Ripka Brand) with a carrying value of $62,900,000.</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2020, the Company had four finite-lived tradenames (Ripka Brand, Halston Brand, C Wonder Brand and Longaberger Brand) with an aggregate carrying value of $48,748,000. As of December 31, 2019, the Company had three finite-lived tradenames (Halston Brand, C Wonder Brand and Longaberger Brand) with an aggregate carrying value of $47,780,000.</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identified the Company’s tradename impairment testing as a critical audit matter. Auditing the Company’s tradename impairment testing was complex and subjective due to the significant estimation required to determine the forecasted cash flows used in the Company’s testing. Specifically, the forecasted cash flows are sensitive to significant assumptions such as revenue growth rates, including the terminal growth rates, margins, expenses, and discount rates, all of which are affected by expected future market or economic conditions, including the effects of the global pandemic. In addition, our audit effort involved the use of professionals within our firm with specialized skill and knowledge in valuation methods and models.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225" w:lineRule="exact"/>
        <w:rPr>
          <w:sz w:val="20"/>
          <w:szCs w:val="20"/>
          <w:color w:val="auto"/>
        </w:rPr>
      </w:pPr>
    </w:p>
    <w:p>
      <w:pPr>
        <w:jc w:val="both"/>
        <w:ind w:left="700" w:right="79" w:hanging="326"/>
        <w:spacing w:after="0" w:line="286"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obtained an understanding of and evaluated the Company’s process to estimate future cashflows, including methods, data, and significant assumptions used in developing the discounted cashflow analysis as well as the completeness and accuracy of the underlying data used by the Company in its analyses.</w:t>
      </w:r>
    </w:p>
    <w:p>
      <w:pPr>
        <w:spacing w:after="0" w:line="165" w:lineRule="exact"/>
        <w:rPr>
          <w:rFonts w:ascii="Arial" w:cs="Arial" w:eastAsia="Arial" w:hAnsi="Arial"/>
          <w:sz w:val="17"/>
          <w:szCs w:val="17"/>
          <w:color w:val="auto"/>
        </w:rPr>
      </w:pPr>
    </w:p>
    <w:p>
      <w:pPr>
        <w:jc w:val="both"/>
        <w:ind w:left="700" w:right="79" w:hanging="326"/>
        <w:spacing w:after="0" w:line="275" w:lineRule="auto"/>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evaluated the reasonableness of the Company’s forecasted revenues, operating results, and cash flows by comparing those forecasts to the underlying business strategies and growth plans, including existing license arrangements. In addition, we performed a sensitivity analysis related to the key inputs to forecasted cash flows, including revenue growth rates, margins, and discount rates, to evaluate whether the changes in the assumptions would result in a material change in fair value of the tradenames.</w:t>
      </w:r>
    </w:p>
    <w:p>
      <w:pPr>
        <w:spacing w:after="0" w:line="176" w:lineRule="exact"/>
        <w:rPr>
          <w:rFonts w:ascii="Arial" w:cs="Arial" w:eastAsia="Arial" w:hAnsi="Arial"/>
          <w:sz w:val="17"/>
          <w:szCs w:val="17"/>
          <w:color w:val="auto"/>
        </w:rPr>
      </w:pPr>
    </w:p>
    <w:p>
      <w:pPr>
        <w:jc w:val="both"/>
        <w:ind w:left="700" w:right="79" w:hanging="326"/>
        <w:spacing w:after="0" w:line="263"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evaluated management’s ability to estimate future cash flows by comparing the Company’s historical forecasted sales, operating results, and cash flow forecasts to actual results. We also considered management's ability to estimate license renewals by examining historical renewal rates.</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 the assistance of our firm’s valuation professionals, we evaluated the reasonableness of the Company’s discounted cash flow models, including the terminal value and discount rates assumptions.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Going Concern</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disclosed in Note 10 to the consolidated financial statements, in March 2020, the World Health Organization declared the outbreak of a novel coronavirus disease (“COVID-19”) as a pandemic, negatively and materially impacting the Company’s financial results and liquidity. Specifically, licensing and wholesale revenues decreased primarily due to lower customer sales by its licensees and wholesale customers as a result of government-ordered retail store closures as well 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an overall slowdown in economic activity related to the COVID-19 pandemic. This resulted in significant uncertainty surrounding the potential impact on the Company’s future results of operations and cash flows.</w:t>
      </w:r>
    </w:p>
    <w:p>
      <w:pPr>
        <w:spacing w:after="0" w:line="143"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identified the evaluation of whether the Company has the ability to continue as a going concern due to liquidity impacted by COVID-19 as a critical audit matter. Auditing management’s going concern analysis was complex and highly subjective due to the significant estimation required to forecast future operations and cash flows that are affected by expected future market conditions, including the effects of global pandemic.</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primary procedures we performed to address this critical audit matter included the following.</w:t>
      </w:r>
    </w:p>
    <w:p>
      <w:pPr>
        <w:spacing w:after="0" w:line="185" w:lineRule="exact"/>
        <w:rPr>
          <w:sz w:val="20"/>
          <w:szCs w:val="20"/>
          <w:color w:val="auto"/>
        </w:rPr>
      </w:pPr>
    </w:p>
    <w:p>
      <w:pPr>
        <w:jc w:val="both"/>
        <w:ind w:left="700" w:right="79" w:hanging="326"/>
        <w:spacing w:after="0" w:line="301"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obtained an understanding of and tested the company’s process to identify events and circumstances that would raise substantial doubt about the Company’s ability to continue as a going concern and process to estimate future cashflows, including methods, data, and significant assumptions used in developing the future cashflows, as well as the completeness and accuracy of the underlying data used by the Company in its analyses.</w:t>
      </w:r>
    </w:p>
    <w:p>
      <w:pPr>
        <w:spacing w:after="0" w:line="130" w:lineRule="exact"/>
        <w:rPr>
          <w:rFonts w:ascii="Arial" w:cs="Arial" w:eastAsia="Arial" w:hAnsi="Arial"/>
          <w:sz w:val="16"/>
          <w:szCs w:val="16"/>
          <w:color w:val="auto"/>
        </w:rPr>
      </w:pPr>
    </w:p>
    <w:p>
      <w:pPr>
        <w:ind w:left="700" w:hanging="326"/>
        <w:spacing w:after="0"/>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evaluated the reasonableness of the following significant assumptions made by management, including:</w:t>
      </w:r>
    </w:p>
    <w:p>
      <w:pPr>
        <w:spacing w:after="0" w:line="196" w:lineRule="exact"/>
        <w:rPr>
          <w:sz w:val="20"/>
          <w:szCs w:val="20"/>
          <w:color w:val="auto"/>
        </w:rPr>
      </w:pPr>
    </w:p>
    <w:p>
      <w:pPr>
        <w:ind w:left="1340" w:right="79" w:hanging="318"/>
        <w:spacing w:after="0" w:line="259" w:lineRule="auto"/>
        <w:tabs>
          <w:tab w:leader="none" w:pos="1340" w:val="left"/>
        </w:tabs>
        <w:numPr>
          <w:ilvl w:val="0"/>
          <w:numId w:val="26"/>
        </w:numPr>
        <w:rPr>
          <w:rFonts w:ascii="Courier New" w:cs="Courier New" w:eastAsia="Courier New" w:hAnsi="Courier New"/>
          <w:sz w:val="18"/>
          <w:szCs w:val="18"/>
          <w:color w:val="auto"/>
        </w:rPr>
      </w:pPr>
      <w:r>
        <w:rPr>
          <w:rFonts w:ascii="Arial" w:cs="Arial" w:eastAsia="Arial" w:hAnsi="Arial"/>
          <w:sz w:val="18"/>
          <w:szCs w:val="18"/>
          <w:color w:val="auto"/>
        </w:rPr>
        <w:t>The Company’s forecasted revenues and cash flows by comparing those forecasts to the underlying business strategies and growth plans, including existing license arrangements;</w:t>
      </w:r>
    </w:p>
    <w:p>
      <w:pPr>
        <w:spacing w:after="0" w:line="143" w:lineRule="exact"/>
        <w:rPr>
          <w:rFonts w:ascii="Courier New" w:cs="Courier New" w:eastAsia="Courier New" w:hAnsi="Courier New"/>
          <w:sz w:val="18"/>
          <w:szCs w:val="18"/>
          <w:color w:val="auto"/>
        </w:rPr>
      </w:pPr>
    </w:p>
    <w:p>
      <w:pPr>
        <w:jc w:val="both"/>
        <w:ind w:left="1340" w:right="79" w:hanging="318"/>
        <w:spacing w:after="0" w:line="254" w:lineRule="auto"/>
        <w:tabs>
          <w:tab w:leader="none" w:pos="1340" w:val="left"/>
        </w:tabs>
        <w:numPr>
          <w:ilvl w:val="0"/>
          <w:numId w:val="26"/>
        </w:numPr>
        <w:rPr>
          <w:rFonts w:ascii="Courier New" w:cs="Courier New" w:eastAsia="Courier New" w:hAnsi="Courier New"/>
          <w:sz w:val="18"/>
          <w:szCs w:val="18"/>
          <w:color w:val="auto"/>
        </w:rPr>
      </w:pPr>
      <w:r>
        <w:rPr>
          <w:rFonts w:ascii="Arial" w:cs="Arial" w:eastAsia="Arial" w:hAnsi="Arial"/>
          <w:sz w:val="18"/>
          <w:szCs w:val="18"/>
          <w:color w:val="auto"/>
        </w:rPr>
        <w:t>Management’s ability to estimate future cash flows, including forecasted revenues, by comparing the Company’s historical cash flow forecasts to actual results. We also considered management's ability to estimate license renewals by examining historical renewal rates.; and</w:t>
      </w:r>
    </w:p>
    <w:p>
      <w:pPr>
        <w:spacing w:after="0" w:line="162" w:lineRule="exact"/>
        <w:rPr>
          <w:rFonts w:ascii="Courier New" w:cs="Courier New" w:eastAsia="Courier New" w:hAnsi="Courier New"/>
          <w:sz w:val="18"/>
          <w:szCs w:val="18"/>
          <w:color w:val="auto"/>
        </w:rPr>
      </w:pPr>
    </w:p>
    <w:p>
      <w:pPr>
        <w:jc w:val="both"/>
        <w:ind w:left="1340" w:right="79" w:hanging="318"/>
        <w:spacing w:after="0" w:line="254" w:lineRule="auto"/>
        <w:tabs>
          <w:tab w:leader="none" w:pos="1340" w:val="left"/>
        </w:tabs>
        <w:numPr>
          <w:ilvl w:val="0"/>
          <w:numId w:val="26"/>
        </w:numPr>
        <w:rPr>
          <w:rFonts w:ascii="Courier New" w:cs="Courier New" w:eastAsia="Courier New" w:hAnsi="Courier New"/>
          <w:sz w:val="18"/>
          <w:szCs w:val="18"/>
          <w:color w:val="auto"/>
        </w:rPr>
      </w:pPr>
      <w:r>
        <w:rPr>
          <w:rFonts w:ascii="Arial" w:cs="Arial" w:eastAsia="Arial" w:hAnsi="Arial"/>
          <w:sz w:val="18"/>
          <w:szCs w:val="18"/>
          <w:color w:val="auto"/>
        </w:rPr>
        <w:t>We performed a sensitivity analysis related to the key inputs to forecasted cash flows, including revenue growth rates and cost saving measures, to evaluate the impact of COVID-19 on the Company’s future cash flows and how the Company’s strategy mitigates the impact</w:t>
      </w:r>
    </w:p>
    <w:p>
      <w:pPr>
        <w:spacing w:after="0" w:line="200" w:lineRule="exact"/>
        <w:rPr>
          <w:sz w:val="20"/>
          <w:szCs w:val="20"/>
          <w:color w:val="auto"/>
        </w:rPr>
      </w:pP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CohnReznick LLP</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auditors since 2012.</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New York</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April 22,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Assets: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Cash and cash equivalents</w:t>
            </w:r>
          </w:p>
        </w:tc>
        <w:tc>
          <w:tcPr>
            <w:tcW w:w="5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Accounts receivable, net of allowances of $1,151 and $155, respectively</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8,889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10,622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1,085</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16,147</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17,566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80"/>
              <w:spacing w:after="0" w:line="142"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3,367</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Operating lease right-of-use assets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Trademarks and other intangibles, net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93,535</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111,095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Restricted cash</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non-current assets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106,907</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5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b w:val="1"/>
                <w:bCs w:val="1"/>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Equity</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Current 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54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4,442</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4"/>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Accrued payroll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973</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Current portion of operating lease obligation</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2,101</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8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2,800</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9,837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line="142" w:lineRule="exact"/>
              <w:rPr>
                <w:sz w:val="20"/>
                <w:szCs w:val="20"/>
                <w:color w:val="auto"/>
              </w:rPr>
            </w:pPr>
            <w:r>
              <w:rPr>
                <w:rFonts w:ascii="Arial" w:cs="Arial" w:eastAsia="Arial" w:hAnsi="Arial"/>
                <w:sz w:val="14"/>
                <w:szCs w:val="14"/>
                <w:b w:val="1"/>
                <w:bCs w:val="1"/>
                <w:color w:val="auto"/>
              </w:rPr>
              <w:t>Long-Term Liabilities: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Long-term portion of operating lease obligation</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8,469</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Long-term debt, less current portion</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13,838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Contingent obligation</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Deferred tax liabilities, net</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3,052</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long-term liabilities</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26,483</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34,902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36,799</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44,739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Commitments and Contingencies</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Preferred stock, $.001 par value, 1,000,000 shares authorized, none issued and outstanding</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10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w w:val="93"/>
              </w:rPr>
              <w:t>Common stock, $.001 par value, 50,000,000 shares authorized, and 19,260,862 and 18,866,417 shares</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10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 at December 31, 2020 and 2019, respectively</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ind w:left="80"/>
              <w:spacing w:after="0" w:line="149" w:lineRule="exact"/>
              <w:rPr>
                <w:sz w:val="20"/>
                <w:szCs w:val="20"/>
                <w:color w:val="auto"/>
              </w:rPr>
            </w:pPr>
            <w:r>
              <w:rPr>
                <w:rFonts w:ascii="Arial" w:cs="Arial" w:eastAsia="Arial" w:hAnsi="Arial"/>
                <w:sz w:val="14"/>
                <w:szCs w:val="14"/>
                <w:color w:val="auto"/>
              </w:rPr>
              <w:t>Paid-in capital</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102,324</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101,736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(16,595)</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(3,659)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ind w:left="200"/>
              <w:spacing w:after="0" w:line="142" w:lineRule="exact"/>
              <w:rPr>
                <w:sz w:val="20"/>
                <w:szCs w:val="20"/>
                <w:color w:val="auto"/>
              </w:rPr>
            </w:pPr>
            <w:r>
              <w:rPr>
                <w:rFonts w:ascii="Arial" w:cs="Arial" w:eastAsia="Arial" w:hAnsi="Arial"/>
                <w:sz w:val="14"/>
                <w:szCs w:val="14"/>
                <w:color w:val="auto"/>
              </w:rPr>
              <w:t>Total Xcel Brands, Inc. stockholders' equity</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85,748</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color w:val="auto"/>
              </w:rPr>
              <w:t>98,096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Noncontrolling interest</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1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86,255</w:t>
            </w: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98,452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540" w:type="dxa"/>
            <w:vAlign w:val="bottom"/>
            <w:gridSpan w:val="2"/>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123,054</w:t>
            </w:r>
          </w:p>
        </w:tc>
        <w:tc>
          <w:tcPr>
            <w:tcW w:w="180" w:type="dxa"/>
            <w:vAlign w:val="bottom"/>
          </w:tcPr>
          <w:p>
            <w:pPr>
              <w:spacing w:after="0"/>
              <w:rPr>
                <w:sz w:val="12"/>
                <w:szCs w:val="12"/>
                <w:color w:val="auto"/>
              </w:rPr>
            </w:pPr>
          </w:p>
        </w:tc>
        <w:tc>
          <w:tcPr>
            <w:tcW w:w="380" w:type="dxa"/>
            <w:vAlign w:val="bottom"/>
          </w:tcPr>
          <w:p>
            <w:pPr>
              <w:jc w:val="right"/>
              <w:ind w:right="264"/>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143,191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1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For the Year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70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Net licensing revenue</w:t>
            </w:r>
          </w:p>
        </w:tc>
        <w:tc>
          <w:tcPr>
            <w:tcW w:w="9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20,255</w:t>
            </w:r>
          </w:p>
        </w:tc>
        <w:tc>
          <w:tcPr>
            <w:tcW w:w="5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revenue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29,448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Cost of goods sold (sales)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Gross profit</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23,992</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31,455</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Salaries, benefits and employment taxes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Other design and marketing costs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selling, general and administrative expenses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(Recovery of) costs in connection with potential acquisitions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5,497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Government assistance - Paycheck Protection Program and other</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Asset impairment charges</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operating costs and expenses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40,448</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(16,410)</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and finance expense</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Interest expense and other finance charges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Loss on extinguishment of debt</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interest and finance expense</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(17,603)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benefit</w:t>
            </w:r>
          </w:p>
        </w:tc>
        <w:tc>
          <w:tcPr>
            <w:tcW w:w="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(13,085)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Xcel Brands, Inc. stockholders</w:t>
            </w:r>
          </w:p>
        </w:tc>
        <w:tc>
          <w:tcPr>
            <w:tcW w:w="6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(12,936)</w:t>
            </w:r>
          </w:p>
        </w:tc>
        <w:tc>
          <w:tcPr>
            <w:tcW w:w="2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Loss per share attributable to Xcel Brands, Inc. common stockholders:</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net loss per share:</w:t>
            </w:r>
          </w:p>
        </w:tc>
        <w:tc>
          <w:tcPr>
            <w:tcW w:w="9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5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Arial" w:cs="Arial" w:eastAsia="Arial" w:hAnsi="Arial"/>
                <w:sz w:val="18"/>
                <w:szCs w:val="18"/>
                <w:color w:val="auto"/>
              </w:rPr>
              <w:t>Diluted net loss per share:</w:t>
            </w:r>
          </w:p>
        </w:tc>
        <w:tc>
          <w:tcPr>
            <w:tcW w:w="9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(0.68)</w:t>
            </w:r>
          </w:p>
        </w:tc>
        <w:tc>
          <w:tcPr>
            <w:tcW w:w="5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7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 weighted average common shares outstanding</w:t>
            </w:r>
          </w:p>
        </w:tc>
        <w:tc>
          <w:tcPr>
            <w:tcW w:w="6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19,117,460</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18,857,657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tcBorders>
              <w:bottom w:val="single" w:sz="8" w:color="CCEEFF"/>
            </w:tcBorders>
            <w:shd w:val="clear" w:color="auto" w:fill="CCEEFF"/>
          </w:tcPr>
          <w:p>
            <w:pPr>
              <w:ind w:left="80"/>
              <w:spacing w:after="0" w:line="190" w:lineRule="exact"/>
              <w:rPr>
                <w:sz w:val="20"/>
                <w:szCs w:val="20"/>
                <w:color w:val="auto"/>
              </w:rPr>
            </w:pPr>
            <w:r>
              <w:rPr>
                <w:rFonts w:ascii="Arial" w:cs="Arial" w:eastAsia="Arial" w:hAnsi="Arial"/>
                <w:sz w:val="18"/>
                <w:szCs w:val="18"/>
                <w:color w:val="auto"/>
              </w:rPr>
              <w:t>Diluted weighted average common shares outstanding</w:t>
            </w:r>
          </w:p>
        </w:tc>
        <w:tc>
          <w:tcPr>
            <w:tcW w:w="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19,117,460</w:t>
            </w: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18,857,657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160"/>
          </w:cols>
          <w:pgMar w:left="1360" w:top="51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60"/>
          </w:cols>
          <w:pgMar w:left="1360" w:top="517" w:right="1379"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Xcel Brands, Inc. stockholders</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300" w:type="dxa"/>
            <w:vAlign w:val="bottom"/>
            <w:tcBorders>
              <w:top w:val="single" w:sz="8" w:color="auto"/>
              <w:bottom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3"/>
              </w:rPr>
              <w:t>Common Stock</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Paid-in</w:t>
            </w:r>
          </w:p>
        </w:tc>
        <w:tc>
          <w:tcPr>
            <w:tcW w:w="980" w:type="dxa"/>
            <w:vAlign w:val="bottom"/>
            <w:tcBorders>
              <w:top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0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Interest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18,138,616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$ 100,097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99,882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with the acquisition of Halston Heritage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777,778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Shares issued to directors in connection with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grants, net of forfeitures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Shares issued on exercise of stock options,</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Compensation expense in connection with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including vested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w w:val="97"/>
              </w:rPr>
              <w:t>restricted stock in exchange for withholding</w:t>
            </w: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Consolidation of Longaberger Licensing,</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LLC variable interest entity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for the year ended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18,866,417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Compensation expense in connection with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restricted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 executive in connection</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with stock grants for bonus payments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336,700</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issued to other employees in</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 stock grants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303,028</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repurchased from employees in</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exchange for withholding taxes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(245,283)</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investment in Longaberger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Licensing, LLC by non-controlling interest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for the year ended</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(12,936)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(13,085)</w:t>
            </w:r>
          </w:p>
        </w:tc>
        <w:tc>
          <w:tcPr>
            <w:tcW w:w="0" w:type="dxa"/>
            <w:vAlign w:val="bottom"/>
          </w:tcPr>
          <w:p>
            <w:pPr>
              <w:spacing w:after="0"/>
              <w:rPr>
                <w:sz w:val="1"/>
                <w:szCs w:val="1"/>
                <w:color w:val="auto"/>
              </w:rPr>
            </w:pPr>
          </w:p>
        </w:tc>
      </w:tr>
      <w:tr>
        <w:trPr>
          <w:trHeight w:val="149"/>
        </w:trPr>
        <w:tc>
          <w:tcPr>
            <w:tcW w:w="340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19,260,862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$ 102,324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(13,085)</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loss to net cash provided by operating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 expense</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5,497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Asset impairment charges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deferred finance costs</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note discount</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Allowance for doubtful accounts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 benefit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(4,382)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Net gain on sale of assets</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Gain on reduction of contingent obligation</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691</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(317)</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1,089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 accrued expenses and other current liabilities</w:t>
            </w: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(496)</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(1,720)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paid in excess of rent expense</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3,185</w:t>
            </w:r>
          </w:p>
        </w:tc>
        <w:tc>
          <w:tcPr>
            <w:tcW w:w="2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Cash consideration for acquisition of Halston Heritage assets</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(8,830)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Net proceeds from sale of assets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Investment in Longaberger Licensing, LLC</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Purchase of property and equipment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(748)</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(702)</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Shares repurchased including vested restricted stock in exchange for withholding taxes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Cash contribution from non-controlling interest</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 of deferred finance costs</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20"/>
              <w:spacing w:after="0" w:line="149" w:lineRule="exact"/>
              <w:rPr>
                <w:sz w:val="20"/>
                <w:szCs w:val="20"/>
                <w:color w:val="auto"/>
              </w:rPr>
            </w:pPr>
            <w:r>
              <w:rPr>
                <w:rFonts w:ascii="Arial" w:cs="Arial" w:eastAsia="Arial" w:hAnsi="Arial"/>
                <w:sz w:val="14"/>
                <w:szCs w:val="14"/>
                <w:color w:val="auto"/>
              </w:rPr>
              <w:t>Proceeds from long-term debt</w:t>
            </w:r>
          </w:p>
        </w:tc>
        <w:tc>
          <w:tcPr>
            <w:tcW w:w="10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Payment of long-term debt</w:t>
            </w: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(2,250)</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(2,167)</w:t>
            </w:r>
          </w:p>
        </w:tc>
        <w:tc>
          <w:tcPr>
            <w:tcW w:w="2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316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(4,569)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6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65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5,750</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6,066</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5,750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6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Reconciliation to amounts on consolidated balance sheets:</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4,957</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Restricted cash</w:t>
            </w: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6,066</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6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non-cash activities:</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52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4"/>
                <w:szCs w:val="14"/>
                <w:color w:val="auto"/>
              </w:rPr>
              <w:t>Operating lease right-of-use asset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52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Operating lease obligation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797</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13,210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220"/>
              <w:spacing w:after="0"/>
              <w:rPr>
                <w:sz w:val="20"/>
                <w:szCs w:val="20"/>
                <w:color w:val="auto"/>
              </w:rPr>
            </w:pPr>
            <w:r>
              <w:rPr>
                <w:rFonts w:ascii="Arial" w:cs="Arial" w:eastAsia="Arial" w:hAnsi="Arial"/>
                <w:sz w:val="14"/>
                <w:szCs w:val="14"/>
                <w:color w:val="auto"/>
              </w:rPr>
              <w:t>Accrued rent offset to operating lease right-of-use assets</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2,801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2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Settlement of seller note through offset to receivable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220"/>
              <w:spacing w:after="0"/>
              <w:rPr>
                <w:sz w:val="20"/>
                <w:szCs w:val="20"/>
                <w:color w:val="auto"/>
              </w:rPr>
            </w:pPr>
            <w:r>
              <w:rPr>
                <w:rFonts w:ascii="Arial" w:cs="Arial" w:eastAsia="Arial" w:hAnsi="Arial"/>
                <w:sz w:val="14"/>
                <w:szCs w:val="14"/>
                <w:color w:val="auto"/>
              </w:rPr>
              <w:t>Settlement of contingent obligation through offset to note receivable</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2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Issuance of common stock in connection with Halston Heritage assets acquisition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220"/>
              <w:spacing w:after="0"/>
              <w:rPr>
                <w:sz w:val="20"/>
                <w:szCs w:val="20"/>
                <w:color w:val="auto"/>
              </w:rPr>
            </w:pPr>
            <w:r>
              <w:rPr>
                <w:rFonts w:ascii="Arial" w:cs="Arial" w:eastAsia="Arial" w:hAnsi="Arial"/>
                <w:sz w:val="14"/>
                <w:szCs w:val="14"/>
                <w:color w:val="auto"/>
              </w:rPr>
              <w:t>Contingent obligation related to acquisition of Halston Heritage assets at fair value</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20" w:type="dxa"/>
            <w:vAlign w:val="bottom"/>
            <w:tcBorders>
              <w:bottom w:val="single" w:sz="8" w:color="CCEEFF"/>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520" w:type="dxa"/>
            <w:vAlign w:val="bottom"/>
            <w:tcBorders>
              <w:bottom w:val="single" w:sz="8" w:color="CCEEFF"/>
            </w:tcBorders>
            <w:shd w:val="clear" w:color="auto" w:fill="CCEEFF"/>
          </w:tcPr>
          <w:p>
            <w:pPr>
              <w:ind w:left="220"/>
              <w:spacing w:after="0" w:line="129" w:lineRule="exact"/>
              <w:rPr>
                <w:sz w:val="20"/>
                <w:szCs w:val="20"/>
                <w:color w:val="auto"/>
              </w:rPr>
            </w:pPr>
            <w:r>
              <w:rPr>
                <w:rFonts w:ascii="Arial" w:cs="Arial" w:eastAsia="Arial" w:hAnsi="Arial"/>
                <w:sz w:val="14"/>
                <w:szCs w:val="14"/>
                <w:color w:val="auto"/>
              </w:rPr>
              <w:t>Liability for equity-based bonuses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71</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65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Cash paid during the period for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520" w:type="dxa"/>
            <w:vAlign w:val="bottom"/>
            <w:tcBorders>
              <w:bottom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Cash paid during the period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1,128</w:t>
            </w:r>
          </w:p>
        </w:tc>
        <w:tc>
          <w:tcPr>
            <w:tcW w:w="2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1,176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Xcel Brands, Inc. (“Xcel” and, together with its subsidiaries, the “Company”) is a media and consumer products company engaged in the design, production, marketing, live streaming, wholesale distribution, and direct-to-consumer sales of branded apparel, footwear, accessories, fine jewelry, home goods and other consumer products, and the acquisition of dynamic consumer lifestyle brands. Currently, the Company’s brand portfolio consists of the Isaac Mizrahi brands (the "Isaac Mizrahi Brand"), the Judith Ripka brands (the "Ripka Brand"), the Halston brands (the "Halston Brand"), the C Wonder brands (the "C Wonder Brand"), and other proprietary brands. The Company also manages the Longaberger brand (the “Longaberger Brand”) through its 50% ownership interest in Longaberger Licensing, LLC.</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designs, produces, markets, and distributes products, and in certain cases, licenses its brands to third parties, and generates licensing and other revenues through contractual arrangements with manufacturers and retailers. This includes licensing its own brands for promotion and distribution through a ubiquitous-channel retail sales strategy, which includes distribution through interactive television, the internet, and traditional brick-and-mortar retail channels.</w:t>
      </w:r>
    </w:p>
    <w:p>
      <w:pPr>
        <w:spacing w:after="0" w:line="15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Company’s wholesale and e-commerce operations are presented as "Net sales" and "Cost of goods sold (sales)" in the Consolidated Statements of Operations, separately from the Company’s licensing revenues.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consolidated financial statements include the accounts of Xcel, its wholly owned subsidiaries, and entities in which Xcel has a controlling financial interest as of and for the years ended December 31, 2020 (the "Current Year") and 2019 (the "Prior Year"). The consolidated financial statements have been prepared in accordance with accounting principles generally accepted in the United States of America (“U.S.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deems the following items to require significant estimates from management:</w:t>
      </w:r>
    </w:p>
    <w:p>
      <w:pPr>
        <w:spacing w:after="0" w:line="225" w:lineRule="exact"/>
        <w:rPr>
          <w:sz w:val="20"/>
          <w:szCs w:val="20"/>
          <w:color w:val="auto"/>
        </w:rPr>
      </w:pPr>
    </w:p>
    <w:p>
      <w:pPr>
        <w:ind w:left="700" w:hanging="293"/>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225" w:lineRule="exact"/>
        <w:rPr>
          <w:rFonts w:ascii="Arial" w:cs="Arial" w:eastAsia="Arial" w:hAnsi="Arial"/>
          <w:sz w:val="18"/>
          <w:szCs w:val="18"/>
          <w:color w:val="auto"/>
        </w:rPr>
      </w:pPr>
    </w:p>
    <w:p>
      <w:pPr>
        <w:ind w:left="700" w:hanging="293"/>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Useful lives of trademarks;</w:t>
      </w:r>
    </w:p>
    <w:p>
      <w:pPr>
        <w:spacing w:after="0" w:line="225" w:lineRule="exact"/>
        <w:rPr>
          <w:rFonts w:ascii="Arial" w:cs="Arial" w:eastAsia="Arial" w:hAnsi="Arial"/>
          <w:sz w:val="18"/>
          <w:szCs w:val="18"/>
          <w:color w:val="auto"/>
        </w:rPr>
      </w:pPr>
    </w:p>
    <w:p>
      <w:pPr>
        <w:ind w:left="700" w:hanging="293"/>
        <w:spacing w:after="0"/>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Assumptions used in the valuation of intangible assets, including cash flow estimates for impairment analysis;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700" w:hanging="29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Black-Scholes option pricing model assumptions for stock option values;</w:t>
      </w:r>
    </w:p>
    <w:p>
      <w:pPr>
        <w:spacing w:after="0" w:line="225" w:lineRule="exact"/>
        <w:rPr>
          <w:rFonts w:ascii="Arial" w:cs="Arial" w:eastAsia="Arial" w:hAnsi="Arial"/>
          <w:sz w:val="18"/>
          <w:szCs w:val="18"/>
          <w:color w:val="auto"/>
        </w:rPr>
      </w:pPr>
    </w:p>
    <w:p>
      <w:pPr>
        <w:ind w:left="700" w:hanging="29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Incremental borrowing rate;</w:t>
      </w:r>
    </w:p>
    <w:p>
      <w:pPr>
        <w:spacing w:after="0" w:line="225" w:lineRule="exact"/>
        <w:rPr>
          <w:rFonts w:ascii="Arial" w:cs="Arial" w:eastAsia="Arial" w:hAnsi="Arial"/>
          <w:sz w:val="18"/>
          <w:szCs w:val="18"/>
          <w:color w:val="auto"/>
        </w:rPr>
      </w:pPr>
    </w:p>
    <w:p>
      <w:pPr>
        <w:ind w:left="700" w:hanging="29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Inventory reserves; and</w:t>
      </w:r>
    </w:p>
    <w:p>
      <w:pPr>
        <w:spacing w:after="0" w:line="225" w:lineRule="exact"/>
        <w:rPr>
          <w:rFonts w:ascii="Arial" w:cs="Arial" w:eastAsia="Arial" w:hAnsi="Arial"/>
          <w:sz w:val="18"/>
          <w:szCs w:val="18"/>
          <w:color w:val="auto"/>
        </w:rPr>
      </w:pPr>
    </w:p>
    <w:p>
      <w:pPr>
        <w:ind w:left="700" w:hanging="293"/>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Valuation allowances and effective tax rate for tax purposes.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Certain reclassifications have been made to Prior Year financial statements to conform to classifications used in the Current Year – specifically, the aggregation of interest expense with other finance charges, the latter of which was not material in Current Year or Prior Year. This reclassification had no impact on net income, stockholders’ equity, or cash flows as previously reported.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to be cash equivalents.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Accounts receivable are reported net of the allowance for doubtful accounts. The allowance for doubtful accounts is based on the Company’s ongoing discussions with its licensees, wholesale and digital customers, and its evaluation of each customer’s payment history, account aging, and financial position.</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As of December 31, 2020 and 2019, the Company had $8.9 million and $10.6 million, respectively, of accounts receivable, net of allowances for doubtful accounts of $1.2 million and $0.2 million, respectively. The Company recognized bad debt expense of $1.1 million for the Current Year and a recovery of $(0.1) million for the Prior Year. Included within these amounts, the Current Year reflects $1.0 million of bad debt expense related to the bankruptcy of several retail customers due to the novel coronavirus disease pandemic. The total allowance of $1.0 million against such customers’ outstanding receivable balances of $1.2 million at December 31, 2020 represents management’s best estimate of collectibility, based on information currently available.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is no earned revenue that has been accrued but not billed as of December 31, 2020 and 2019.</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Inventory is recorded at the lower of cost or net realizable value, with cost determined on a weighted average basis. The Company holds finished goods inventory for its e-commerce jewelry operations. Apparel and jewelry finished goods inventory is purchased to satisfy orders received from its wholesale operations. The Company periodically reviews the composition of its inventories in order to identify obsolete, slow-moving or otherwise non-saleable items. If non-saleable items are observed and there are no alternate uses for the inventories, the Company will record a write-down to net realizable value in the period that the decline in value is first recognized. Reserves for inventory shrinkage, representing the risk of physical loss of inventory, are estimated based on historical experience and are adjusted based upon physical inventory counts.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Furniture, equipment, and software are stated at cost less accumulated depreciation and amortization, and are depreciated using the straight-line method over their estimated useful lives, generally three (3) to seven (7) years. Leasehold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improvements are amortized over the shorter of their estimated useful lives or the terms of the leases. Betterments and improvements are capitalized, while repairs and maintenance are expensed as incurred.</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Costs to develop or acquire software for internal use incurred during the preliminary project stage and the post implementation stage are expensed, while internal and external costs to acquire or develop software for internal use incurred during the application development stage – including design, configuration, coding, testing, and installation – are generally capitalized.</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a result of the bankruptcy of Lord &amp; Taylor in the Current Year, the Company recognized a $0.1 million impairment related to certain furniture and fixture assets physically located in Lord &amp; Taylor’s stores.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Trademarks and Other Intangible Assets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follows Financial Accounting Standards Board (“FASB”) Accounting Standards Codification (“ASC”) Topic 350, “Intangibles - Goodwill and Other.” Under this standard, goodwill and indefinite-lived intangible assets are not amortized, but are required to be assessed for impairment at least annually (the Company utilizes December 31 as its testing date) and when events occur or circumstances change that would more likely than not reduce the fair value of the asset below its carrying amount.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Indefinite-Lived Intangible Assets</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tests its indefinite-lived intangible assets for recovery in accordance with ASC-820-10-55-3F, which states that the income approach (“Income Approach”) converts future amounts (for example cash flows) to a single current (that is, discounted) amount. When the Income Approach is used, fair value measurement reflects current market expectations about those future amounts. The Income Approach is based on the present value of future earnings expected to be generated by a business or asset. Income projections for a future period are discounted at a rate commensurate with the degree of risk associated with future proceeds. A residual or terminal value is also added to the present value of the income to quantify the value of the business beyond the projection period. As such, recoverability of assets to be held and used is measured by a comparison of the carrying amount of the asset to its expected future discounted net cash flows. If the carrying amount of such assets is considered to be impaired, the impairment to be recognized is measured as the amount by which the carrying amount of the assets exceeds the recoverable amount of the assets.</w:t>
      </w:r>
    </w:p>
    <w:p>
      <w:pPr>
        <w:spacing w:after="0" w:line="16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performed its annual impairment testing as described above for the year ended December 31, 2020, and concluded that there was no impairment of its indefinite-lived intangible assets.</w:t>
      </w:r>
    </w:p>
    <w:p>
      <w:pPr>
        <w:spacing w:after="0" w:line="170"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As a result of performing its annual impairment testing as described above for the year ended December 31, 2019, the Company recorded a $6.2 million impairment related to the Ripka Brand trademarks, driven by the timing of the continued transition from a licensing model to a wholesale and direct-to-consumer model. No other impairment charges were recorded for the year ended December 31, 2019.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Finite-Lived Intangible Assets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Company’s finite-lived intangible assets, including Trademarks, are reviewed for impairment whenever events or changes in circumstances indicate that their carrying value may not be recoverable. An impairment loss is recognized if the carrying amount of a finite-lived intangible asset is not recoverable and its carrying amount exceeds its fair value.</w:t>
      </w:r>
    </w:p>
    <w:p>
      <w:pPr>
        <w:spacing w:after="0" w:line="16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With reference to finite-lived intangible assets impairment testing, the Company groups assets and liabilities at the lowest level for which identifiable cash flows are largely independent of the cash flows of other assets and liabilities and evaluate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undiscounted cash flows analysis or appraisals. The inputs utilized in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finite-lived intangible assets impairment analysis are classified as Level 3 inputs within the fair value hierarchy as defined in ASC Topic 820, “Fair Value Measurement.”</w:t>
      </w:r>
    </w:p>
    <w:p>
      <w:pPr>
        <w:spacing w:after="0" w:line="170"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a result of performing its annual impairment testing as described above for the year ended December 31, 2020, the Company recorded a $13.0 million impairment related to the Ripka Brand trademarks, driven by delays and uncertainty in implementing the brick-and-mortar retail store strategy for a portion of the brand, primarily as a result of the novel coronavirus disease pandemic. No other impairment charges were recorded for the year ended December 31, 2020.</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No impairment charges were recorded related to finite-lived intangible assets for the year ended December 31, 2019.</w:t>
      </w:r>
    </w:p>
    <w:p>
      <w:pPr>
        <w:spacing w:after="0" w:line="23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finite-lived intangible assets are amortized over their estimated useful lives of seven (7) to eighteen (18) years.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Restricted cash was $1.1 million as of December 31, 2020 and 2019, respectively. This balance consisted of $1.1 million of cash deposited with Bank Hapoalim B.M. (“BHI”) as collateral for an irrevocable standby letter of credit associated with the lease of the Company’s current corporate office and operating facility at 1333 Broadway, New York City.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holds a limited partner ownership interest in an unconsolidated affiliate, which was entered into in 2016. This investment is accounted for in accordance with Accounting Standards Update (“ASU”) No. 2016-01, "Financial Instruments – Overall (Subtopic 825-10): "Recognition and Measurement of Financial Assets and Financial Liabilities," and is included within other assets on the Company’s consolidated balance sheets at December 31, 2020 and 2019. As of December 31, 2020 and 2019, the carrying value of this investment was $0.1 million. This investment does not have a readily determinable fair value and in accordance with ASC 820-10-35-59, the investment is valued at cost, less impairment, plus or minus observable price changes of an identical or similar investment of the same issuer.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Receivable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previously entered into a promissory note receivable from a certain key employee in the amount of $0.9 million. This note receivable bore interest at 5.1%, was due and payable in full on April 1, 2019, and was fully collateralized by various assets of the employee in which the Company had been granted a security interest. The note receivable was satisfied on March 31, 2019, and as of December 31, 2019, there were no amounts remaining outstanding under the note.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Finance Costs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incurred costs (primarily professional fees and lender underwriting fees) in connection with borrowings under the senior secured term loans. These costs have been deferred on the consolidated balance sheets as a reduction to the carrying value of the associated borrowings. Such costs are amortized as interest expense using the effective interest method.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Obligations</w:t>
      </w:r>
    </w:p>
    <w:p>
      <w:pPr>
        <w:spacing w:after="0" w:line="225"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recorded contingent obligations in connection with the acquisition of the Judith Ripka Trademarks in 2014, the C Wonder Trademarks in 2015, and the Halston Heritage Trademarks in 2019. See Note 6 and Note 10 for additional information related to contingent obligations.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Under the applicable accounting guidance, the Company is required to carry such contingent liability balances on its consolidated balance sheet until the measurement period of the earn-out expires and all related contingencies have been resolved.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applies the guidance in ASC Topic 606, “Revenue from Contracts with Customers” to recognize revenue.</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Licensing</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recognizes revenue continuously over time as it satisfies its continuous obligation of granting access to its licensed intellectual properties, which are deemed symbolic intellectual properties under the applicable revenue accounting guidance.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 significant escalations of contractually guaranteed minimum payments. There were no such differences that would have a material impact on the Company’s consolidated balance sheets at December 31, 2020 and 2019. In accordance with ASC 606-10-55-65, the Company recognizes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85" w:lineRule="exact"/>
        <w:rPr>
          <w:sz w:val="20"/>
          <w:szCs w:val="20"/>
          <w:color w:val="auto"/>
        </w:rPr>
      </w:pPr>
    </w:p>
    <w:p>
      <w:pPr>
        <w:jc w:val="both"/>
        <w:ind w:left="1020" w:right="79" w:hanging="322"/>
        <w:spacing w:after="0" w:line="275"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76" w:lineRule="exact"/>
        <w:rPr>
          <w:rFonts w:ascii="Arial" w:cs="Arial" w:eastAsia="Arial" w:hAnsi="Arial"/>
          <w:sz w:val="17"/>
          <w:szCs w:val="17"/>
          <w:color w:val="auto"/>
        </w:rPr>
      </w:pPr>
    </w:p>
    <w:p>
      <w:pPr>
        <w:jc w:val="both"/>
        <w:ind w:left="1020" w:right="79" w:hanging="322"/>
        <w:spacing w:after="0" w:line="25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distinct period only when the minimum guaranteed is exceeded on a cumulative basis (this approach is identified as “View C” by the TRG).</w:t>
      </w:r>
    </w:p>
    <w:p>
      <w:pPr>
        <w:spacing w:after="0" w:line="19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does not typically perform by transferring goods or services to customers before the customer pays consideration or before payment is due, thus the amounts of contract assets as defined by ASC 606-10-45-3 were not material as of December 31, 2020 and 2019. The Company’s unconditional right to receive consideration based on the terms and conditions of licensing contracts is presented as accounts receivable on the accompanying consolidated balance. The Company typically does not receive consideration in advance of performance and, consequently, amounts of contract liabilities as defined by ASC 606-10-45-2 were not material as of December 31, 2020 and 2019.</w:t>
      </w:r>
    </w:p>
    <w:p>
      <w:pPr>
        <w:spacing w:after="0" w:line="16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does not disclose the amount attributable to unsatisfied or partially satisfied performance obligations for variable revenue contracts (identified under “View A” above) in accordance with the optional exemption allowed under</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ASC 606. The Company did not have any revenue recognized in the reporting period from performance obligations satisfied, or partially satisfied, in previous periods. Remaining minimum guaranteed payments for active contracts as of December 31, 2020 are expected to be recognized ratably in accordance with View C over the remaining term of each contract based on the passage of time and through December 2023.</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Wholesale Sales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generates revenue through the design, sourcing, and sale of branded jewelry and apparel to both domestic and international customers who, in turn, sell the products to the consumer. The Company recognizes revenue when performance obligations identified under the terms of contracts with its customers are satisfied, which occurs upon the transfer of control of the merchandise in accordance with the contractual terms and conditions of the sale.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Direct to Consumer Sales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revenue associated with its e-commerce businesses is recognized at a point in time when product is shipped to the customer.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$0.9 million in advertising and marketing costs for each of the years ended December 31, 2020 and December 31, 2019.</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determines if an arrangement is a lease at inception. The Company generally recognizes a right-of-use (“ROU”) asset, representing its right to use the underlying leased asset for the lease term, and a liability for its obligation to make future lease payments (the lease liability) at commencement date based on the present value of lease payments over the lease term. The Company does not recognize ROU assets and lease liabilities for lease terms of 12 months or less, but recognizes such lease payments in net income on a straight-line basis over the lease terms.</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real estate leases of office space, the Company accounts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Lease expense for operating lease payments related to office leases is recognized on a straight-line basis over the lease term. Lease expense for operating lease payments related to retail leases is recognized on a straight-line basis over the period of operation, as this is representative of the pattern in which benefit is derived from the lease. The Company recognizes income from subleases (in which the Company is the sublessor) on a straight-line basis over the term of the sublease, as a reduction to lease expense.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accounts for stock-based compensation in accordance with ASC Topic 718, “Compensation - Stock Compensation,” by recognizing the fair value of stock-based compensation as an operating expense over the service period of the award or term of the corresponding contract, as applicable.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fair value of stock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terms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accounts for non-employee awards in accordance with ASU 2018-07, “Compensation – Stock Compensation (Topic 718) – Improvements to Nonemployee Share-Based Payment Accounting.” Such awards are measured at the grant date fair value of the equity instruments to be issued, and the Company recognizes compensation cost for grants to non-employees on a straight-line basis over the period of the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accounts for forfeitures as a reduction of compensation cost in the period when such forfeitures occur.</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 until the time the performance obligation is satisfied.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Current income taxes are based on the respective period’s taxable income for federal and state income tax reporting purposes. Deferred tax liabilities and assets are determined based on the difference between the financial statement and income tax bases of assets and liabilities, using enacted tax rates in effect for the year in which the differences are expected to reverse. A valuation allowance is required if, based on the weight of available evidence, it is more likely than not that some portion or all of the deferred tax assets will not be realized.</w:t>
      </w:r>
    </w:p>
    <w:p>
      <w:pPr>
        <w:spacing w:after="0" w:line="1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applies the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2020 and 2019. Interest and penalties related to uncertain tax positions, if any, are recorded in income tax expense. Tax years that remain open for assessment for federal and state tax purposes include the years ended December 31, 2017 through December 31, 2020.</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income tax effects of changes in tax laws are recognized in the period when enacted.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ASC Topic 820, “Fair Value Measurements and Disclosures,” defines fair value and establishes a framework for measuring fair value under U.S. GAAP. The fair value of the Company’s financial assets and liabilities reflects management’s</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For certain of the Company’s financial instruments, including cash and cash equivalents, restricted cash, accounts receivable, and accounts payable, the carrying amounts approximate fair value due to the short-term maturities of these instruments. The carrying value of term loan debt approximates fair value because the fixed interest rate approximates current market rates and in the instances it does not, the impact is not material. When debt interest rates are below market rates, the Company considers the discounted value of the difference of actual interest rates and its internal borrowing against the scheduled debt payments. The fair value of the Company’s cost method investment does not have a readily determinable fair value and in accordance with ASC 820-10-35-59, the investment is valued at cost, less impairment, plus or minus observable price changes of an identical or similar investment of the same issuer.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restricted cash, accounts receivable, and notes receivable. The Company limits its credit risk with respect to cash by maintaining cash, cash equivalents, and restricted cash balances with high quality financial institutions. At times, the Company’s cash, cash equivalents, and restricted cash may exceed federally insured limits. Concentrations of credit risk with respect to accounts receivable are minimal due to the collection history and due to the nature of the Company’s royalty revenues. Generally, the Company does not require collateral or other security to support accounts receivable.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Basic earnings per share is computed by dividing net income available to common stockholders by the weighted average number of common shares outstanding during the period, excluding the effects of any potentially dilutive securities. Diluted earnings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This ASU removes certain exceptions to the general principles in Topic 740, including, but not limited to, intraperiod tax allocations and interim period tax calculations. The ASU also provides additional clarification and guidance related to recognition of franchise taxes and changes in tax laws. This guidance is effective for public companies for fiscal years, and interim periods within those fiscal years, beginning after December 15, 2020, with early adoption permitted. The adoption of this new guidance in 2021 will not have any significant impact on the Company’s results of operations, cash flows, and financial condition.</w:t>
      </w:r>
    </w:p>
    <w:p>
      <w:pPr>
        <w:spacing w:after="0" w:line="19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which was subsequently amended in November 2018 through ASU No. 2018-19. This ASU will require entities to estimate lifetime expected credit losses for financial instruments, including trade and other receivables, which will result in earlier recognition of credit losses. In November 2019, the FASB issued ASU No. 2019-10, which, among other things, deferred the application of the new guidance on credit losses for smaller reporting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companies to fiscal years beginning after December 15, 2022, including interim periods within those fiscal years. The Company is currently evaluating the new guidance to determine the impact the adoption of this guidance will have on the Company’s results of operations, cash flows, and financial condition.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adopted ASU No. 2018-13, “Fair Value Measurement (Topic 820): Disclosure Framework – Changes to the Disclosure Requirements for Fair Value Measurement,” effective January 1, 2020. This ASU adds, modifies, and removes several disclosure requirements relative to the three levels of inputs used to measure fair value in accordance with Topic 820, “Fair Value Measurement.” The adoption of this new guidance did not have any impact on the Company’s results of operations, cash flows, and financial condition.</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adopted ASU No. 2016-02, “Leases,” effective January 1, 2019, by applying the new guidance under the additional and alternative transition method allowed by ASU No. 2018-11, “Leases (Topic 842): Targeted Improvements.” As of January 1, 2019, the adoption resulted in the recognition of operating lease right-of-use ("ROU") assets of approximately $10.4 million, lease liabilities of approximately $13.2 million, and a decrease of approximately $2.8 million in accrued rent. The adoption of the new lease accounting guidance did not have an impact on the Company’s consolidated statement of operations, and had no impact on cash provided by or used in operating, financing, or investing activities in the Company's consolidated statement of cash flows.</w:t>
      </w:r>
    </w:p>
    <w:p>
      <w:pPr>
        <w:spacing w:after="0" w:line="17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elected the available practical expedients under ASC 842-10-15-37 (thereby not separating lease components from non-lease components and instead accounting for all components as a single lease component) and ASC 842-10-65-1 (thereby, among other things, not reassessing lease classification), and implemented changes to its processes and methodologies related to leases to enable the preparation of financial information upon adoption and to allow for the correct identification, classification, and measurement of leases in accordance with the new guidance going forward.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Halston Heritage Trademarks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February 11, 2019 (the “Closing Date”), the Company and its wholly owned subsidiary, H Heritage Licensing, LLC, entered into an asset purchase agreement (the "Heritage Asset Purchase Agreement") with the H Company IP, LLC (the "Seller" or "HIP") and its parent, House of Halston LLC ("HOH"), pursuant to which the Company acquired certain assets of HIP, including the "Halston", "Halston Heritage", and "Roy Frowick" trademarks (collectively, the "Halston Heritage Trademarks") and other intellectual property rights relating thereto. Benjamin Malka, who was a director of the Company, is a 25% equity holder of HOH and former Chief Executive Officer of HOH.</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9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Halston Heritage Trademark acquisition was accounted for as an asset purchase. The aggregate purchase price has been allocated to the following assets based on the fair value of the assets on the date of acquisition:</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9"/>
        </w:trPr>
        <w:tc>
          <w:tcPr>
            <w:tcW w:w="7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Allocated to:</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Halston archives</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acquisition price</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Halston Heritage Trademarks have been determined by management to have a finite useful life, and accordingly, amortization is recorded in the Company’s consolidated statements of operations. The Halston Heritage Trademarks and archives are amortized on a straight-line basis over their expected useful lives of eighteen and seven years, respectively.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represents the aggregate purchase price of $10.8 million:</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9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 except share amounts)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10"/>
        </w:trPr>
        <w:tc>
          <w:tcPr>
            <w:tcW w:w="7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r>
      <w:tr>
        <w:trPr>
          <w:trHeight w:val="216"/>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Fair value of Common Stock issued (777,778 shares)</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r>
      <w:tr>
        <w:trPr>
          <w:trHeight w:val="21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direct initial consideration</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9,408</w:t>
            </w:r>
          </w:p>
        </w:tc>
      </w:tr>
      <w:tr>
        <w:trPr>
          <w:trHeight w:val="216"/>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Direct transaction expenses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Contingent obligation</w:t>
            </w:r>
          </w:p>
        </w:tc>
        <w:tc>
          <w:tcPr>
            <w:tcW w:w="2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1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10,788</w:t>
            </w: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Consolidation of Longaberger Licensing, LLC Variable Interest Entity and Acquisition of Longaberger Trademarks</w:t>
      </w:r>
    </w:p>
    <w:p>
      <w:pPr>
        <w:spacing w:after="0" w:line="24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November 12, 2019, the Company entered into a limited liability company agreement (the “LLC Agreement”) with a subsidiary of Hilco Global for Longaberger Licensing, LLC (“LL”). Hilco Global became the sole Class A Member of LL, and Xcel became the sole Class B Member of LL. Each member committed to an initial capital contribution of $425,000 in return for a 50% equity ownership interest in LL, with each member actually contributing $375,000 upon execution of the LLC Agreement.</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Simultaneously on November 12, 2019, Longaberger Licensing, LLC completed the acquisition of the Longaberger trademarks and other intellectual property rights relating thereto from the trustee for the Longaberger Company. The total purchase price for such assets was $750,000. No other assets or liabilities were acquired as part of this transaction, and the acquisition was accounted for as an asset purchase.</w:t>
      </w:r>
    </w:p>
    <w:p>
      <w:pPr>
        <w:spacing w:after="0" w:line="18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Based on an analysis of the contractual terms and rights contained in the related agreements, the Company determined that under the applicable accounting standards, LL is a variable interest entity and the Company has effective control over the entity. Therefore, as the primary beneficiary, the Company has consolidated LL as of November 12, 2019. Upon consolidation, the Company recognized $750,000 of intangible assets and a noncontrolling interest of $375,000.</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Longaberger trademarks have been determined by management to have a finite useful life, and accordingly, amortization is recorded in the Company’s consolidated statements of operations. The Longaberger trademarks are amortized on a straight-line basis over their expected useful life of fifteen (15) years.</w:t>
      </w:r>
    </w:p>
    <w:p>
      <w:pPr>
        <w:spacing w:after="0" w:line="16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During the Current Year, Hilco Global and Xcel each contributed $300,000 to LL in order to fund LL’s working capital requirements, which resulted in an increase of $300,000 to the carrying value of Hilco Global’s non-controlling interest.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Trademarks and Other Intangibles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Trademarks and other intangibles, net consist of the following:</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98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w w:val="93"/>
              </w:rPr>
              <w:t>December 31, 2020</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5"/>
              </w:rPr>
              <w:t>Amortization</w:t>
            </w:r>
          </w:p>
        </w:tc>
        <w:tc>
          <w:tcPr>
            <w:tcW w:w="11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Gross Carrying</w:t>
            </w:r>
          </w:p>
        </w:tc>
        <w:tc>
          <w:tcPr>
            <w:tcW w:w="10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(indefinite-lived)</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Trademarks (finite-lived)</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6,867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14,746</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Trademarks (finite-lived)</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34,002</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intellectual property</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Copyrights and other intellectual property</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105,259</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11,724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93,535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w w:val="93"/>
              </w:rPr>
              <w:t>December 31, 2019</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5"/>
              </w:rPr>
              <w:t>Amortization</w:t>
            </w:r>
          </w:p>
        </w:tc>
        <w:tc>
          <w:tcPr>
            <w:tcW w:w="11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Gross Carrying</w:t>
            </w:r>
          </w:p>
        </w:tc>
        <w:tc>
          <w:tcPr>
            <w:tcW w:w="102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Accumulated</w:t>
            </w:r>
          </w:p>
        </w:tc>
        <w:tc>
          <w:tcPr>
            <w:tcW w:w="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71"/>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740" w:type="dxa"/>
            <w:vAlign w:val="bottom"/>
          </w:tcPr>
          <w:p>
            <w:pPr>
              <w:jc w:val="center"/>
              <w:ind w:right="33"/>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9"/>
        </w:trPr>
        <w:tc>
          <w:tcPr>
            <w:tcW w:w="4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(indefinite-lived)</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62,900</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Trademarks (finite-lived)</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15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16,213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11,653</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Trademarks (finite-lived)</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18 years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36,127</w:t>
            </w:r>
          </w:p>
        </w:tc>
        <w:tc>
          <w:tcPr>
            <w:tcW w:w="0" w:type="dxa"/>
            <w:vAlign w:val="bottom"/>
          </w:tcPr>
          <w:p>
            <w:pPr>
              <w:spacing w:after="0"/>
              <w:rPr>
                <w:sz w:val="1"/>
                <w:szCs w:val="1"/>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Other intellectual property</w:t>
            </w:r>
          </w:p>
        </w:tc>
        <w:tc>
          <w:tcPr>
            <w:tcW w:w="9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7 years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Copyrights and other intellectual property</w:t>
            </w:r>
          </w:p>
        </w:tc>
        <w:tc>
          <w:tcPr>
            <w:tcW w:w="9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6"/>
              </w:rPr>
              <w:t>10 years</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0"/>
        </w:trPr>
        <w:tc>
          <w:tcPr>
            <w:tcW w:w="49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118,259</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111,095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During the year ended December 31, 2020, the Company recorded a non-cash impairment charge of $13.0 million related to the Ripka Brand trademarks, driven by delays and uncertainty in implementing the brick-and-mortar retail store strategy for a portion of the brand, primarily as a result of the novel coronavirus disease pandemic. During the year ended December 31, 2019, the Company recorded a non-cash impairment charge of $6.2 million related to the Ripka Brand trademarks, driven by the timing of the continued transition from a licensing model to a wholesale and direct-to-consumer model. No other intangible asset impairment charges were recorded for the years ended December 31, 2020 and 2019.</w:t>
      </w:r>
    </w:p>
    <w:p>
      <w:pPr>
        <w:spacing w:after="0" w:line="16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Amortization expense for intangible assets for the years ended December 31, 2020 and 2019 was approximately $4.6 million and $3.2 million, respectively.</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Effective January 1, 2020, the Company determined that the Ripka Brand, inclusive of all its trademarks, has a finite life of 15 years, and is amortized on a straight-line basis accordingly. Prior to January 1, 2020, the Ripka Brand trademarks were considered indefinite-lived assets.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trademarks of the Isaac Mizrahi Brand have been determined to have indefinite useful lives and accordingly, no amortization has been recorded for those intangible assets.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Estimated future amortization expense related to finite-lived intangible assets over the remaining useful lives is as follows:</w:t>
      </w:r>
    </w:p>
    <w:p>
      <w:pPr>
        <w:spacing w:after="0" w:line="25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75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54"/>
              <w:spacing w:after="0"/>
              <w:rPr>
                <w:sz w:val="20"/>
                <w:szCs w:val="20"/>
                <w:color w:val="auto"/>
              </w:rPr>
            </w:pPr>
            <w:r>
              <w:rPr>
                <w:rFonts w:ascii="Arial" w:cs="Arial" w:eastAsia="Arial" w:hAnsi="Arial"/>
                <w:sz w:val="14"/>
                <w:szCs w:val="14"/>
                <w:b w:val="1"/>
                <w:bCs w:val="1"/>
                <w:color w:val="auto"/>
                <w:w w:val="93"/>
              </w:rPr>
              <w:t>Amortization</w:t>
            </w:r>
          </w:p>
        </w:tc>
      </w:tr>
      <w:tr>
        <w:trPr>
          <w:trHeight w:val="171"/>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Expense</w:t>
            </w: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3,632</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r>
      <w:tr>
        <w:trPr>
          <w:trHeight w:val="216"/>
        </w:trPr>
        <w:tc>
          <w:tcPr>
            <w:tcW w:w="7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30,909</w:t>
            </w:r>
          </w:p>
        </w:tc>
      </w:tr>
      <w:tr>
        <w:trPr>
          <w:trHeight w:val="210"/>
        </w:trPr>
        <w:tc>
          <w:tcPr>
            <w:tcW w:w="7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49,035</w:t>
            </w:r>
          </w:p>
        </w:tc>
      </w:tr>
      <w:tr>
        <w:trPr>
          <w:trHeight w:val="20"/>
        </w:trPr>
        <w:tc>
          <w:tcPr>
            <w:tcW w:w="7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Significant Contracts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QVC Agreements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Through its wholly owned subsidiaries, the Company has direct-to-retail license agreements with Qurate Retail Group (“Qurate”), pursuant to which the Company designs, and Qurate sources and sells, various products under the IsaacMizrahiLIVE brand, the Judith Ripka brand, the H by Halston brand, and the Longaberger brand. These agreements include, respectively, the IM QVC Agreement, the Ripka QVC Agreement, the H QVC Agreement, and the Longaberger QVC Agreement (collectively, the “QVC Agreements”). Qurate owns the rights to all designs produced under the QVC Agreements, and the QVC Agreements include the sale of products across various categories through Qurate’s television media and related internet sites.</w:t>
      </w:r>
    </w:p>
    <w:p>
      <w:pPr>
        <w:spacing w:after="0" w:line="195"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Pursuant to the agreements, the Company has granted to Qurate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The QVC Agreements include automatic renewal periods as detailed below unless terminated by either party.</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Current Term</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Automatic</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Xcel Commenced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QVC Product</w:t>
            </w:r>
          </w:p>
        </w:tc>
      </w:tr>
      <w:tr>
        <w:trPr>
          <w:trHeight w:val="171"/>
        </w:trPr>
        <w:tc>
          <w:tcPr>
            <w:tcW w:w="3640" w:type="dxa"/>
            <w:vAlign w:val="bottom"/>
            <w:gridSpan w:val="2"/>
          </w:tcPr>
          <w:p>
            <w:pPr>
              <w:spacing w:after="0"/>
              <w:rPr>
                <w:sz w:val="20"/>
                <w:szCs w:val="20"/>
                <w:color w:val="auto"/>
              </w:rPr>
            </w:pPr>
            <w:r>
              <w:rPr>
                <w:rFonts w:ascii="Arial" w:cs="Arial" w:eastAsia="Arial" w:hAnsi="Arial"/>
                <w:sz w:val="14"/>
                <w:szCs w:val="14"/>
                <w:b w:val="1"/>
                <w:bCs w:val="1"/>
                <w:color w:val="auto"/>
              </w:rPr>
              <w:t>Agreement</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Expiry</w:t>
            </w: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Renewal</w:t>
            </w: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Brand with QVC</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Launch</w:t>
            </w: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IM QVC Agreement</w:t>
            </w:r>
          </w:p>
        </w:tc>
        <w:tc>
          <w:tcPr>
            <w:tcW w:w="1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September 30, 2021</w:t>
            </w:r>
          </w:p>
        </w:tc>
        <w:tc>
          <w:tcPr>
            <w:tcW w:w="1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one-year period</w:t>
            </w:r>
          </w:p>
        </w:tc>
        <w:tc>
          <w:tcPr>
            <w:tcW w:w="1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September 2011</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Ripka QVC Agreement</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March 31, 2022</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one-year period</w:t>
            </w:r>
          </w:p>
        </w:tc>
        <w:tc>
          <w:tcPr>
            <w:tcW w:w="136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April 2014</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QVC Agreement</w:t>
            </w:r>
          </w:p>
        </w:tc>
        <w:tc>
          <w:tcPr>
            <w:tcW w:w="16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December 31, 2022</w:t>
            </w:r>
          </w:p>
        </w:tc>
        <w:tc>
          <w:tcPr>
            <w:tcW w:w="14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three-year period</w:t>
            </w:r>
          </w:p>
        </w:tc>
        <w:tc>
          <w:tcPr>
            <w:tcW w:w="13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January 2015</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Longaberger QVC Agreement</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October 31, 2021</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two-year period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November 2019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2019</w:t>
            </w:r>
          </w:p>
        </w:tc>
      </w:tr>
    </w:tbl>
    <w:p>
      <w:pPr>
        <w:spacing w:after="0" w:line="187"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connection with the foregoing and during the same periods, Qurate and its subsidiaries have the exclusive, worldwide right to use the names, likenesses, images, voices, and performances of the Company’s spokespersons to promote the respective products. Under the IM QVC Agreement, IM Brands has also granted to Qurate and its affiliates, during the same period, exclusive, worldwide rights to promote third-party vendor co-branded products that, in addition to bearing and being marketed in connection with the trademarks and logos of such third-party vendors, also bear or are marketed in connection with the IsaacMizrahiLIVE trademark and related logo.</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QVC Agreements, Qurate is obligated to make payments to the Company on a quarterly basis, based primarily upon a percentage of the net retail sales of the specified branded products. Net retail sales are defined as the aggregate amount of all revenue generated through the sale of the specified branded products by Qurate and its subsidiaries under the QVC Agreements, excluding freight, shipping and handling charges, customer returns, and sales, use, or other taxes.</w:t>
      </w:r>
    </w:p>
    <w:p>
      <w:pPr>
        <w:spacing w:after="0" w:line="15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Also, under the QVC Agreements, except for the Longaberger QVC Agreement, the Company will pay a royalty participation fee to Qurate on revenue earned from the sale, license, consignment, or any other form of distribution of any products, bearing, marketed in connection with, or otherwise associated with the specified trademarks and brands.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Net revenue from Qurate totaled $17.61 million and $22.24 million for the Current Year and Prior Year, respectively, representing approximately 60% and 53% of the Company’s total revenues, respectively. As of December 31, 2020 and 2019, the Company had receivables from Qurate of $4.46 million and $4.36 million, representing approximately 50% and 41% of the Company’s accounts receivable, respectively. The December 31, 2020 and 2019 Qurate receivables did not include any earned revenue accrued but not yet billed as of the respective balance sheet dates.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Debt and Other Long-term Liabilities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net carrying amount of debt is comprised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20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Term loan debt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Unamortized deferred finance costs related to term loan</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200" w:type="dxa"/>
            <w:vAlign w:val="bottom"/>
            <w:tcBorders>
              <w:bottom w:val="single" w:sz="8" w:color="CCEEFF"/>
            </w:tcBorders>
          </w:tcPr>
          <w:p>
            <w:pPr>
              <w:spacing w:after="0"/>
              <w:rPr>
                <w:sz w:val="18"/>
                <w:szCs w:val="18"/>
                <w:color w:val="auto"/>
              </w:rPr>
            </w:pPr>
          </w:p>
        </w:tc>
      </w:tr>
      <w:tr>
        <w:trPr>
          <w:trHeight w:val="209"/>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 Debt</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February 26, 2016, the Company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with Bank Hapoalim B.M. as agent, and the financial institutions party thereto as lenders.</w:t>
      </w:r>
    </w:p>
    <w:p>
      <w:pPr>
        <w:spacing w:after="0" w:line="15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February 11, 2019, concurrent with the Closing Date of the acquisition of the Halston Heritage Brands (see Note 3), the Company entered into an amended loan agreement with BHI (the “Loan Agreement”), which amended and restated the prior term loan. Immediately prior to February 11, 2019, the aggregate principal amount of the prior term loan was $14.5 million. Pursuant to the Loan Agreement, the Lenders have extended to Xcel an additional term loan in the amount of $7.5 million, such that, as of February 11, 2019, the aggregate outstanding balance of all the term loans extended by BHI to Xcel was $22.0 million, which amount has been divided under the Loan Agreement into two term loans: (1) a term loan in the amount of $7.3 million (“Term Loan A”) and (2) a term loan in the amount of $14.7 million (“Term Loan B” and, together with Term Loan A, the “Term Loans”). The proceeds of the additional term loan were used to finance the Halston Heritage Brands acquisition described in Note 3.</w:t>
      </w:r>
    </w:p>
    <w:p>
      <w:pPr>
        <w:spacing w:after="0" w:line="1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terms and conditions of the Loan Agreement resulted in significantly different debt service payment requirements, compared with the prior term loan, including an increase of $7.5 million in the principal balance, and related changes to the timing and amount of principal payments, as well as changes in the interest rate. Management assessed and determined that this amendment resulted in an extinguishment of debt and recognized a loss of $0.2 million (consisting of unamortized deferred finance costs) during the year ended December 31, 2019.</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Loan Agreement also allows that BHI and any other lender party to the Loan Agreement (collectively, the “Lenders”) can provide to Xcel a revolving loan facility and a letter of credit facility, the terms of each of which shall be agreed to by Xcel and the Lenders. Amounts advanced under the revolving loan facility (the “Revolving Loans”) will be used for the purpose of consummating acquisitions by Xcel or its subsidiaries that are or become parties to the Loan Agreement. Xcel will have the right to convert Revolving Loans to incremental term loans (the “Incremental Term Loans”) in minimum amounts of $5.0 million. The Company has not drawn down any funds under either the revolving loan facility or letter of credit facility.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April 13, 2020, the Company and BHI amended the Loan Agreement. Under this amendment, the quarterly installment payment due March 31, 2020 was deferred, and the amounts of the quarterly installment payments due throughout the remainder of 2020 were reduced, while the amount of principal to be repaid through variable payments based on excess cash flow was increased. In addition, there were multiple changes and waivers to the various financial covenants. Further, this amendment permitted Xcel to incur unsecured debt through the Paycheck Protection Program (“PPP”) under the Coronavirus Aid, Relief, and Economic Security Act (“CARES Act”), and excludes any associated PPP debt and debt service from the covenant calculations. See Note 7 for details regarding the Company’s accounting for the PPP. There were no changes to the total principal balance, interest rate, or maturity date.</w:t>
      </w:r>
    </w:p>
    <w:p>
      <w:pPr>
        <w:spacing w:after="0" w:line="17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18, 2020, the Company and BHI further amended its Loan Agreement. Under this amendment, the amounts of the quarterly installment payments due throughout 2021 were reduced, and the amount of principal to be repaid through variable payments based on excess cash flow was increased. In addition, there were multiple changes and waivers to the various financial covenants. There were no changes to the total principal balance, interest rate, or maturity date.</w:t>
      </w:r>
    </w:p>
    <w:p>
      <w:pPr>
        <w:spacing w:after="0" w:line="157"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Management assessed and determined that the Current Year amendments represented debt modifications and, accordingly, no gain or loss was recorded. In connection with the Current Year amendments, the Company incurred fees to or on behalf of BHI of approximately $27,000; these fees, along with deferred finance costs related to financing transactions that took place in prior years, have been deferred on the consolidated balance sheets as a reduction to the carrying value of the term loan debt, and are being amortized to interest expense over the term of the Loan Agreement using the effective interest method.</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Term Loans mature on December 31, 2023, Incremental Term Loans shall mature on the date set forth in the applicable term note, and Revolving Loans and the letter of credit facility shall mature on such date as agreed upon by Xcel and the Lenders. Any letter of credit issued under Loan Agreement shall terminate no later than one year following the date of issuance thereof.</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remaining principal balance of the Term Loans, as amended, outstanding at December 31, 2020 is payable in fixed installments as set forth in the following table, plus the variable payments as described below:</w:t>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11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80" w:type="dxa"/>
            <w:vAlign w:val="bottom"/>
            <w:tcBorders>
              <w:top w:val="single" w:sz="8" w:color="auto"/>
              <w:bottom w:val="single" w:sz="8" w:color="auto"/>
            </w:tcBorders>
          </w:tcPr>
          <w:p>
            <w:pPr>
              <w:ind w:left="2000"/>
              <w:spacing w:after="0" w:line="142" w:lineRule="exact"/>
              <w:rPr>
                <w:sz w:val="20"/>
                <w:szCs w:val="20"/>
                <w:color w:val="auto"/>
              </w:rPr>
            </w:pPr>
            <w:r>
              <w:rPr>
                <w:rFonts w:ascii="Arial" w:cs="Arial" w:eastAsia="Arial" w:hAnsi="Arial"/>
                <w:sz w:val="14"/>
                <w:szCs w:val="14"/>
                <w:b w:val="1"/>
                <w:bCs w:val="1"/>
                <w:color w:val="auto"/>
              </w:rPr>
              <w:t>Installment Payment Dates</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rPr>
              <w:t>March 31, 2021, June 30, 2021, September 30, 2021, and December 31, 2021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2022, June 30, 2022, September 30, 2022, and December 31, 2022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0"/>
                <w:shd w:val="clear" w:color="auto" w:fill="CCEEFF"/>
              </w:rPr>
              <w:t>March 31, 2023, June 30, 2023, September 30, 2023, and December 31, 2023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1,250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addition to the fixed installments outlined above, commencing with the fiscal quarter ending March 31, 2021, the Company is required to repay a portion of the Term Loans in an amount equal to 50% of the excess cash flow for the fiscal quarter, provided that no early termination fee shall be payable with respect to any such payment. Excess cash flow means, for any period, cash flow from operations (before certain permitted distributions) less (i) capital expenditures not made through the incurrence of indebtedness, (ii) all cash principal paid or payable during such period, and (iii) all dividends declared and paid (or which could have been declared and paid) during such period to equity holders of any credit party treated as a disregarded entity for tax purposes. To the extent that the cumulative amount of such variable repayments made is less than $4.45 million as of March 31, 2022, any such shortfall must be repaid at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Thus, the aggregate remaining annual principal payments under the Term Loans at December 31, 2020 were as follows:</w:t>
      </w:r>
    </w:p>
    <w:p>
      <w:pPr>
        <w:spacing w:after="0" w:line="24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62"/>
        </w:trPr>
        <w:tc>
          <w:tcPr>
            <w:tcW w:w="5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Principal</w:t>
            </w: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Payment</w:t>
            </w:r>
          </w:p>
        </w:tc>
        <w:tc>
          <w:tcPr>
            <w:tcW w:w="0" w:type="dxa"/>
            <w:vAlign w:val="bottom"/>
          </w:tcPr>
          <w:p>
            <w:pPr>
              <w:spacing w:after="0"/>
              <w:rPr>
                <w:sz w:val="1"/>
                <w:szCs w:val="1"/>
                <w:color w:val="auto"/>
              </w:rPr>
            </w:pPr>
          </w:p>
        </w:tc>
      </w:tr>
      <w:tr>
        <w:trPr>
          <w:trHeight w:val="210"/>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9"/>
        </w:trPr>
        <w:tc>
          <w:tcPr>
            <w:tcW w:w="58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Xcel has the right to prepay the Term Loans, Incremental Term Loans, Revolving Loans, and obligations with respect to letters of credit and accrued and unpaid interest thereon and to terminate the Lenders’ obligations to make Revolving Loans and issue letters of credit; provided that any prepayment of less than all of the outstanding balances of the Term Loans and Incremental Term Loans shall be applied to the remaining amounts due in inverse order of maturity.</w:t>
      </w:r>
    </w:p>
    <w:p>
      <w:pPr>
        <w:spacing w:after="0" w:line="15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If any Term Loan or any Incremental Term Loan is prepaid on or prior to the third anniversary of the Closing Date (including as a result of an event of default), Xcel shall pay an early termination fee as follows: an amount equal to the principal amount of the Term Loan or Incremental Term Loan, as applicable, being prepaid, multiplied by: (i) two percent (2.00%) if any of Term Loan B or any Incremental Term Loan is prepaid on or before the second anniversary of the later of the Closing Date or the date such Incremental Term Loan was made, as applicable; (ii) one percent (1.00%) if any of Term Loan A is prepaid on or before the second anniversary of the Closing Date; (iii) one percent (1.00%) if any of Term Loan B or any Incremental Term Loan is prepaid after the second anniversary of the later of the Closing Date or such Incremental Term Loan was made, as applicable, but on or before the third anniversary of such date; (iv) one-half of one percent (0.50%) if any of Term Loan A is prepaid after the second anniversary of the Closing Date, but on or before the third anniversary of such date; or (v) zero percent (0.00%) if any Term Loan or any Incremental Term Loan is prepaid after the third anniversary of the later of the Closing Date or the date such Incremental Term Loan was made, as applicable.</w:t>
      </w:r>
    </w:p>
    <w:p>
      <w:pPr>
        <w:spacing w:after="0" w:line="17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Xcel’s obligations under the Loan Agreement are guaranteed by and secured by all of the assets of Xcel and its wholly owned subsidiaries, as well as any subsidiary formed or acquired that becomes a credit party to the Term Loans (the “Guarantors”) and, subject to certain limitations contained in the Term Loans, equity interests of the Guarantors. Xcel also granted the Lenders a right of first offer to finance any acquisition for which the consideration will be paid other than by cash of Xcel or by the issuance of equity interest of Xcel.</w:t>
      </w:r>
    </w:p>
    <w:p>
      <w:pPr>
        <w:spacing w:after="0" w:line="18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The Loan Agreement contains customary covenants, including reporting requirements, trademark preservation, and the following financial covenants of the Company (on a consolidated basis with the Guarantors under the Loan Agreement):</w:t>
      </w:r>
    </w:p>
    <w:p>
      <w:pPr>
        <w:spacing w:after="0" w:line="124" w:lineRule="exact"/>
        <w:rPr>
          <w:sz w:val="20"/>
          <w:szCs w:val="20"/>
          <w:color w:val="auto"/>
        </w:rPr>
      </w:pPr>
    </w:p>
    <w:p>
      <w:pPr>
        <w:ind w:left="700" w:hanging="326"/>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worth of at least $90.0 million at the end of each fiscal quarter;</w:t>
      </w:r>
    </w:p>
    <w:p>
      <w:pPr>
        <w:spacing w:after="0" w:line="225"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liquid assets of at least $3.0 million through December 31, 2020, at least $2.5 million for the fiscal quarters ending March 31, 2021 through September 30, 2021, at least $3.0 million for the fiscal quarter ending December 31, 2021, and at least $5.0 million thereafter;</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fixed charge coverage ratio for the twelve fiscal month period ending at the end of each fiscal quarter shall not be less than the ratio set forth below:</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5580" w:type="dxa"/>
            <w:vAlign w:val="bottom"/>
            <w:gridSpan w:val="2"/>
          </w:tcPr>
          <w:p>
            <w:pPr>
              <w:ind w:left="2120"/>
              <w:spacing w:after="0"/>
              <w:rPr>
                <w:sz w:val="20"/>
                <w:szCs w:val="20"/>
                <w:color w:val="auto"/>
              </w:rPr>
            </w:pPr>
            <w:r>
              <w:rPr>
                <w:rFonts w:ascii="Arial" w:cs="Arial" w:eastAsia="Arial" w:hAnsi="Arial"/>
                <w:sz w:val="14"/>
                <w:szCs w:val="14"/>
                <w:b w:val="1"/>
                <w:bCs w:val="1"/>
                <w:color w:val="auto"/>
              </w:rPr>
              <w:t>Fiscal Quarter End</w:t>
            </w:r>
          </w:p>
        </w:tc>
        <w:tc>
          <w:tcPr>
            <w:tcW w:w="26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Fixed Charge Coverage Ratio</w:t>
            </w:r>
          </w:p>
        </w:tc>
      </w:tr>
      <w:tr>
        <w:trPr>
          <w:trHeight w:val="195"/>
        </w:trPr>
        <w:tc>
          <w:tcPr>
            <w:tcW w:w="660" w:type="dxa"/>
            <w:vAlign w:val="bottom"/>
          </w:tcPr>
          <w:p>
            <w:pPr>
              <w:spacing w:after="0"/>
              <w:rPr>
                <w:sz w:val="16"/>
                <w:szCs w:val="16"/>
                <w:color w:val="auto"/>
              </w:rPr>
            </w:pPr>
          </w:p>
        </w:tc>
        <w:tc>
          <w:tcPr>
            <w:tcW w:w="5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December 31, 2020, March 31, 2021, June 30, 2021, September 30, 2021,</w:t>
            </w:r>
          </w:p>
        </w:tc>
        <w:tc>
          <w:tcPr>
            <w:tcW w:w="14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rPr>
                <w:sz w:val="16"/>
                <w:szCs w:val="16"/>
                <w:color w:val="auto"/>
              </w:rPr>
            </w:pPr>
          </w:p>
        </w:tc>
        <w:tc>
          <w:tcPr>
            <w:tcW w:w="840" w:type="dxa"/>
            <w:vAlign w:val="bottom"/>
          </w:tcPr>
          <w:p>
            <w:pPr>
              <w:spacing w:after="0"/>
              <w:rPr>
                <w:sz w:val="16"/>
                <w:szCs w:val="16"/>
                <w:color w:val="auto"/>
              </w:rPr>
            </w:pPr>
          </w:p>
        </w:tc>
      </w:tr>
      <w:tr>
        <w:trPr>
          <w:trHeight w:val="230"/>
        </w:trPr>
        <w:tc>
          <w:tcPr>
            <w:tcW w:w="660" w:type="dxa"/>
            <w:vAlign w:val="bottom"/>
          </w:tcPr>
          <w:p>
            <w:pPr>
              <w:spacing w:after="0"/>
              <w:rPr>
                <w:sz w:val="20"/>
                <w:szCs w:val="20"/>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December 31, 2021</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1.25 to 1.00</w:t>
            </w:r>
          </w:p>
        </w:tc>
        <w:tc>
          <w:tcPr>
            <w:tcW w:w="840" w:type="dxa"/>
            <w:vAlign w:val="bottom"/>
          </w:tcPr>
          <w:p>
            <w:pPr>
              <w:spacing w:after="0"/>
              <w:rPr>
                <w:sz w:val="20"/>
                <w:szCs w:val="20"/>
                <w:color w:val="auto"/>
              </w:rPr>
            </w:pPr>
          </w:p>
        </w:tc>
      </w:tr>
      <w:tr>
        <w:trPr>
          <w:trHeight w:val="230"/>
        </w:trPr>
        <w:tc>
          <w:tcPr>
            <w:tcW w:w="66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March 31, 2022, and thereafter</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1.10 to 1.00</w:t>
            </w:r>
          </w:p>
        </w:tc>
        <w:tc>
          <w:tcPr>
            <w:tcW w:w="840" w:type="dxa"/>
            <w:vAlign w:val="bottom"/>
          </w:tcPr>
          <w:p>
            <w:pPr>
              <w:spacing w:after="0"/>
              <w:rPr>
                <w:sz w:val="20"/>
                <w:szCs w:val="20"/>
                <w:color w:val="auto"/>
              </w:rPr>
            </w:pPr>
          </w:p>
        </w:tc>
      </w:tr>
      <w:tr>
        <w:trPr>
          <w:trHeight w:val="850"/>
        </w:trPr>
        <w:tc>
          <w:tcPr>
            <w:tcW w:w="6100" w:type="dxa"/>
            <w:vAlign w:val="bottom"/>
            <w:gridSpan w:val="2"/>
          </w:tcPr>
          <w:p>
            <w:pPr>
              <w:jc w:val="right"/>
              <w:ind w:right="1455"/>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47"/>
        </w:trPr>
        <w:tc>
          <w:tcPr>
            <w:tcW w:w="6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700" w:right="79" w:hanging="326"/>
        <w:spacing w:after="0" w:line="342"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capital expenditures (excluding any capitalized compensation costs) shall not exceed $1.6 million for the fiscal year ending December 31, 2020, and $0.7 million for any fiscal year beginning after December 31, 2020; and</w:t>
      </w:r>
    </w:p>
    <w:p>
      <w:pPr>
        <w:spacing w:after="0" w:line="123" w:lineRule="exact"/>
        <w:rPr>
          <w:rFonts w:ascii="Arial" w:cs="Arial" w:eastAsia="Arial" w:hAnsi="Arial"/>
          <w:sz w:val="16"/>
          <w:szCs w:val="16"/>
          <w:color w:val="auto"/>
        </w:rPr>
      </w:pPr>
    </w:p>
    <w:p>
      <w:pPr>
        <w:ind w:left="700" w:right="79" w:hanging="326"/>
        <w:spacing w:after="0" w:line="27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leverage ratio for the twelve fiscal month period ending at the end of each fiscal period set forth below shall not exceed the ratio set forth below:</w:t>
      </w:r>
    </w:p>
    <w:p>
      <w:pPr>
        <w:spacing w:after="0" w:line="17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800" w:type="dxa"/>
            <w:vAlign w:val="bottom"/>
            <w:gridSpan w:val="2"/>
          </w:tcPr>
          <w:p>
            <w:pPr>
              <w:ind w:left="2420"/>
              <w:spacing w:after="0"/>
              <w:rPr>
                <w:sz w:val="20"/>
                <w:szCs w:val="20"/>
                <w:color w:val="auto"/>
              </w:rPr>
            </w:pPr>
            <w:r>
              <w:rPr>
                <w:rFonts w:ascii="Arial" w:cs="Arial" w:eastAsia="Arial" w:hAnsi="Arial"/>
                <w:sz w:val="14"/>
                <w:szCs w:val="14"/>
                <w:b w:val="1"/>
                <w:bCs w:val="1"/>
                <w:color w:val="auto"/>
              </w:rPr>
              <w:t>Fiscal Period</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Leverage Ratio</w:t>
            </w:r>
          </w:p>
        </w:tc>
      </w:tr>
      <w:tr>
        <w:trPr>
          <w:trHeight w:val="210"/>
        </w:trPr>
        <w:tc>
          <w:tcPr>
            <w:tcW w:w="5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6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3.50 to 1.00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March 31, 2021</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3.15 to 1.00</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2021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 to 1.00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September 30, 2021</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2.75 to 1.00</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2.50 to 1.00</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March 31, 2022 and each Fiscal Quarter end thereafter</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1.50 to 1.00</w:t>
            </w:r>
          </w:p>
        </w:tc>
      </w:tr>
    </w:tbl>
    <w:p>
      <w:pPr>
        <w:spacing w:after="0" w:line="20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was in compliance with all applicable covenants under the Loan Agreement as of and for the fiscal year ended December 31, 2020.</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connection with the February 11, 2019 refinancing transaction and subsequent amendments, the Company incurred fees to or on behalf of BHI of approximately $0.3 million during the Prior Year and $0.03 million during the Current Year. These fees have been deferred on the consolidated balance sheets as a reduction to the carrying value of the Term Loans, and are being amortized to interest expense over the term of the Term Loans using the effective interest method. The effective interest rate on the Loan Agreement was approximately 6.6% and 6.7% for the Current Year and Prior Year, respectively.</w:t>
      </w:r>
    </w:p>
    <w:p>
      <w:pPr>
        <w:spacing w:after="0" w:line="192"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Interest on Term Loan A accrues at a fixed rate of 5.1% per annum and is payable on each day on which the scheduled principal payments on Term Loans are required to be made. Interest on Term Loan B accrues at a fixed rate of 6.25% per annum and is payable on each day on which the scheduled principal payments on Term Loans are required to be made. Interest on the Revolving Loans will accrue at either the Base Rate or LIBOR, as elected by Xcel, plus a margin to be agreed to by Xcel and the Lenders and will be payable on the first day of each month. Base Rate is defined in the Loan Agreement as the greater of (a) BHI’s stated prime rate or (b) 2.00% per annum plus the overnight federal funds rate published by the Federal Reserve Bank of New York. Interest on the Incremental Term Loans will accrue at rates to be agreed to by Xcel and the Lenders and will be payable on each day on which the scheduled principal payments under the applicable note are required to be made.</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Current Year and Prior Year, the Company incurred interest expense of approximately $1.1 million and $1.2 million, respectively, related to term loan debt.</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14, 2021, the Company and its wholly owned subsidiaries entered into a new loan and security agreement with BHI and First Eagle Alternative Credit, LLC (“FEAC”), which resulted in the extinguishment of the term loan debt which existed as of December 31, 2020. See Note 13 for additional details.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 Seller Note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September 29, 2011, as part of the consideration for the purchase of the Isaac Mizrahi business, the Company issued to IM Ready-Made, LLC a promissory note in the principal amount of $7.4 million (the “IM Seller Note”). The IM Seller Note was subsequently amended in 2013 and 2016. On March 31, 2019, the Company paid the final installment of $750,000 under the IM Seller Note, and no amounts remained outstanding under the IM Seller Note as of December 31, 2019.</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year ended December 31, 2019, the Company incurred interest expense of approximately $4,000 under the IM Seller Note, which consisted solely of amortization of the discount on the IM Seller Note.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Ripka Seller Notes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January 1, 2019, the Company had a note payable of approximately $0.58 million relating to the acquisition of the Judith Ripka assets (the "Ripka Seller Note"). Separately, the Company held a promissory note receivable due from the sellers of the Judith Ripka assets (the "Ripka Sellers") with a maturity date of March 31, 2019. On March 31, 2019, the Company agreed to net its note receivable due from the Ripka Sellers of approximately $0.9 million against the Ripka Seller Note of $0.6 million and the remaining Ripka Earn-Out of $0.1 million (see below). As of December 31, 2019, there were no amounts remaining outstanding under the Ripka Seller Note.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year ended December 31, 2019, the Company incurred interest expense of approximately $16,000, which consisted solely of amortization of the discount on the Ripka Seller Note.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Long-term Liabilities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Other long-term liabilities consist of the Company’s obligation to a subtenant for its security deposit under a sublease arrangement, which was $0.2 million as of both December 31, 2020 and 2019.</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Government assistance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Paycheck Protection Program (PPP)</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April 20, 2020, the Company executed a promissory note (the “Promissory Note”) with Bank of America, N.A., which provided for an unsecured loan in the amount of $1.806 million, pursuant to the PPP under the CARES Act. The loan has a two-year term and bears interest at a fixed rate of 1.0% per annum. Monthly principal and interest payments are deferred for six months after the date of disbursement. The loan may be prepaid at any time prior to maturity with no prepayment penalties. The Promissory Note contains events of default and other provisions customary for a loan of this type. The loan was funded on April 23, 2020.</w:t>
      </w:r>
    </w:p>
    <w:p>
      <w:pPr>
        <w:spacing w:after="0" w:line="19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PPP also provides that this loan may be partially or wholly forgiven if the funds are used for certain qualifying expenses as described in the CARES Act, and later amended by the Paycheck Protection Program Flexibility Act (the "Flexibility Act") signed into law on June 5, 2020. Such forgiveness will be determined, subject to limitations, based on the use of loan proceeds for payment of payroll costs and any payments of mortgage interest, rent, and utilities. While management believes that it is probable that the loan will be forgiven in full, no definite assurance can be provided that forgiveness for any portion of the loan will be obtained. Management's determination that full forgiveness is probable is based on qualification under the Flexibility Act.</w:t>
      </w:r>
    </w:p>
    <w:p>
      <w:pPr>
        <w:spacing w:after="0" w:line="19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Management evaluated the legal and contractual terms associated with the loan, and concluded that, although the legal form of the loan is debt, it represents in substance a government grant that is expected to be forgiven. Given the lack of definitive authoritative guidance under GAAP for accounting for government grants, the Company analogized to accounting guidance under International Accounting Standard No. 20, “Accounting for Government Grants and Disclosure of Government Assistance.” Under such guidance, once it is probable that the conditions attached to the assistance will be met, the earnings impact of government grants is recorded on a systematic basis over the periods in which the entity recognizes as expenses the related costs for which the grants are intended to compensate. Accordingly, the Company recognized $1.806 million as a reduction to operating expenses in the Current Year. No interest expense related to the loan has been recorded in the Company’s consolidated financial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Economic Incentive Disaster Loan (EIDL)</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Concurrently with the PPP loan, in May 2020 the Company also received a $10,000 Economic Incentive Disaster Loan (“EIDL”) Advance through the U.S. Small Business Administration. The EIDL Advance represents a grant that does not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have to be repaid, and as such, the Company has recognized $10,000 as a reduction to operating expenses in the Current Year.</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 total between the PPP and EIDL, the Company recognized $1,816,000 as a reduction to operating expenses in the Current Year.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authority to issue up to 51,000,000 shares, consisting of 50,000,000 shares of common stock and 1,000,000 shares of preferred stock.</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2011 Equity Incentive Plan</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Options granted under the Plan expire at various times – either five, seven, or ten years from the date of grant, depending on the particular grant.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stock option activity for the Current Year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7,222,625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531,250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(574,500)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Outstanding at December 31, 2020, and expected to vest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7,179,375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380" w:type="dxa"/>
            <w:vAlign w:val="bottom"/>
            <w:tcBorders>
              <w:bottom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Exercisable at December 31, 2020</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3,063,208</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w:t>
            </w: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Year stock option grants were as follows: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January 1, 2020, the Company granted options to purchase 5,000 shares of common stock to a board observer. The exercise price of the options is $4.00 per share, and 50% of the options vest on each of January 1, 2021 and January 1, 2022.</w:t>
      </w:r>
    </w:p>
    <w:p>
      <w:pPr>
        <w:spacing w:after="0" w:line="184"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On January 31, 2020, the Company granted options to purchase 75,000 shares of common stock to a consultant. The exercise price of the options is $1.57 per share, and all options vested immediately on the date of grant.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February 28, 2020, the Company granted options to purchase 50,000 shares of common stock to an employee. The exercise price is $1.40 per share, and the vesting of such options is dependent upon the Company achieving certain 12-month sales targets through December 31, 2021.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March 13, 2020, the Company granted options to purchase 50,000 shares of common stock to a certain key employee.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exercise price of the options is $5.50 per share, and all options vested immediately on the date of grant.</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March 31, 2020, the Company granted options to purchase 50,000 shares of common stock to an employee. The exercise price of the options is $0.61 per share, and one-third of the options shall vest on each of March 31, 2021, March 31, 2021, and March 31,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 2020, the Company granted options to purchase an aggregate of 200,000 shares of common stock to non-management directors. The exercise price of the options is $0.50 per share, and 50% of the options shall vest on each of April 1, 2021 and April 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15, 2020, the Company granted options to purchase 13,500 shares of common stock to a consultant. The exercise price of the options is $3.00 per share. One-third of the options vested on each of June 30, 2020, September 30, 2020, and December 31, 2020.</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August 21, 2020, the Company granted options to purchase 22,750 shares of common stock to a consultant. The exercise price of the options is $1.00 per share, and all options vested on December 31, 2020.</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September 28, 2020, the Company granted options to purchase 15,000 shares of common stock to an employee. The exercise price of the options is $0.71 per share, and one-third of the options shall vest on each of September 28, 2021, September 28, 2022, and September 28, 2023.</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December 21, 2020, the Company granted options to purchase an aggregate of 50,000 shares of common stock to two employees. The exercise price of the options is $1.09 per share, and 50% of the options shall vest on each of December 21, 2021 and December 21,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Year stock option grants were as follows: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January 1, 2019, the Company granted options to purchase 250,000 shares of common stock to a certain key employee. The exercise price is $3.00 per share, and the vesting of such options is dependent upon the Company achieving certain 12-month sales targets through December 31, 2021. As of December 31, 2020, 100,000 of these options have vested.</w:t>
      </w:r>
    </w:p>
    <w:p>
      <w:pPr>
        <w:spacing w:after="0" w:line="14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February 27, 2019, the Company granted options to purchase 2,578,947 shares of common stock to Robert W. D’Loren, the Company’s Chief Executive Officer. The exercise price is $1.70 per share, and the vesting of such options is dependent upon the Company’s common stock achieving certain stock trading prices for a minimum of ten (10) trading days (the "Target Prices"). The vesting of 736,842 shares occur if the Target Prices are equal to or greater than $3.00 per share; 626,316 shares vest if the Target Price is equal to or greater than $5.00 per share; 515,789 shares vest if the Target Price is equal to or greater than $7.00 per share; 405,263 shares vest if the Target Price is equal to or greater than $9.00 per share; and 294,737 shares vest if the Target Price is equal to or greater than $11.00 per share. The options are exercisable until February 27, 2029. As of December 31, 2020, none of the aforementioned Target Price thresholds have been met, and therefore, none of these options have vested.</w:t>
      </w:r>
    </w:p>
    <w:p>
      <w:pPr>
        <w:spacing w:after="0" w:line="18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February 27, 2019, the Company granted options to purchase 552,632 shares of common stock to James F. Haran, the Company’s Chief Financial Officer. The exercise price is $1.70 per share, and the vesting of such options is dependent upon the Company’s common stock achieving certain stock trading prices for a minimum of ten (10) trading days (the "Target Prices"). The vesting of 157,895 shares occur if the Target Prices are equal to or greater than $3.00 per share; 134,211 shares vest if the Target Price is equal to or greater than $5.00 per share; 110,526 shares vest if the Target Price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is equal to or greater than $7.00 per share; 86,842 shares vest if the Target Price is equal to or greater than $9.00 per share; and 63,158 shares vest if the Target Price is equal to or greater than $11.00 per share. The options are exercisable until February 27, 2029. As of December 31, 2020, none of the aforementioned Target Price thresholds have been met, and therefore, none of these options have vested.</w:t>
      </w:r>
    </w:p>
    <w:p>
      <w:pPr>
        <w:spacing w:after="0" w:line="18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February 27, 2019, the Company granted options to purchase 368,421 shares of common stock to Seth Burroughs, an officer of the Company. The exercise price is $1.70 per share, and the vesting of such options is dependent upon the Company’s common stock achieving certain stock trading prices for a minimum of ten (10) trading days (the "Target Prices"). The vesting of 105,263 shares occur if the Target Prices are equal to or greater than $3.00 per share; 89,474 shares vest if the Target Price is equal to or greater than $5.00 per share; 73,684 shares vest if the Target Price is equal to or greater than $7.00 per share; 57,895 shares vest if the Target Price is equal to or greater than $9.00; and 42,105 shares vest if the Target Price is equal to or greater than $11.00 per share. The options are exercisable until February 27, 2029. As of December 31, 2020, none of the aforementioned Target Price thresholds have been met, and therefore, none of these options have vested.</w:t>
      </w:r>
    </w:p>
    <w:p>
      <w:pPr>
        <w:spacing w:after="0" w:line="19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March 13, 2019, the Company granted options to purchase an aggregate of 154,000 shares of common stock to various employees. The exercise price of the options is $1.73 per share, and all options vested immediately on the date of grant.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March 15, 2019, the Company granted options to purchase 50,000 shares of common stock to a certain key employee.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exercise price of the options is $5.50 per share, and all options vested immediately on the date of grant.</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 2019, the Company granted options to purchase an aggregate of 150,000 shares of common stock to non-management directors. The exercise price of the options is $1.70 per share, and 50% of the options vest on each of April 1, 2020 and April 1, 2021.</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April 15, 2019, the Company granted options to purchase an aggregate of 24,000 shares of common stock to certain employees. The exercise price of the options is $1.40 per share, and 50% of the options vest on each of April 15, 2020 and April 15, 2021.</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On May 1, 2019, the Company granted options to purchase 10,000 shares of common stock to an employee. The exercise price of the options is $1.38 per share, and 50% of the options vest on each of May 1, 2020 and May 1, 2021.</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September 1, 2019, the Company granted options to purchase 15,000 shares of common stock to an employee. The exercise price of the options is $1.59 per share, and one-third of the options vest on each of September 1, 2020, September 1, 2021, and September 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October 1, 2019, the Company granted options to purchase 100,000 shares of common stock to an employee. The exercise price of the options is $1.77 per share, and one-third of the options vest on each of October 1, 2020, October 1, 2021, and October 1, 2022.</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October 31, 2019, the Company granted options to purchase 10,000 shares of common stock to an employee. The exercise price of the options is $1.72 per share, and one-third of the options vest on each of October 31, 2020, October 31, 2021, and October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fair value of the options granted was estimated at the date of grant using the Black-Scholes option pricing model with the following assumptions: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640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24.26 – 28.79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20.69 – 26.21</w:t>
            </w:r>
          </w:p>
        </w:tc>
        <w:tc>
          <w:tcPr>
            <w:tcW w:w="160" w:type="dxa"/>
            <w:vAlign w:val="bottom"/>
            <w:shd w:val="clear" w:color="auto" w:fill="CCEEFF"/>
          </w:tcPr>
          <w:p>
            <w:pPr>
              <w:spacing w:after="0"/>
              <w:rPr>
                <w:sz w:val="18"/>
                <w:szCs w:val="18"/>
                <w:color w:val="auto"/>
              </w:rPr>
            </w:pPr>
          </w:p>
        </w:tc>
      </w:tr>
      <w:tr>
        <w:trPr>
          <w:trHeight w:val="216"/>
        </w:trPr>
        <w:tc>
          <w:tcPr>
            <w:tcW w:w="64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Life (Term, in years)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 – 3.5</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 – 3.5</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0.16 – 1.60 %</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1.51 – 2.48 %</w:t>
            </w:r>
          </w:p>
        </w:tc>
      </w:tr>
    </w:tbl>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Compensation expense related to stock options for the Current Year and Prior Year was approximately $0.2 million and $0.5 million, respectively. Total unrecognized compensation expense related to unvested stock options at December 31, 2020 amounts to approximately $0.2 million and is expected to be recognized over a weighted average period of 1.06 years.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Company’s stock option activity for non-vested options for the current year:</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9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7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Options</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531,250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Vested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Forfeited or Canceled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4,116,167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Warrants granted by the Company expire at various times – either five, seven, or ten years from the date of grant, depending on the particular grant.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warrant activity for the Current Year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January 1, 2020</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579,815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Canceled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Expired/Forfeited</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40" w:type="dxa"/>
            <w:vAlign w:val="bottom"/>
          </w:tcPr>
          <w:p>
            <w:pPr>
              <w:ind w:left="20"/>
              <w:spacing w:after="0"/>
              <w:rPr>
                <w:sz w:val="20"/>
                <w:szCs w:val="20"/>
                <w:color w:val="auto"/>
              </w:rPr>
            </w:pPr>
            <w:r>
              <w:rPr>
                <w:rFonts w:ascii="Arial" w:cs="Arial" w:eastAsia="Arial" w:hAnsi="Arial"/>
                <w:sz w:val="18"/>
                <w:szCs w:val="18"/>
                <w:color w:val="auto"/>
              </w:rPr>
              <w:t>Outstanding and exercisable at December 31, 2020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579,815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63</w:t>
            </w:r>
          </w:p>
        </w:tc>
        <w:tc>
          <w:tcPr>
            <w:tcW w:w="16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did not grant any warrants to purchase shares of common stock during the Current Year.</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July 18, 2019, the Company granted warrants to purchase an aggregate of 115,000 shares of common stock. The exercise price of the warrants is $3.17 per share, and one-third of the options vested on each of July 25, 2019, August 24, 2019, and September 23, 2019.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No compensation expense was recorded in the Current Year related to warrants. Compensation expense related to warrants was approximately $14,000 in the Prior Year.</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summary of the Company’s restricted stock activity for the Current Year is as follows: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Restricted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8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2020</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1,230,623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639,728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00"/>
              <w:spacing w:after="0"/>
              <w:rPr>
                <w:sz w:val="20"/>
                <w:szCs w:val="20"/>
                <w:color w:val="auto"/>
              </w:rPr>
            </w:pPr>
            <w:r>
              <w:rPr>
                <w:rFonts w:ascii="Arial" w:cs="Arial" w:eastAsia="Arial" w:hAnsi="Arial"/>
                <w:sz w:val="18"/>
                <w:szCs w:val="18"/>
                <w:color w:val="auto"/>
              </w:rPr>
              <w:t>Vested</w:t>
            </w: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(1,089,518)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Expired/Forfeited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Arial" w:cs="Arial" w:eastAsia="Arial" w:hAnsi="Arial"/>
                <w:sz w:val="18"/>
                <w:szCs w:val="18"/>
                <w:color w:val="auto"/>
              </w:rPr>
              <w:t>Outstanding at December 31, 2020</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780,833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On March 30, 2020, the Company issued 336,700 shares of common stock to a member of senior management as payment for a performance bonus earned in the Prior Year. These shares vested immediately. The Company recognized compensation expense of approximately $0.2 million in the Prior Year to accrue for this performance bonus.</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also recognized approximately $0.3 million of compensation expense in the Current Year related to similar senior management bonuses payable in common stock in 2021.</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May 20, 2020, the Company issued an aggregate of 270,728 shares of common stock to various employees. These shares vested immediately. The Company recognized approximately $0.3 million of compensation expense in the Current Year related to this grant.</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December 24, 2020, the Company issued an aggregate of 32,300 shares of common stock to various employees. These shares vested immediately. The Company recognized approximately $0.04 million of compensation expense in the Current Year related to this grant.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Year stock award grants were as follows: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February 27, 2019, the Company entered into a two-year employment agreement with a key employee, which includes a performance stock bonus of up to $90,000 for each of the years ended December 31, 2019 and 2020. The performance stock bonus is earned upon the Company achieving certain sales targets.</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April 1, 2019, the Company issued an aggregate of 60,000 shares of stock to certain non-management directors, which vest evenly over two years, whereby 50% vested on April 1, 2020, and 50% shall vest on April 1, 2021.</w:t>
      </w:r>
    </w:p>
    <w:p>
      <w:pPr>
        <w:spacing w:after="0" w:line="14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Total compensation expense related to stock awards for the Current Year and Prior Year (inclusive of the amounts detailed above) was approximately $0.6 million and $0.5 million, respectively. Total unrecognized compensation expense related to unvested restricted stock grants at December 31, 2020 amounts to $0.01 million and is expected to be recognized over a weighted average period of 0.25 years.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information with respect to restricted stock purchased and retired by the Company during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Current Year and Prior Year:</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Actual</w:t>
            </w: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Part of</w:t>
            </w:r>
          </w:p>
        </w:tc>
        <w:tc>
          <w:tcPr>
            <w:tcW w:w="2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Publicly</w:t>
            </w: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Price Paid</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Announced</w:t>
            </w: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Re-Purchased</w:t>
            </w:r>
          </w:p>
        </w:tc>
        <w:tc>
          <w:tcPr>
            <w:tcW w:w="0" w:type="dxa"/>
            <w:vAlign w:val="bottom"/>
          </w:tcPr>
          <w:p>
            <w:pPr>
              <w:spacing w:after="0"/>
              <w:rPr>
                <w:sz w:val="1"/>
                <w:szCs w:val="1"/>
                <w:color w:val="auto"/>
              </w:rPr>
            </w:pPr>
          </w:p>
        </w:tc>
      </w:tr>
      <w:tr>
        <w:trPr>
          <w:trHeight w:val="171"/>
        </w:trPr>
        <w:tc>
          <w:tcPr>
            <w:tcW w:w="5080" w:type="dxa"/>
            <w:vAlign w:val="bottom"/>
            <w:gridSpan w:val="4"/>
          </w:tcPr>
          <w:p>
            <w:pPr>
              <w:ind w:left="20"/>
              <w:spacing w:after="0"/>
              <w:rPr>
                <w:sz w:val="20"/>
                <w:szCs w:val="20"/>
                <w:color w:val="auto"/>
              </w:rPr>
            </w:pPr>
            <w:r>
              <w:rPr>
                <w:rFonts w:ascii="Arial" w:cs="Arial" w:eastAsia="Arial" w:hAnsi="Arial"/>
                <w:sz w:val="14"/>
                <w:szCs w:val="14"/>
                <w:b w:val="1"/>
                <w:bCs w:val="1"/>
                <w:color w:val="auto"/>
              </w:rPr>
              <w:t>Date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per Share</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2"/>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March 30, 2020 (i)</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155,556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May 20, 2020 (i)</w:t>
            </w:r>
          </w:p>
        </w:tc>
        <w:tc>
          <w:tcPr>
            <w:tcW w:w="880" w:type="dxa"/>
            <w:vAlign w:val="bottom"/>
          </w:tcPr>
          <w:p>
            <w:pPr>
              <w:jc w:val="right"/>
              <w:spacing w:after="0"/>
              <w:rPr>
                <w:sz w:val="20"/>
                <w:szCs w:val="20"/>
                <w:color w:val="auto"/>
              </w:rPr>
            </w:pPr>
            <w:r>
              <w:rPr>
                <w:rFonts w:ascii="Arial" w:cs="Arial" w:eastAsia="Arial" w:hAnsi="Arial"/>
                <w:sz w:val="18"/>
                <w:szCs w:val="18"/>
                <w:color w:val="auto"/>
              </w:rPr>
              <w:t>87,249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0.98</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24, 2020 (i)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60" w:type="dxa"/>
            <w:vAlign w:val="bottom"/>
            <w:tcBorders>
              <w:bottom w:val="single" w:sz="8" w:color="CCEEFF"/>
            </w:tcBorders>
            <w:gridSpan w:val="3"/>
          </w:tcPr>
          <w:p>
            <w:pPr>
              <w:ind w:left="220"/>
              <w:spacing w:after="0"/>
              <w:rPr>
                <w:sz w:val="20"/>
                <w:szCs w:val="20"/>
                <w:color w:val="auto"/>
              </w:rPr>
            </w:pPr>
            <w:r>
              <w:rPr>
                <w:rFonts w:ascii="Arial" w:cs="Arial" w:eastAsia="Arial" w:hAnsi="Arial"/>
                <w:sz w:val="18"/>
                <w:szCs w:val="18"/>
                <w:color w:val="auto"/>
              </w:rPr>
              <w:t>Total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245,283</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77</w:t>
            </w:r>
          </w:p>
        </w:tc>
        <w:tc>
          <w:tcPr>
            <w:tcW w:w="16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190,000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2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September 30, 2019 (i)</w:t>
            </w:r>
          </w:p>
        </w:tc>
        <w:tc>
          <w:tcPr>
            <w:tcW w:w="880" w:type="dxa"/>
            <w:vAlign w:val="bottom"/>
          </w:tcPr>
          <w:p>
            <w:pPr>
              <w:jc w:val="right"/>
              <w:spacing w:after="0"/>
              <w:rPr>
                <w:sz w:val="20"/>
                <w:szCs w:val="20"/>
                <w:color w:val="auto"/>
              </w:rPr>
            </w:pPr>
            <w:r>
              <w:rPr>
                <w:rFonts w:ascii="Arial" w:cs="Arial" w:eastAsia="Arial" w:hAnsi="Arial"/>
                <w:sz w:val="18"/>
                <w:szCs w:val="18"/>
                <w:color w:val="auto"/>
              </w:rPr>
              <w:t>18,147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31, 2019 (i)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November 30, 2019 (i)</w:t>
            </w:r>
          </w:p>
        </w:tc>
        <w:tc>
          <w:tcPr>
            <w:tcW w:w="880" w:type="dxa"/>
            <w:vAlign w:val="bottom"/>
          </w:tcPr>
          <w:p>
            <w:pPr>
              <w:jc w:val="right"/>
              <w:spacing w:after="0"/>
              <w:rPr>
                <w:sz w:val="20"/>
                <w:szCs w:val="20"/>
                <w:color w:val="auto"/>
              </w:rPr>
            </w:pPr>
            <w:r>
              <w:rPr>
                <w:rFonts w:ascii="Arial" w:cs="Arial" w:eastAsia="Arial" w:hAnsi="Arial"/>
                <w:sz w:val="18"/>
                <w:szCs w:val="18"/>
                <w:color w:val="auto"/>
              </w:rPr>
              <w:t>57,980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31, 2019 (i)</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gridSpan w:val="3"/>
          </w:tcPr>
          <w:p>
            <w:pPr>
              <w:ind w:left="220"/>
              <w:spacing w:after="0"/>
              <w:rPr>
                <w:sz w:val="20"/>
                <w:szCs w:val="20"/>
                <w:color w:val="auto"/>
              </w:rPr>
            </w:pPr>
            <w:r>
              <w:rPr>
                <w:rFonts w:ascii="Arial" w:cs="Arial" w:eastAsia="Arial" w:hAnsi="Arial"/>
                <w:sz w:val="18"/>
                <w:szCs w:val="18"/>
                <w:color w:val="auto"/>
              </w:rPr>
              <w:t>Total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115,162</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51</w:t>
            </w: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shares were exchanged from employees and directors in connection with the income tax withholding obligations on behalf of such employees and directors from the vesting of restricted stock.</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All of the shares of restricted stock in the preceding table were originally granted to employees and directors as restricted stock awards pursuant to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Under the Company’s 2011 Equity Incentive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December 31, 2020, there were 1,549,598 shares of common stock available for issuance under the Plan.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Reserved for Issuance</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At December 31, 2020, there were 9,308,788 shares of common stock reserved for issuance pursuant to unexercised warrants and stock options, or available for issuance under the Plan.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not paid any dividends to date.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Shares used in calculating basic and diluted earnings per share are as follows:</w:t>
      </w:r>
    </w:p>
    <w:p>
      <w:pPr>
        <w:spacing w:after="0" w:line="230"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Year Ended</w:t>
      </w:r>
    </w:p>
    <w:p>
      <w:pPr>
        <w:ind w:left="68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19,117,460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18,857,657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Effect of exercise of warrants</w:t>
            </w:r>
          </w:p>
        </w:tc>
        <w:tc>
          <w:tcPr>
            <w:tcW w:w="246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Effect of exercise of stock options</w:t>
            </w:r>
          </w:p>
        </w:tc>
        <w:tc>
          <w:tcPr>
            <w:tcW w:w="24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42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19,117,460</w:t>
            </w:r>
          </w:p>
        </w:tc>
        <w:tc>
          <w:tcPr>
            <w:tcW w:w="26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18,857,657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60" w:type="dxa"/>
            <w:vAlign w:val="bottom"/>
            <w:vMerge w:val="restart"/>
          </w:tcPr>
          <w:p>
            <w:pPr>
              <w:jc w:val="right"/>
              <w:ind w:right="1230"/>
              <w:spacing w:after="0"/>
              <w:rPr>
                <w:sz w:val="20"/>
                <w:szCs w:val="20"/>
                <w:color w:val="auto"/>
              </w:rPr>
            </w:pPr>
            <w:r>
              <w:rPr>
                <w:rFonts w:ascii="Arial" w:cs="Arial" w:eastAsia="Arial" w:hAnsi="Arial"/>
                <w:sz w:val="18"/>
                <w:szCs w:val="18"/>
                <w:color w:val="auto"/>
              </w:rPr>
              <w:t>79</w:t>
            </w: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a result of the net loss presented for the Current Year and Prior Year, the Company calculated diluted earnings per share using basic weighted-average shares outstanding for such period, as utilizing diluted shares would be anti-dilutive to loss per share.</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computation of basic and diluted earnings per share excludes the common stock equivalents of the following potentially dilutive securities because their inclusion would be anti-dilutive:</w:t>
      </w:r>
    </w:p>
    <w:p>
      <w:pPr>
        <w:spacing w:after="0" w:line="175"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Year Ended</w:t>
      </w:r>
    </w:p>
    <w:p>
      <w:pPr>
        <w:ind w:left="69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56"/>
        </w:trPr>
        <w:tc>
          <w:tcPr>
            <w:tcW w:w="5920" w:type="dxa"/>
            <w:vAlign w:val="bottom"/>
            <w:tcBorders>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3"/>
                <w:szCs w:val="13"/>
                <w:color w:val="auto"/>
              </w:rPr>
            </w:pPr>
          </w:p>
        </w:tc>
        <w:tc>
          <w:tcPr>
            <w:tcW w:w="128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r>
      <w:tr>
        <w:trPr>
          <w:trHeight w:val="209"/>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and warrants</w:t>
            </w:r>
          </w:p>
        </w:tc>
        <w:tc>
          <w:tcPr>
            <w:tcW w:w="12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4"/>
              </w:rPr>
              <w:t>7,759,190</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92"/>
              </w:rPr>
              <w:t>7,802,440</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 has operating leases for its current office, former office, and a planned retail store location, as well as certain equipment with a term of 12 months or less. The Company is currently not a party to any finance leases.</w:t>
      </w:r>
    </w:p>
    <w:p>
      <w:pPr>
        <w:spacing w:after="0" w:line="14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Company's real estate leases have remaining lease terms between approximately 1 year to 8 years. As of December 31, 2020, the weighted average remaining lease term was 6.3 years and the weighted average discount rate was 6.25%.</w:t>
      </w:r>
    </w:p>
    <w:p>
      <w:pPr>
        <w:spacing w:after="0" w:line="124" w:lineRule="exact"/>
        <w:rPr>
          <w:sz w:val="20"/>
          <w:szCs w:val="20"/>
          <w:color w:val="auto"/>
        </w:rPr>
      </w:pPr>
    </w:p>
    <w:p>
      <w:pPr>
        <w:jc w:val="both"/>
        <w:ind w:left="700" w:right="79" w:hanging="326"/>
        <w:spacing w:after="0" w:line="255"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leases office space under an operating lease agreement related to the Company’s main headquarters located in New York City. This lease commenced on March 1, 2016 and expires on October 30, 2027. In connection with this lease, the Company obtained an Irrevocable Standby Letter of Credit from BHI for a sum not exceeding $1.1 million. The Company has deposited this amount with BHI as collateral for the letter of credit and recorded the amount as restricted cash in the consolidated balance sheets as of December 31, 2020 and December 31, 2019.</w:t>
      </w:r>
    </w:p>
    <w:p>
      <w:pPr>
        <w:spacing w:after="0" w:line="192" w:lineRule="exact"/>
        <w:rPr>
          <w:rFonts w:ascii="Arial" w:cs="Arial" w:eastAsia="Arial" w:hAnsi="Arial"/>
          <w:sz w:val="18"/>
          <w:szCs w:val="18"/>
          <w:color w:val="auto"/>
        </w:rPr>
      </w:pPr>
    </w:p>
    <w:p>
      <w:pPr>
        <w:jc w:val="both"/>
        <w:ind w:left="700" w:right="79" w:hanging="326"/>
        <w:spacing w:after="0" w:line="311"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also leases office space under an operating lease agreement at another location in New York City, representing the Company’s former corporate offices and operations facility. This lease shall expire on February 28, 2022. This office space is currently subleased to a third-party subtenant through February 27, 2022.</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aforementioned office leases require the Company to pay additional rents related to increases in certain taxes and other costs on the properties.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also leases approximately 1,300 square feet of retail space for a planned future retail store location in Westchester, New York.</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For the years ended December 31, 2020 and 2019, total lease expense included in selling, general and administrative expenses on the Company's consolidated statements of operations was approximately $1.5 million and $1.6 million, respectively. The Company’s total lease costs for the years ended December 31, 2020 and 2019 were comprised of the following:</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gridSpan w:val="2"/>
          </w:tcPr>
          <w:p>
            <w:pPr>
              <w:ind w:left="1120"/>
              <w:spacing w:after="0"/>
              <w:rPr>
                <w:sz w:val="20"/>
                <w:szCs w:val="20"/>
                <w:color w:val="auto"/>
              </w:rPr>
            </w:pPr>
            <w:r>
              <w:rPr>
                <w:rFonts w:ascii="Arial" w:cs="Arial" w:eastAsia="Arial" w:hAnsi="Arial"/>
                <w:sz w:val="14"/>
                <w:szCs w:val="14"/>
                <w:b w:val="1"/>
                <w:bCs w:val="1"/>
                <w:color w:val="auto"/>
              </w:rPr>
              <w:t>($ in thousands)</w:t>
            </w: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2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Short-term lease cost</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Sublease income</w:t>
            </w: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5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580" w:type="dxa"/>
            <w:vAlign w:val="bottom"/>
            <w:vMerge w:val="restart"/>
          </w:tcPr>
          <w:p>
            <w:pPr>
              <w:jc w:val="right"/>
              <w:ind w:right="145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1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paid for amounts included in the measurement of operating lease liabilities was $1.9 million and $2.4 million in the Current Year and Prior Year, respectively. Cash received from subleasing was $0.7 million and $0.3 million in the Current Year and Prior Year,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2020, the maturities of lease liabilities were as follows:</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9"/>
        </w:trPr>
        <w:tc>
          <w:tcPr>
            <w:tcW w:w="5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w:t>
            </w:r>
          </w:p>
        </w:tc>
      </w:tr>
      <w:tr>
        <w:trPr>
          <w:trHeight w:val="216"/>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After 2025</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w:t>
            </w:r>
          </w:p>
        </w:tc>
      </w:tr>
      <w:tr>
        <w:trPr>
          <w:trHeight w:val="209"/>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12,849</w:t>
            </w:r>
          </w:p>
        </w:tc>
      </w:tr>
      <w:tr>
        <w:trPr>
          <w:trHeight w:val="230"/>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Discount</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w:t>
            </w:r>
          </w:p>
        </w:tc>
      </w:tr>
      <w:tr>
        <w:trPr>
          <w:trHeight w:val="223"/>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10,570</w:t>
            </w:r>
          </w:p>
        </w:tc>
      </w:tr>
      <w:tr>
        <w:trPr>
          <w:trHeight w:val="230"/>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portion of lease liabilities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w:t>
            </w: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Non-current portion of lease liabilities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8,469</w:t>
            </w: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has contracts with certain executives and key employees. The future minimum payments under these contracts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Employment</w:t>
            </w:r>
          </w:p>
        </w:tc>
        <w:tc>
          <w:tcPr>
            <w:tcW w:w="0" w:type="dxa"/>
            <w:vAlign w:val="bottom"/>
          </w:tcPr>
          <w:p>
            <w:pPr>
              <w:spacing w:after="0"/>
              <w:rPr>
                <w:sz w:val="1"/>
                <w:szCs w:val="1"/>
                <w:color w:val="auto"/>
              </w:rPr>
            </w:pPr>
          </w:p>
        </w:tc>
      </w:tr>
      <w:tr>
        <w:trPr>
          <w:trHeight w:val="162"/>
        </w:trPr>
        <w:tc>
          <w:tcPr>
            <w:tcW w:w="7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Contract</w:t>
            </w:r>
          </w:p>
        </w:tc>
        <w:tc>
          <w:tcPr>
            <w:tcW w:w="0" w:type="dxa"/>
            <w:vAlign w:val="bottom"/>
          </w:tcPr>
          <w:p>
            <w:pPr>
              <w:spacing w:after="0"/>
              <w:rPr>
                <w:sz w:val="1"/>
                <w:szCs w:val="1"/>
                <w:color w:val="auto"/>
              </w:rPr>
            </w:pPr>
          </w:p>
        </w:tc>
      </w:tr>
      <w:tr>
        <w:trPr>
          <w:trHeight w:val="171"/>
        </w:trPr>
        <w:tc>
          <w:tcPr>
            <w:tcW w:w="7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96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tcPr>
          <w:p>
            <w:pPr>
              <w:ind w:left="120"/>
              <w:spacing w:after="0"/>
              <w:rPr>
                <w:sz w:val="20"/>
                <w:szCs w:val="20"/>
                <w:color w:val="auto"/>
              </w:rPr>
            </w:pPr>
            <w:r>
              <w:rPr>
                <w:rFonts w:ascii="Arial" w:cs="Arial" w:eastAsia="Arial" w:hAnsi="Arial"/>
                <w:sz w:val="18"/>
                <w:szCs w:val="18"/>
                <w:color w:val="auto"/>
              </w:rPr>
              <w:t>Total future minimum employment contract payments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employment contract payments stated above, the Company’s employment contracts with certain executives and key employees contain performance-based bonus provisions. These provisions include bonuses based on the Company achieving revenues in excess of established targets and/or on operating results.</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Certain of the employment agreements contain severance and/or change in control provisions. Aggregate potential severance compensation amounted to approximately $8.1 million as of December 31, 2020.</w:t>
      </w: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HH Seller (Halston Heritage Earn-Out)</w:t>
      </w:r>
    </w:p>
    <w:p>
      <w:pPr>
        <w:spacing w:after="0" w:line="11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connection with the February 11, 2019 purchase of the Halston Heritage Trademarks from HIP, the Company agreed to pay HIP additional consideration (the “Halston Heritage Earn-Out”) of up to an aggregate of $6.0 million, based on royalties earned through December 31, 2022 (see Note 3). The Halston Heritage Earn-Out of $0.9 million is recorded as a long-term liability as of December 31, 2019 in the accompanying consolidated balance sheets, based on the difference between the fair value of the acquired assets of the Halston Heritage Trademarks and the total consideration paid. In accordance with ASC Topic 480, the Halston Heritage Earn-Out obligation is treated as a liability in the accompanying consolidated balance sheets because of the variable number of shares payable under the agreement.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CW Seller (C Wonder Earn-Out)</w:t>
      </w:r>
    </w:p>
    <w:p>
      <w:pPr>
        <w:spacing w:after="0" w:line="11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 connection with the asset purchase of the C Wonder Brand in 2015, the Company agreed to pay the seller additional consideration, which would be payable, if at all, in cash or shares of common stock of the Company, at the Company’s sole discretion, after June 30, 2019. Under the applicable accounting guidance, the Company was required to carry such contingent liability balance on its consolidated balance sheet until the measurement period of the earn-out expired and all related contingencies had been resolved. The seller ultimately did not earn any additional consideration based on the criteria and terms set forth in the asset purchase agreement. As such, during the year ended December 31, 2019, the Company recorded a $2.85 million gain on the reduction of contingent obligations in the accompanying consolidated statements of operations. As of December 31, 2019, there were no amounts remaining under the C Wonder Earn-Out.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Contingent Obligation – JR Seller (Ripka Earn-Out)</w:t>
      </w:r>
    </w:p>
    <w:p>
      <w:pPr>
        <w:spacing w:after="0" w:line="11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connection with the asset purchase of the Ripka Brand in 2014, the Company agreed to pay the sellers of the Ripka Brand certain additional consideration. As of January 1, 2019, the remaining balance of the Ripka Earn-Out was $0.1 million. On March 31, 2019, the Company satisfied the remaining Ripka Earn-Out balance of $0.1 million by off-setting the amount against the aforementioned promissory note receivable. As of December 31, 2019, there were no amounts remaining outstanding under the Ripka Earn-Out.</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Coronavirus Pandemic</w:t>
      </w:r>
    </w:p>
    <w:p>
      <w:pPr>
        <w:spacing w:after="0" w:line="11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U.S. COVID-19 is having an unprecedented impact on the U.S. economy as federal, state, and local governments react to this public health crisis.</w:t>
      </w:r>
    </w:p>
    <w:p>
      <w:pPr>
        <w:spacing w:after="0" w:line="76"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impacts of the current COVID-19 pandemic are broad reaching and are having an impact on the Company’s licensing and wholesale businesses. The COVID-19 pandemic is impacting the Company’s supply chain as most of the Company’s products are manufactured in China, Thailand, and other places around the world affected by this event. Temporary factory closures and the pace of workers returning to work have impacted contract manufacturers’ ability to source certain raw materials and to produce finished goods in a timely manner. The outbreak is also impacting distribution and logistics providers' ability to operate in the normal course of business. Further, the pandemic has resulted in a sudden and continuing decrease in sales for many of the Company’s products, resulting in order cancellations, and a decrease in accounts receivable collections, as the Company recorded approximately $1 million of additional allowance for doubtful accounts for the year ended December 31, 2020 for retailers that have filed for bankruptcy.</w:t>
      </w:r>
    </w:p>
    <w:p>
      <w:pPr>
        <w:spacing w:after="0" w:line="5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Due to the COVID-19 outbreak, there is significant uncertainty surrounding the potential impact on the Company’s future results of operations and cash flows. Continued impacts of the pandemic could materially adversely affect the Company’s near-term and long-term revenues, earnings, liquidity, and cash flows as the Company’s customers and/or licensees may request temporary relief, delay, or not make scheduled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accounts for income taxes in accordance with ASC Topic 740. Deferred tax assets and liabilities are determined based on differences between the financial reporting and tax bases of assets and liabilities and are measured using the enacted tax rates and laws that will be in effect when the differences are expected to reverse. A valuation allowance is established when necessary to reduce deferred tax assets to the amount expected to be realized. In determining the need for a valuation allowance, management reviews both positive and negative evidence pursuant to the requirements of ASC Topic 740, including current and historical results of operations, future income projections, and the overall prospects of the Company’s business.</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income tax (benefit) provision for federal and state and local income taxes in the consolidated statements of operations consists of the following:</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 and local</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current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(3,538)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6820" w:type="dxa"/>
            <w:vAlign w:val="bottom"/>
            <w:gridSpan w:val="2"/>
          </w:tcPr>
          <w:p>
            <w:pPr>
              <w:ind w:left="120"/>
              <w:spacing w:after="0"/>
              <w:rPr>
                <w:sz w:val="20"/>
                <w:szCs w:val="20"/>
                <w:color w:val="auto"/>
              </w:rPr>
            </w:pPr>
            <w:r>
              <w:rPr>
                <w:rFonts w:ascii="Arial" w:cs="Arial" w:eastAsia="Arial" w:hAnsi="Arial"/>
                <w:sz w:val="18"/>
                <w:szCs w:val="18"/>
                <w:color w:val="auto"/>
              </w:rPr>
              <w:t>State and local</w:t>
            </w:r>
          </w:p>
        </w:tc>
        <w:tc>
          <w:tcPr>
            <w:tcW w:w="1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(844)</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deferred</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0"/>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Total benefit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reconciliation of income tax (benefit) provision computed at the federal and state and local statutory rates to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loss before taxes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02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w w:val="94"/>
              </w:rPr>
              <w:t>Years Ended 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tcBorders>
              <w:bottom w:val="single" w:sz="8" w:color="CCEEFF"/>
            </w:tcBorders>
          </w:tcPr>
          <w:p>
            <w:pPr>
              <w:spacing w:after="0"/>
              <w:rPr>
                <w:sz w:val="13"/>
                <w:szCs w:val="13"/>
                <w:color w:val="auto"/>
              </w:rPr>
            </w:pPr>
          </w:p>
        </w:tc>
        <w:tc>
          <w:tcPr>
            <w:tcW w:w="32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statutory federal rate</w:t>
            </w:r>
          </w:p>
        </w:tc>
        <w:tc>
          <w:tcPr>
            <w:tcW w:w="3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State and local rate, net of federal tax</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compensation</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Excess compensation deduction</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(0.51)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Foreign tax credits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Life insurance</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operating loss carryback</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100"/>
              <w:spacing w:after="0"/>
              <w:rPr>
                <w:sz w:val="20"/>
                <w:szCs w:val="20"/>
                <w:color w:val="auto"/>
              </w:rPr>
            </w:pPr>
            <w:r>
              <w:rPr>
                <w:rFonts w:ascii="Arial" w:cs="Arial" w:eastAsia="Arial" w:hAnsi="Arial"/>
                <w:sz w:val="18"/>
                <w:szCs w:val="18"/>
                <w:color w:val="auto"/>
              </w:rPr>
              <w:t>Paycheck Protection Program addback</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permanent differences</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Income tax benefit</w:t>
            </w:r>
          </w:p>
        </w:tc>
        <w:tc>
          <w:tcPr>
            <w:tcW w:w="32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60" w:type="dxa"/>
            <w:vAlign w:val="bottom"/>
            <w:vMerge w:val="restart"/>
          </w:tcPr>
          <w:p>
            <w:pPr>
              <w:jc w:val="right"/>
              <w:ind w:right="2250"/>
              <w:spacing w:after="0"/>
              <w:rPr>
                <w:sz w:val="20"/>
                <w:szCs w:val="20"/>
                <w:color w:val="auto"/>
              </w:rPr>
            </w:pPr>
            <w:r>
              <w:rPr>
                <w:rFonts w:ascii="Arial" w:cs="Arial" w:eastAsia="Arial" w:hAnsi="Arial"/>
                <w:sz w:val="18"/>
                <w:szCs w:val="18"/>
                <w:color w:val="auto"/>
              </w:rPr>
              <w:t>83</w:t>
            </w: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significant components of net deferred tax liabilities of the Company consist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251"/>
              <w:spacing w:after="0" w:line="142" w:lineRule="exact"/>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2,440</w:t>
            </w:r>
          </w:p>
        </w:tc>
        <w:tc>
          <w:tcPr>
            <w:tcW w:w="5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Federal, state and local net operating loss carryforwards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Accrued compensation and other accrued expenses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Basis difference arising from discounted note payable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Foreign tax credit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80"/>
              <w:spacing w:after="0"/>
              <w:rPr>
                <w:sz w:val="20"/>
                <w:szCs w:val="20"/>
                <w:color w:val="auto"/>
              </w:rPr>
            </w:pPr>
            <w:r>
              <w:rPr>
                <w:rFonts w:ascii="Arial" w:cs="Arial" w:eastAsia="Arial" w:hAnsi="Arial"/>
                <w:sz w:val="18"/>
                <w:szCs w:val="18"/>
                <w:color w:val="auto"/>
              </w:rPr>
              <w:t>Charitable contribution carryover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Basis difference arising from intangible assets of acquisition</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(10,006)</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(13,008)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2020 and 2019, the Company had approximately $10.1 million and $4.0 million, respectively, of federal net operating loss carryforwards ("NOLs") available to offset future taxable income. The NOL as of December 31, 2017 of $0.3 million has an expiration period through 2037. The NOL generated during tax years beginning after December 31, 2017 of $9.8 million has an indefinite life and does not expire.</w:t>
      </w:r>
    </w:p>
    <w:p>
      <w:pPr>
        <w:spacing w:after="0" w:line="18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March 27, 2020, the CARES Act was enacted and signed into law. The CARES Act includes certain provisions impacting businesses’ income taxes related to 2018, 2019, and 2020. Some of the significant tax law changes are to increase the limitation on deductible business interest expense for 2019 and 2020, allow for the five-year carryback of net operating losses for 2018-2020, suspend the 80% limitation of taxable income for net operating loss carryforwards for 2018-2020, provide for the acceleration of depreciation expense from 2018 and forward on qualified improvement property, and accelerate the ability to claim refunds of AMT credit carryforwards. The Company is required to recognize the effect of tax law changes on its financial statements in the period in which the law was enacted. At this time, the Company may avail itself of the ability to carry back net operating losses generated in 2018 and 2019 tax years for five years, which would result in an estimated income statement benefit of $0.1 million and tax refund receivable of $0.2 million.</w:t>
      </w:r>
    </w:p>
    <w:p>
      <w:pPr>
        <w:spacing w:after="0" w:line="19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 of December 31, 2020 and 2019,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Related Party Transactions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Benjamin Malka was a director of the Company from June 2014 through September 2019. Mr. Malka is also a 25% equity holder of HOH, and is the former Chief Executive Officer of HOH. HOH is the parent company of HIP.</w:t>
      </w:r>
    </w:p>
    <w:p>
      <w:pPr>
        <w:spacing w:after="0" w:line="14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February 11, 2019, pursuant to the Heritage Asset Purchase Agreement and the acquisition of the Halston Heritage Trademarks (see Note 3), the Company delivered in escrow for HIP or its designees an aggregate of $8.4 million in cash and 777,778 shares of the Company’s common stock valued at $1.1 million, subject to a voting agreement and a lock-up agreement relating to such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78"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Hilco Trading, LLC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Hilco Trading, LLC ("Hilco") directly and indirectly owns greater than 5% of the Company's common stock, and its affiliate Hilco Global owns 50% of the equity of Longaberger Licensing, LLC. During the year ended December 31, 2020, the Company sold certain apparel products to an affiliate of Hilco, and recognized $0.15 million of revenue from this transaction. Additionally, during the year ended December 31, 2020, the Company sold certain intangible assets of Longaberger Licensing, LLC to a third party; an affiliate of Hilco earned and was paid a commission of $0.05 million related to the sale of these assets.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$0.14 million and $0.17 million for the years ended December 31, 2020 and 2019,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the QVC channel.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below:</w:t>
      </w:r>
    </w:p>
    <w:p>
      <w:pPr>
        <w:spacing w:after="0" w:line="168" w:lineRule="exact"/>
        <w:rPr>
          <w:sz w:val="20"/>
          <w:szCs w:val="20"/>
          <w:color w:val="auto"/>
        </w:rPr>
      </w:pPr>
    </w:p>
    <w:p>
      <w:pPr>
        <w:jc w:val="both"/>
        <w:ind w:left="700" w:right="79" w:hanging="326"/>
        <w:spacing w:after="0" w:line="263"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83"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“Brick-and-Mortar Bonus” means for any calendar year an amount equal to 10% of the net revenues from sales of products under the Isaac Mizrahi Brand, excluding DRT revenue and endorsement revenues.</w:t>
      </w:r>
    </w:p>
    <w:p>
      <w:pPr>
        <w:spacing w:after="0" w:line="146" w:lineRule="exact"/>
        <w:rPr>
          <w:rFonts w:ascii="Arial" w:cs="Arial" w:eastAsia="Arial" w:hAnsi="Arial"/>
          <w:sz w:val="17"/>
          <w:szCs w:val="17"/>
          <w:color w:val="auto"/>
        </w:rPr>
      </w:pPr>
    </w:p>
    <w:p>
      <w:pPr>
        <w:jc w:val="both"/>
        <w:ind w:left="700" w:right="79" w:hanging="326"/>
        <w:spacing w:after="0" w:line="259"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86"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“Monday Bonus” means $10,000 for each appearance by Mr. Mizrahi on the QVC channel on Mondays (subject to certain expectations) up to a maximum of 40 such appearances in a calendar year.</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7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If Mr. Mizrahi’s employment is terminated by the Company without “cause,” or if Mr. Mizrahi resigns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4" w:lineRule="exact"/>
        <w:rPr>
          <w:sz w:val="20"/>
          <w:szCs w:val="20"/>
          <w:color w:val="auto"/>
        </w:rPr>
      </w:pPr>
    </w:p>
    <w:p>
      <w:pPr>
        <w:ind w:left="280" w:hanging="230"/>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his base salary (at an average rate that would have been in effect for such two year period following termination) plus</w:t>
      </w:r>
    </w:p>
    <w:p>
      <w:pPr>
        <w:spacing w:after="0" w:line="32" w:lineRule="exact"/>
        <w:rPr>
          <w:rFonts w:ascii="Arial" w:cs="Arial" w:eastAsia="Arial" w:hAnsi="Arial"/>
          <w:sz w:val="16"/>
          <w:szCs w:val="16"/>
          <w:color w:val="auto"/>
        </w:rPr>
      </w:pPr>
    </w:p>
    <w:p>
      <w:pPr>
        <w:ind w:left="320" w:hanging="270"/>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bonus paid or due to Mr. Mizrahi in the year prior to the change in control.</w:t>
      </w:r>
    </w:p>
    <w:p>
      <w:pPr>
        <w:spacing w:after="0" w:line="21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During the term of his employment by the Company and for a one-year period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of such employment (unless Mr. Mizrahi’s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XCEL BRANDS,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 and 2019</w:t>
      </w:r>
    </w:p>
    <w:p>
      <w:pPr>
        <w:spacing w:after="0" w:line="211"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Subsequent Events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 of Lori Goldstein Brand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April 1, 2021, the Company and its wholly-owned subsidiary, Gold Licensing, LLC, acquired the “Lori Goldstein” trademarks and other intellectual property rights related thereto, from Lori Goldstein, Ltd. (the “Seller”), in exchange for initial cash consideration of $3.6 million, plus additional cash earn-out consideration of up to $12.5 million based on the future performance of the brand.</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Concurrent with the acquisition, the Company also entered into a 10-year employment agreement with the shareholder of the Seller to serve as brand’s Chief Creative Officer and Spokesperson, with a base salary rate of $1.2 million per annum, and the opportunity to earn additional incentives based on the future net royalties related to the brand. Additionally, the Company concurrently entered into a consulting agreement with the Seller to provide creative advice and consultation, for a fee of 0.8 million per annum.</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Upon the consummation of the acquisition of the Lori Goldstein Brand described above, the Company incurred cash bonuses totaling $175,000 to certain members of the Company’s senior management (including $100,000 to the Chief Executive Officer, and $25,000 each to the Chief Financial Officer, President and Chief Operating Officer, and Executive Vice President of Business Development and Treasury), such bonuses having been approved by the Board of Directors on March 18, 2021.</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Refinancing Transaction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April 14, 2021, the Company and its wholly owned subsidiaries entered into a new loan and security agreement with BHI and FEAC, which resulted in the extinguishment of the term loan debt that existed as of December 31, 2020. Under this transaction, the Company’s term loan debt obligation increased to $25.0 million, payable in 16 equal quarterly installments of $625,000, commencing June 30, 2021 and ending on March 31, 2025, with a final payment of $15.0 million payable on the maturity date of April 14, 2025. The new term loan debt bears interest at a weighted average rate of LIBOR plus 6.2% per annum. In addition, the facility provides for up to $25 million of future acquisition financing, subject to lender approval on a deal-by-deal basis. The Company’s obligations under the new loan and security agreement are secured by all of the assets of the Company and, subject to certain limitations, equity interests of the Company’s wholly owned subsidiaries. The new loan and security agreement contains customary covenants, including reporting requirements, trademark preservation, and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were no disagreements with the Company’s auditors which would require disclosure under Item 304(b) of Regulation S-K.</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7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Our Chief Executive Officer and Chief Financial Officer evaluated the effectiveness of our disclosure controls and procedures as defined in Rule 13a 15(f) and 15d 15(f) of the Securities Exchange Act of 1934, as amended (the “Exchange Act”), as of December 31, 2020. Based on that evaluation, our management concluded that our disclosure controls and procedures were not effective as of December 31, 2020, due to the material weakness described below.</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its evaluation as of December 31, 2020, our management concluded that our internal controls over financial reporting were not effective as of December 31, 2020 due to the material weaknesses set forth below. A material weakness is a deficiency, or a combination of control deficiencies, in internal control over financial reporting such that there is a reasonable possibility that a material misstatement of the Company’s annual or interim financial statements will not be prevented or detected on a timely basis.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basis for the conclusion that such internal control was ineffective included the following considerations:</w:t>
      </w:r>
    </w:p>
    <w:p>
      <w:pPr>
        <w:spacing w:after="0" w:line="225" w:lineRule="exact"/>
        <w:rPr>
          <w:sz w:val="20"/>
          <w:szCs w:val="20"/>
          <w:color w:val="auto"/>
        </w:rPr>
      </w:pPr>
    </w:p>
    <w:p>
      <w:pPr>
        <w:jc w:val="both"/>
        <w:ind w:left="700" w:right="79" w:hanging="326"/>
        <w:spacing w:after="0" w:line="259"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was unable to file our Annual Report on Form 10-K within the time specified in SEC rules and forms, due to material subsequent events occurring in the first quarter of 2021, including a significant brand acquisition and a significant debt refinancing transaction, and impacts of the ongoing COVID-19 pandemic on our processes; and</w:t>
      </w:r>
    </w:p>
    <w:p>
      <w:pPr>
        <w:spacing w:after="0" w:line="186"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complexities in determining an impairment charge in the carrying value of one of the Company’s trademarks required additional time for a complete analysis.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hired additional personnel in its finance department to address the material weakness.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This annual report does not include an attestation report of the Company’s independent registered public accounting firm regarding internal control over financial reporting. Management’s report was not subject to attestation requirements by the Company’s independent registered public accounting firm pursuant to rules of the Securities and Exchange Commission that permit the Company to provide only management’s report in this annual report.</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right="199"/>
        <w:spacing w:after="0" w:line="282" w:lineRule="auto"/>
        <w:rPr>
          <w:sz w:val="20"/>
          <w:szCs w:val="20"/>
          <w:color w:val="auto"/>
        </w:rPr>
      </w:pPr>
      <w:r>
        <w:rPr>
          <w:rFonts w:ascii="Arial" w:cs="Arial" w:eastAsia="Arial" w:hAnsi="Arial"/>
          <w:sz w:val="18"/>
          <w:szCs w:val="18"/>
          <w:b w:val="1"/>
          <w:bCs w:val="1"/>
          <w:color w:val="auto"/>
        </w:rPr>
        <w:t>Item 10. Directors, Executive Officers, Promoters, Control Persons and Corporate Governance; Compliance with Section 16(a) of the Exchange Act</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AGE</w:t>
            </w:r>
          </w:p>
        </w:tc>
        <w:tc>
          <w:tcPr>
            <w:tcW w:w="582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6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Chairman of the Board of Directors and Chief Executive Officer and President</w:t>
            </w:r>
          </w:p>
        </w:tc>
      </w:tr>
      <w:tr>
        <w:trPr>
          <w:trHeight w:val="202"/>
        </w:trPr>
        <w:tc>
          <w:tcPr>
            <w:tcW w:w="260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James F. Haran</w:t>
            </w:r>
          </w:p>
        </w:tc>
        <w:tc>
          <w:tcPr>
            <w:tcW w:w="320" w:type="dxa"/>
            <w:vAlign w:val="bottom"/>
          </w:tcPr>
          <w:p>
            <w:pPr>
              <w:jc w:val="center"/>
              <w:spacing w:after="0" w:line="201" w:lineRule="exact"/>
              <w:rPr>
                <w:sz w:val="20"/>
                <w:szCs w:val="20"/>
                <w:color w:val="auto"/>
              </w:rPr>
            </w:pPr>
            <w:r>
              <w:rPr>
                <w:rFonts w:ascii="Arial" w:cs="Arial" w:eastAsia="Arial" w:hAnsi="Arial"/>
                <w:sz w:val="18"/>
                <w:szCs w:val="18"/>
                <w:color w:val="auto"/>
                <w:w w:val="89"/>
              </w:rPr>
              <w:t>60</w:t>
            </w:r>
          </w:p>
        </w:tc>
        <w:tc>
          <w:tcPr>
            <w:tcW w:w="16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6"/>
              </w:rPr>
              <w:t>Chief Financial Officer and Assistant Secretary, and Principal Financial and</w:t>
            </w:r>
          </w:p>
        </w:tc>
      </w:tr>
      <w:tr>
        <w:trPr>
          <w:trHeight w:val="230"/>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21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Giuseppe “Joe” Falco</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Operating Officer of the Isaac Mizrahi Brand</w:t>
            </w:r>
          </w:p>
        </w:tc>
      </w:tr>
      <w:tr>
        <w:trPr>
          <w:trHeight w:val="216"/>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Seth Burroughs</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w w:val="91"/>
              </w:rPr>
              <w:t>Executive Vice President of Business Development and Treasury and Secretary</w:t>
            </w:r>
          </w:p>
        </w:tc>
      </w:tr>
      <w:tr>
        <w:trPr>
          <w:trHeight w:val="21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DiSanto</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James Fielding</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R. Francis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tcPr>
          <w:p>
            <w:pPr>
              <w:ind w:left="20"/>
              <w:spacing w:after="0"/>
              <w:rPr>
                <w:sz w:val="20"/>
                <w:szCs w:val="20"/>
                <w:color w:val="auto"/>
              </w:rPr>
            </w:pPr>
            <w:r>
              <w:rPr>
                <w:rFonts w:ascii="Arial" w:cs="Arial" w:eastAsia="Arial" w:hAnsi="Arial"/>
                <w:sz w:val="18"/>
                <w:szCs w:val="18"/>
                <w:color w:val="auto"/>
              </w:rPr>
              <w:t>Howard Liebman</w:t>
            </w:r>
          </w:p>
        </w:tc>
        <w:tc>
          <w:tcPr>
            <w:tcW w:w="320" w:type="dxa"/>
            <w:vAlign w:val="bottom"/>
          </w:tcPr>
          <w:p>
            <w:pPr>
              <w:jc w:val="center"/>
              <w:spacing w:after="0"/>
              <w:rPr>
                <w:sz w:val="20"/>
                <w:szCs w:val="20"/>
                <w:color w:val="auto"/>
              </w:rPr>
            </w:pPr>
            <w:r>
              <w:rPr>
                <w:rFonts w:ascii="Arial" w:cs="Arial" w:eastAsia="Arial" w:hAnsi="Arial"/>
                <w:sz w:val="18"/>
                <w:szCs w:val="18"/>
                <w:color w:val="auto"/>
                <w:w w:val="89"/>
              </w:rPr>
              <w:t>78</w:t>
            </w:r>
          </w:p>
        </w:tc>
        <w:tc>
          <w:tcPr>
            <w:tcW w:w="16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Deborah Weinswig</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60" w:type="dxa"/>
            <w:vAlign w:val="bottom"/>
            <w:shd w:val="clear" w:color="auto" w:fill="CCEEFF"/>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Below are the biographies of each of our officers and directors as of December 31, 2019.</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b w:val="1"/>
          <w:bCs w:val="1"/>
          <w:i w:val="1"/>
          <w:iCs w:val="1"/>
          <w:color w:val="auto"/>
        </w:rPr>
        <w:t xml:space="preserve">Robert W. D’Loren </w:t>
      </w:r>
      <w:r>
        <w:rPr>
          <w:rFonts w:ascii="Arial" w:cs="Arial" w:eastAsia="Arial" w:hAnsi="Arial"/>
          <w:sz w:val="17"/>
          <w:szCs w:val="17"/>
          <w:color w:val="auto"/>
        </w:rPr>
        <w:t>has been the Chairman of our Board and our Chief Executive Officer and President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2011. Mr. D’Loren has been an entrepreneur, innovator, and pioneer of the consumer branded products industry for the past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187"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b w:val="1"/>
          <w:bCs w:val="1"/>
          <w:i w:val="1"/>
          <w:iCs w:val="1"/>
          <w:color w:val="auto"/>
        </w:rPr>
        <w:t xml:space="preserve">James F. Haran </w:t>
      </w:r>
      <w:r>
        <w:rPr>
          <w:rFonts w:ascii="Arial" w:cs="Arial" w:eastAsia="Arial" w:hAnsi="Arial"/>
          <w:sz w:val="16"/>
          <w:szCs w:val="16"/>
          <w:color w:val="auto"/>
        </w:rPr>
        <w:t>has been our Chief Financial Officer since September 2011. Mr. Haran served as CFO of IPX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b w:val="1"/>
          <w:bCs w:val="1"/>
          <w:i w:val="1"/>
          <w:iCs w:val="1"/>
          <w:color w:val="auto"/>
        </w:rPr>
        <w:t xml:space="preserve">Joe Falco </w:t>
      </w:r>
      <w:r>
        <w:rPr>
          <w:rFonts w:ascii="Arial" w:cs="Arial" w:eastAsia="Arial" w:hAnsi="Arial"/>
          <w:sz w:val="17"/>
          <w:szCs w:val="17"/>
          <w:color w:val="auto"/>
        </w:rPr>
        <w:t>has been our Chief Operating Officer and President of the Mizrahi brands since September 2011. Mr. Falco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merchant with almost two decades of experience in managing lifestyle brands and business development. Mr. Falco served as President of Misook, a division of HMX, from February 2010 to February 2011, as Worldwide President and Chief Merchant for Elie Tahari from 2007 to 2009, and as President of Sixty USA from 2005 to 2006. Prior to that position, Mr. Falco was Senior Vice President for Dolce &amp; Gabbana from 1998 to 2004, where he was responsible for North American development and operations. Mr. Falco started his career with the luxury retailer Barneys New York where he became a student of product merchandising and brand communication.</w:t>
      </w:r>
    </w:p>
    <w:p>
      <w:pPr>
        <w:spacing w:after="0" w:line="17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b w:val="1"/>
          <w:bCs w:val="1"/>
          <w:i w:val="1"/>
          <w:iCs w:val="1"/>
          <w:color w:val="auto"/>
        </w:rPr>
        <w:t xml:space="preserve">Seth Burroughs </w:t>
      </w:r>
      <w:r>
        <w:rPr>
          <w:rFonts w:ascii="Arial" w:cs="Arial" w:eastAsia="Arial" w:hAnsi="Arial"/>
          <w:sz w:val="17"/>
          <w:szCs w:val="17"/>
          <w:color w:val="auto"/>
        </w:rPr>
        <w:t>has been our Executive Vice President of Business Development and Treasury since September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81"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 xml:space="preserve">Mark DiSanto </w:t>
      </w:r>
      <w:r>
        <w:rPr>
          <w:rFonts w:ascii="Arial" w:cs="Arial" w:eastAsia="Arial" w:hAnsi="Arial"/>
          <w:sz w:val="17"/>
          <w:szCs w:val="17"/>
          <w:color w:val="auto"/>
        </w:rPr>
        <w:t>has served as a member of our Board since October 2011. Since 1988, Mr. DiSanto has served as the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James Fielding </w:t>
      </w:r>
      <w:r>
        <w:rPr>
          <w:rFonts w:ascii="Arial" w:cs="Arial" w:eastAsia="Arial" w:hAnsi="Arial"/>
          <w:sz w:val="18"/>
          <w:szCs w:val="18"/>
          <w:color w:val="auto"/>
        </w:rPr>
        <w:t>was appointed as a member of our Board in July 2018. He is a 25-year veteran in the consumer retail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space, and previously served as the Global Head of Consumer Products for 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b w:val="1"/>
          <w:bCs w:val="1"/>
          <w:i w:val="1"/>
          <w:iCs w:val="1"/>
          <w:color w:val="auto"/>
        </w:rPr>
        <w:t xml:space="preserve">Michael R. Francis </w:t>
      </w:r>
      <w:r>
        <w:rPr>
          <w:rFonts w:ascii="Arial" w:cs="Arial" w:eastAsia="Arial" w:hAnsi="Arial"/>
          <w:sz w:val="17"/>
          <w:szCs w:val="17"/>
          <w:color w:val="auto"/>
        </w:rPr>
        <w:t>has served as a member of our Board since June 2015. Mr. Francis is founder and CEO of Fairview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Associates, LLC, a retail and branding consultancy. From February 2012 to December 2015, Mr. Francis served as the Chief Global Brand Officer of DreamWorks Animation SKG, which creates world-class entertainment, including animated feature films, television specials and series, and live-entertainment properties for audiences around the world. During this tenure with DreamWorks, Mr. Francis was responsible for global consumer products, retail, brand strategy, creative design, location-based entertainment, digital, publishing, and franchise development. From November 2010 to June 2011, Mr. Francis served as the President of J.C. Penney Company, Inc., one of the largest department store operators in the United States. Prior to November 2010, Mr. Francis spent more than 26 years with Target Corporation, an American retailing company and the second-largest discount retailer in the United States, in various roles including Executive Vice President and Global Chief Marketing Officer. Mr. Francis has a B.A. degree in international studies from the University of Michigan.</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b w:val="1"/>
          <w:bCs w:val="1"/>
          <w:i w:val="1"/>
          <w:iCs w:val="1"/>
          <w:color w:val="auto"/>
        </w:rPr>
        <w:t xml:space="preserve">Howard Liebman </w:t>
      </w:r>
      <w:r>
        <w:rPr>
          <w:rFonts w:ascii="Arial" w:cs="Arial" w:eastAsia="Arial" w:hAnsi="Arial"/>
          <w:sz w:val="16"/>
          <w:szCs w:val="16"/>
          <w:color w:val="auto"/>
        </w:rPr>
        <w:t>has served as a member of our Board since October 2011. He was President, Chief Operating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6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b w:val="1"/>
          <w:bCs w:val="1"/>
          <w:i w:val="1"/>
          <w:iCs w:val="1"/>
          <w:color w:val="auto"/>
        </w:rPr>
        <w:t xml:space="preserve">Deborah Weinswig </w:t>
      </w:r>
      <w:r>
        <w:rPr>
          <w:rFonts w:ascii="Arial" w:cs="Arial" w:eastAsia="Arial" w:hAnsi="Arial"/>
          <w:sz w:val="17"/>
          <w:szCs w:val="17"/>
          <w:color w:val="auto"/>
        </w:rPr>
        <w:t>was appointed as a member of our Board in January 2018. She is a Managing Director of Funding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Directors’ Qualifications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 xml:space="preserve">Robert W. D’Loren </w:t>
      </w:r>
      <w:r>
        <w:rPr>
          <w:rFonts w:ascii="Arial" w:cs="Arial" w:eastAsia="Arial" w:hAnsi="Arial"/>
          <w:sz w:val="18"/>
          <w:szCs w:val="18"/>
          <w:color w:val="auto"/>
        </w:rPr>
        <w:t>has extensive experience in and knowledge of the licensing and commercial business industries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 xml:space="preserve">Mark DiSanto </w:t>
      </w:r>
      <w:r>
        <w:rPr>
          <w:rFonts w:ascii="Arial" w:cs="Arial" w:eastAsia="Arial" w:hAnsi="Arial"/>
          <w:sz w:val="18"/>
          <w:szCs w:val="18"/>
          <w:color w:val="auto"/>
        </w:rPr>
        <w:t>has considerable experience in building and running businesses and brings his strong business acumen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 xml:space="preserve">James Fielding </w:t>
      </w:r>
      <w:r>
        <w:rPr>
          <w:rFonts w:ascii="Arial" w:cs="Arial" w:eastAsia="Arial" w:hAnsi="Arial"/>
          <w:sz w:val="18"/>
          <w:szCs w:val="18"/>
          <w:color w:val="auto"/>
        </w:rPr>
        <w:t>brings extensive senior level experience in the consumer retail space, as well as strong relationships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media and retail industries.</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 xml:space="preserve">Michael R. Francis </w:t>
      </w:r>
      <w:r>
        <w:rPr>
          <w:rFonts w:ascii="Arial" w:cs="Arial" w:eastAsia="Arial" w:hAnsi="Arial"/>
          <w:sz w:val="18"/>
          <w:szCs w:val="18"/>
          <w:color w:val="auto"/>
        </w:rPr>
        <w:t>brings extensive senior level experience in the media and retail industries, as well as relationships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media and retail industries.</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 xml:space="preserve">Howard Liebman </w:t>
      </w:r>
      <w:r>
        <w:rPr>
          <w:rFonts w:ascii="Arial" w:cs="Arial" w:eastAsia="Arial" w:hAnsi="Arial"/>
          <w:sz w:val="18"/>
          <w:szCs w:val="18"/>
          <w:color w:val="auto"/>
        </w:rPr>
        <w:t>brings comprehensive knowledge of accounting, the capital markets, mergers and acquisitions,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and financial strategies from his extensive public accounting experience and prior service as Chief Financial Officer of a public company.</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 xml:space="preserve">Deborah Weinswig </w:t>
      </w:r>
      <w:r>
        <w:rPr>
          <w:rFonts w:ascii="Arial" w:cs="Arial" w:eastAsia="Arial" w:hAnsi="Arial"/>
          <w:sz w:val="18"/>
          <w:szCs w:val="18"/>
          <w:color w:val="auto"/>
        </w:rPr>
        <w:t>brings thought leadership in the retail and licensing industries, particularly in the areas of sourcing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logistics.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Employees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 xml:space="preserve">Isaac Mizrahi </w:t>
      </w:r>
      <w:r>
        <w:rPr>
          <w:rFonts w:ascii="Arial" w:cs="Arial" w:eastAsia="Arial" w:hAnsi="Arial"/>
          <w:sz w:val="16"/>
          <w:szCs w:val="16"/>
          <w:color w:val="auto"/>
        </w:rPr>
        <w:t>is Chief Design Officer for IM Brands. As Chief Design Officer, he is responsible for design and design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direction for all brands under his name. Mr. Mizrahi has been a leader in the fashion industry for almost 30 years. Since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his first collection in 1987, Mr. Mizrahi’s designs have come to stand for timeless, cosmopolitan style. He has been awarded four Council of Fashion Designers of America (CFDA) awards, including a special award in 1996 for the groundbreaking documentary “Unzipped.” In the Spring of 2016, Mr. Mizrahi launched IMNYC Isaac Mizrahi, available exclusively at Hudson’s Bay and Lord &amp; Taylor department stores. Previously, in 2009, Mr. Mizrahi launched his exclusive lifestyle collection, ISAACMIZRAHILIVE, on QVC. In addition, television audiences have come to value Mr. Mizrahi’s media presence through his roles on “Project Runway All Stars” for Lifetime, and his appearances on broadcast television networks where he offers his expertise on fashion and style.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 with Executives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will be automatically renewed for one-year terms unless either party gives written notice of intent to terminate at least 90 days prior to the termination of the then current term. Pursuant to the D’Loren Employment Agreement, Mr. D’Loren’s annual base salary is $0.89 million. The Company’s board of directors or the compensation committee may approve increases (but not decreases) from time to time. Following the initial three-year term, Mr. D’Loren’s base salary will be reviewed at least annually. Mr. D’Loren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Pursuant to the D’Loren Agreement, Mr. D’Loren was granted an option to purchase up to 2,578,947 shares of the Company’s common stock at an exercise price of $1.70 per share. The option is exercisable until February 28, 2029 and shall vest, subject to Mr. D’Loren remaining employed by the Company and based upon the Company’s common stock achieving the following target prices: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80" w:type="dxa"/>
            <w:vAlign w:val="bottom"/>
            <w:gridSpan w:val="2"/>
          </w:tcPr>
          <w:p>
            <w:pPr>
              <w:ind w:left="2920"/>
              <w:spacing w:after="0"/>
              <w:rPr>
                <w:sz w:val="20"/>
                <w:szCs w:val="20"/>
                <w:color w:val="auto"/>
              </w:rPr>
            </w:pPr>
            <w:r>
              <w:rPr>
                <w:rFonts w:ascii="Arial" w:cs="Arial" w:eastAsia="Arial" w:hAnsi="Arial"/>
                <w:sz w:val="14"/>
                <w:szCs w:val="14"/>
                <w:b w:val="1"/>
                <w:bCs w:val="1"/>
                <w:color w:val="auto"/>
              </w:rPr>
              <w:t>Target Prices</w:t>
            </w:r>
          </w:p>
        </w:tc>
        <w:tc>
          <w:tcPr>
            <w:tcW w:w="2120" w:type="dxa"/>
            <w:vAlign w:val="bottom"/>
          </w:tcPr>
          <w:p>
            <w:pPr>
              <w:jc w:val="right"/>
              <w:spacing w:after="0"/>
              <w:rPr>
                <w:sz w:val="20"/>
                <w:szCs w:val="20"/>
                <w:color w:val="auto"/>
              </w:rPr>
            </w:pPr>
            <w:r>
              <w:rPr>
                <w:rFonts w:ascii="Arial" w:cs="Arial" w:eastAsia="Arial" w:hAnsi="Arial"/>
                <w:sz w:val="14"/>
                <w:szCs w:val="14"/>
                <w:b w:val="1"/>
                <w:bCs w:val="1"/>
                <w:color w:val="auto"/>
                <w:w w:val="92"/>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rPr>
              <w:t>736,842</w:t>
            </w:r>
          </w:p>
        </w:tc>
      </w:tr>
      <w:tr>
        <w:trPr>
          <w:trHeight w:val="216"/>
        </w:trPr>
        <w:tc>
          <w:tcPr>
            <w:tcW w:w="6620" w:type="dxa"/>
            <w:vAlign w:val="bottom"/>
          </w:tcPr>
          <w:p>
            <w:pPr>
              <w:jc w:val="center"/>
              <w:spacing w:after="0"/>
              <w:rPr>
                <w:sz w:val="20"/>
                <w:szCs w:val="20"/>
                <w:color w:val="auto"/>
              </w:rPr>
            </w:pPr>
            <w:r>
              <w:rPr>
                <w:rFonts w:ascii="Arial" w:cs="Arial" w:eastAsia="Arial" w:hAnsi="Arial"/>
                <w:sz w:val="18"/>
                <w:szCs w:val="18"/>
                <w:color w:val="auto"/>
                <w:w w:val="88"/>
              </w:rPr>
              <w:t>$5.00</w:t>
            </w:r>
          </w:p>
        </w:tc>
        <w:tc>
          <w:tcPr>
            <w:tcW w:w="160" w:type="dxa"/>
            <w:vAlign w:val="bottom"/>
          </w:tcPr>
          <w:p>
            <w:pPr>
              <w:spacing w:after="0"/>
              <w:rPr>
                <w:sz w:val="18"/>
                <w:szCs w:val="18"/>
                <w:color w:val="auto"/>
              </w:rPr>
            </w:pPr>
          </w:p>
        </w:tc>
        <w:tc>
          <w:tcPr>
            <w:tcW w:w="2120" w:type="dxa"/>
            <w:vAlign w:val="bottom"/>
          </w:tcPr>
          <w:p>
            <w:pPr>
              <w:jc w:val="right"/>
              <w:ind w:right="653"/>
              <w:spacing w:after="0"/>
              <w:rPr>
                <w:sz w:val="20"/>
                <w:szCs w:val="20"/>
                <w:color w:val="auto"/>
              </w:rPr>
            </w:pPr>
            <w:r>
              <w:rPr>
                <w:rFonts w:ascii="Arial" w:cs="Arial" w:eastAsia="Arial" w:hAnsi="Arial"/>
                <w:sz w:val="18"/>
                <w:szCs w:val="18"/>
                <w:color w:val="auto"/>
              </w:rPr>
              <w:t>626,316</w:t>
            </w:r>
          </w:p>
        </w:tc>
      </w:tr>
      <w:tr>
        <w:trPr>
          <w:trHeight w:val="216"/>
        </w:trPr>
        <w:tc>
          <w:tcPr>
            <w:tcW w:w="6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515,789</w:t>
            </w:r>
          </w:p>
        </w:tc>
      </w:tr>
      <w:tr>
        <w:trPr>
          <w:trHeight w:val="216"/>
        </w:trPr>
        <w:tc>
          <w:tcPr>
            <w:tcW w:w="6620" w:type="dxa"/>
            <w:vAlign w:val="bottom"/>
          </w:tcPr>
          <w:p>
            <w:pPr>
              <w:jc w:val="center"/>
              <w:spacing w:after="0"/>
              <w:rPr>
                <w:sz w:val="20"/>
                <w:szCs w:val="20"/>
                <w:color w:val="auto"/>
              </w:rPr>
            </w:pPr>
            <w:r>
              <w:rPr>
                <w:rFonts w:ascii="Arial" w:cs="Arial" w:eastAsia="Arial" w:hAnsi="Arial"/>
                <w:sz w:val="18"/>
                <w:szCs w:val="18"/>
                <w:color w:val="auto"/>
                <w:w w:val="88"/>
              </w:rPr>
              <w:t>$9.00</w:t>
            </w:r>
          </w:p>
        </w:tc>
        <w:tc>
          <w:tcPr>
            <w:tcW w:w="160" w:type="dxa"/>
            <w:vAlign w:val="bottom"/>
          </w:tcPr>
          <w:p>
            <w:pPr>
              <w:spacing w:after="0"/>
              <w:rPr>
                <w:sz w:val="18"/>
                <w:szCs w:val="18"/>
                <w:color w:val="auto"/>
              </w:rPr>
            </w:pPr>
          </w:p>
        </w:tc>
        <w:tc>
          <w:tcPr>
            <w:tcW w:w="2120" w:type="dxa"/>
            <w:vAlign w:val="bottom"/>
          </w:tcPr>
          <w:p>
            <w:pPr>
              <w:jc w:val="right"/>
              <w:ind w:right="653"/>
              <w:spacing w:after="0"/>
              <w:rPr>
                <w:sz w:val="20"/>
                <w:szCs w:val="20"/>
                <w:color w:val="auto"/>
              </w:rPr>
            </w:pPr>
            <w:r>
              <w:rPr>
                <w:rFonts w:ascii="Arial" w:cs="Arial" w:eastAsia="Arial" w:hAnsi="Arial"/>
                <w:sz w:val="18"/>
                <w:szCs w:val="18"/>
                <w:color w:val="auto"/>
              </w:rPr>
              <w:t>405,263</w:t>
            </w:r>
          </w:p>
        </w:tc>
      </w:tr>
      <w:tr>
        <w:trPr>
          <w:trHeight w:val="216"/>
        </w:trPr>
        <w:tc>
          <w:tcPr>
            <w:tcW w:w="6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w:t>
            </w: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53"/>
              <w:spacing w:after="0"/>
              <w:rPr>
                <w:sz w:val="20"/>
                <w:szCs w:val="20"/>
                <w:color w:val="auto"/>
              </w:rPr>
            </w:pPr>
            <w:r>
              <w:rPr>
                <w:rFonts w:ascii="Arial" w:cs="Arial" w:eastAsia="Arial" w:hAnsi="Arial"/>
                <w:sz w:val="18"/>
                <w:szCs w:val="18"/>
                <w:color w:val="auto"/>
              </w:rPr>
              <w:t>294,737</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premiums paid for other medical insurance in an amount not to exceed the cost to participate in the Company’s plan, subject to certain conditions, for a period of 36 months from the termination date.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 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James Haran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automatically renewed for a one-year term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was guaranteed, of which $0.01 million was paid to Mr. Haran upon execution of the Haran Employment Agreement and $0.03 million was paid prior to June 30, 2019, and (ii) for 2020, $0.03 million of Mr. Haran’s bonus was guaranteed and paid prior to June 30, 2020, in each case.</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Pursuant to the Haran Employment Agreement, Mr. Haran was granted an option to purchase up to 552,632 shares of the Company’s common stock at an exercise price of $1.70 per share. The option is exercisable until February 28, 2029 and shall vest, subject to Mr. Haran remaining employed with the Company and based upon the Company’s common stock achieving target prices as follows:</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620" w:type="dxa"/>
            <w:vAlign w:val="bottom"/>
          </w:tcPr>
          <w:p>
            <w:pPr>
              <w:ind w:left="2900"/>
              <w:spacing w:after="0"/>
              <w:rPr>
                <w:sz w:val="20"/>
                <w:szCs w:val="20"/>
                <w:color w:val="auto"/>
              </w:rPr>
            </w:pPr>
            <w:r>
              <w:rPr>
                <w:rFonts w:ascii="Arial" w:cs="Arial" w:eastAsia="Arial" w:hAnsi="Arial"/>
                <w:sz w:val="14"/>
                <w:szCs w:val="14"/>
                <w:b w:val="1"/>
                <w:bCs w:val="1"/>
                <w:color w:val="auto"/>
              </w:rPr>
              <w:t>Target Prices</w:t>
            </w:r>
          </w:p>
        </w:tc>
        <w:tc>
          <w:tcPr>
            <w:tcW w:w="2280" w:type="dxa"/>
            <w:vAlign w:val="bottom"/>
            <w:gridSpan w:val="2"/>
          </w:tcPr>
          <w:p>
            <w:pPr>
              <w:ind w:left="140"/>
              <w:spacing w:after="0"/>
              <w:rPr>
                <w:sz w:val="20"/>
                <w:szCs w:val="20"/>
                <w:color w:val="auto"/>
              </w:rPr>
            </w:pPr>
            <w:r>
              <w:rPr>
                <w:rFonts w:ascii="Arial" w:cs="Arial" w:eastAsia="Arial" w:hAnsi="Arial"/>
                <w:sz w:val="14"/>
                <w:szCs w:val="14"/>
                <w:b w:val="1"/>
                <w:bCs w:val="1"/>
                <w:color w:val="auto"/>
                <w:w w:val="94"/>
              </w:rPr>
              <w:t>Number of Option Shares Vesting</w:t>
            </w:r>
          </w:p>
        </w:tc>
      </w:tr>
      <w:tr>
        <w:trPr>
          <w:trHeight w:val="209"/>
        </w:trPr>
        <w:tc>
          <w:tcPr>
            <w:tcW w:w="6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157,895</w:t>
            </w:r>
          </w:p>
        </w:tc>
      </w:tr>
      <w:tr>
        <w:trPr>
          <w:trHeight w:val="216"/>
        </w:trPr>
        <w:tc>
          <w:tcPr>
            <w:tcW w:w="6620" w:type="dxa"/>
            <w:vAlign w:val="bottom"/>
          </w:tcPr>
          <w:p>
            <w:pPr>
              <w:jc w:val="center"/>
              <w:spacing w:after="0"/>
              <w:rPr>
                <w:sz w:val="20"/>
                <w:szCs w:val="20"/>
                <w:color w:val="auto"/>
              </w:rPr>
            </w:pPr>
            <w:r>
              <w:rPr>
                <w:rFonts w:ascii="Arial" w:cs="Arial" w:eastAsia="Arial" w:hAnsi="Arial"/>
                <w:sz w:val="18"/>
                <w:szCs w:val="18"/>
                <w:color w:val="auto"/>
                <w:w w:val="88"/>
              </w:rPr>
              <w:t>$5.00</w:t>
            </w:r>
          </w:p>
        </w:tc>
        <w:tc>
          <w:tcPr>
            <w:tcW w:w="2280" w:type="dxa"/>
            <w:vAlign w:val="bottom"/>
            <w:gridSpan w:val="2"/>
          </w:tcPr>
          <w:p>
            <w:pPr>
              <w:jc w:val="center"/>
              <w:ind w:left="94"/>
              <w:spacing w:after="0"/>
              <w:rPr>
                <w:sz w:val="20"/>
                <w:szCs w:val="20"/>
                <w:color w:val="auto"/>
              </w:rPr>
            </w:pPr>
            <w:r>
              <w:rPr>
                <w:rFonts w:ascii="Arial" w:cs="Arial" w:eastAsia="Arial" w:hAnsi="Arial"/>
                <w:sz w:val="18"/>
                <w:szCs w:val="18"/>
                <w:color w:val="auto"/>
                <w:w w:val="89"/>
              </w:rPr>
              <w:t>134,211</w:t>
            </w:r>
          </w:p>
        </w:tc>
      </w:tr>
      <w:tr>
        <w:trPr>
          <w:trHeight w:val="216"/>
        </w:trPr>
        <w:tc>
          <w:tcPr>
            <w:tcW w:w="6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22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89"/>
              </w:rPr>
              <w:t>110,526</w:t>
            </w:r>
          </w:p>
        </w:tc>
      </w:tr>
      <w:tr>
        <w:trPr>
          <w:trHeight w:val="216"/>
        </w:trPr>
        <w:tc>
          <w:tcPr>
            <w:tcW w:w="6620" w:type="dxa"/>
            <w:vAlign w:val="bottom"/>
          </w:tcPr>
          <w:p>
            <w:pPr>
              <w:jc w:val="center"/>
              <w:spacing w:after="0"/>
              <w:rPr>
                <w:sz w:val="20"/>
                <w:szCs w:val="20"/>
                <w:color w:val="auto"/>
              </w:rPr>
            </w:pPr>
            <w:r>
              <w:rPr>
                <w:rFonts w:ascii="Arial" w:cs="Arial" w:eastAsia="Arial" w:hAnsi="Arial"/>
                <w:sz w:val="18"/>
                <w:szCs w:val="18"/>
                <w:color w:val="auto"/>
                <w:w w:val="88"/>
              </w:rPr>
              <w:t>$9.00</w:t>
            </w:r>
          </w:p>
        </w:tc>
        <w:tc>
          <w:tcPr>
            <w:tcW w:w="2280" w:type="dxa"/>
            <w:vAlign w:val="bottom"/>
            <w:gridSpan w:val="2"/>
          </w:tcPr>
          <w:p>
            <w:pPr>
              <w:jc w:val="center"/>
              <w:ind w:left="94"/>
              <w:spacing w:after="0"/>
              <w:rPr>
                <w:sz w:val="20"/>
                <w:szCs w:val="20"/>
                <w:color w:val="auto"/>
              </w:rPr>
            </w:pPr>
            <w:r>
              <w:rPr>
                <w:rFonts w:ascii="Arial" w:cs="Arial" w:eastAsia="Arial" w:hAnsi="Arial"/>
                <w:sz w:val="18"/>
                <w:szCs w:val="18"/>
                <w:color w:val="auto"/>
                <w:w w:val="90"/>
              </w:rPr>
              <w:t>86,842</w:t>
            </w:r>
          </w:p>
        </w:tc>
      </w:tr>
      <w:tr>
        <w:trPr>
          <w:trHeight w:val="216"/>
        </w:trPr>
        <w:tc>
          <w:tcPr>
            <w:tcW w:w="6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$11.00</w:t>
            </w:r>
          </w:p>
        </w:tc>
        <w:tc>
          <w:tcPr>
            <w:tcW w:w="2280" w:type="dxa"/>
            <w:vAlign w:val="bottom"/>
            <w:gridSpan w:val="2"/>
            <w:shd w:val="clear" w:color="auto" w:fill="CCEEFF"/>
          </w:tcPr>
          <w:p>
            <w:pPr>
              <w:jc w:val="center"/>
              <w:ind w:left="94"/>
              <w:spacing w:after="0"/>
              <w:rPr>
                <w:sz w:val="20"/>
                <w:szCs w:val="20"/>
                <w:color w:val="auto"/>
              </w:rPr>
            </w:pPr>
            <w:r>
              <w:rPr>
                <w:rFonts w:ascii="Arial" w:cs="Arial" w:eastAsia="Arial" w:hAnsi="Arial"/>
                <w:sz w:val="18"/>
                <w:szCs w:val="18"/>
                <w:color w:val="auto"/>
                <w:w w:val="90"/>
              </w:rPr>
              <w:t>63,158</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Giuseppe Falco</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February 27, 2019, and effective January 1, 2019, the Company entered into a two-year employment agreement with Giuseppe Falco for him to serve as President and Chief Merchant of the Company’s Interactive Technology business and the Company’s Creative Director, referred to as the Falco Employment Agreement. Following the initial two-year term, the agreement automatically renewed for an additional one-year term. Under the Falco Employment Agreement, Mr. Falco’s base salary is $0.55 million per annum.</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Bonus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Cash Bonus and Stock Bonus</w:t>
      </w:r>
      <w:r>
        <w:rPr>
          <w:rFonts w:ascii="Arial" w:cs="Arial" w:eastAsia="Arial" w:hAnsi="Arial"/>
          <w:sz w:val="18"/>
          <w:szCs w:val="18"/>
          <w:color w:val="auto"/>
        </w:rPr>
        <w:t>. Mr. Falco was eligible to receive a performance cash bonus in an amount up to $0.4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 annum and a performance stock bonus with a value of up to $0.09 million per annum based upon the Company receiving </w:t>
      </w:r>
      <w:r>
        <w:rPr>
          <w:rFonts w:ascii="Arial" w:cs="Arial" w:eastAsia="Arial" w:hAnsi="Arial"/>
          <w:sz w:val="18"/>
          <w:szCs w:val="18"/>
          <w:i w:val="1"/>
          <w:iCs w:val="1"/>
          <w:color w:val="auto"/>
        </w:rPr>
        <w:t>Gross DRT Sales</w:t>
      </w:r>
      <w:r>
        <w:rPr>
          <w:rFonts w:ascii="Arial" w:cs="Arial" w:eastAsia="Arial" w:hAnsi="Arial"/>
          <w:sz w:val="18"/>
          <w:szCs w:val="18"/>
          <w:color w:val="auto"/>
        </w:rPr>
        <w:t xml:space="preserve"> as follows: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in thousands)</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56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2019 Gross DRT Sales Level</w:t>
            </w: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Cash Bonus</w:t>
            </w:r>
          </w:p>
        </w:tc>
        <w:tc>
          <w:tcPr>
            <w:tcW w:w="3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Value of Stock Bonus</w:t>
            </w:r>
          </w:p>
        </w:tc>
      </w:tr>
      <w:tr>
        <w:trPr>
          <w:trHeight w:val="209"/>
        </w:trPr>
        <w:tc>
          <w:tcPr>
            <w:tcW w:w="5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$242,500- $250,000</w:t>
            </w:r>
          </w:p>
        </w:tc>
        <w:tc>
          <w:tcPr>
            <w:tcW w:w="1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494"/>
              <w:spacing w:after="0"/>
              <w:rPr>
                <w:sz w:val="20"/>
                <w:szCs w:val="20"/>
                <w:color w:val="auto"/>
              </w:rPr>
            </w:pPr>
            <w:r>
              <w:rPr>
                <w:rFonts w:ascii="Arial" w:cs="Arial" w:eastAsia="Arial" w:hAnsi="Arial"/>
                <w:sz w:val="18"/>
                <w:szCs w:val="18"/>
                <w:color w:val="auto"/>
              </w:rPr>
              <w:t>24</w:t>
            </w:r>
          </w:p>
        </w:tc>
      </w:tr>
      <w:tr>
        <w:trPr>
          <w:trHeight w:val="216"/>
        </w:trPr>
        <w:tc>
          <w:tcPr>
            <w:tcW w:w="5620" w:type="dxa"/>
            <w:vAlign w:val="bottom"/>
          </w:tcPr>
          <w:p>
            <w:pPr>
              <w:jc w:val="center"/>
              <w:spacing w:after="0"/>
              <w:rPr>
                <w:sz w:val="20"/>
                <w:szCs w:val="20"/>
                <w:color w:val="auto"/>
              </w:rPr>
            </w:pPr>
            <w:r>
              <w:rPr>
                <w:rFonts w:ascii="Arial" w:cs="Arial" w:eastAsia="Arial" w:hAnsi="Arial"/>
                <w:sz w:val="18"/>
                <w:szCs w:val="18"/>
                <w:color w:val="auto"/>
                <w:w w:val="90"/>
              </w:rPr>
              <w:t>$250,000 - $257,500</w:t>
            </w:r>
          </w:p>
        </w:tc>
        <w:tc>
          <w:tcPr>
            <w:tcW w:w="128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180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4"/>
              <w:spacing w:after="0"/>
              <w:rPr>
                <w:sz w:val="20"/>
                <w:szCs w:val="20"/>
                <w:color w:val="auto"/>
              </w:rPr>
            </w:pPr>
            <w:r>
              <w:rPr>
                <w:rFonts w:ascii="Arial" w:cs="Arial" w:eastAsia="Arial" w:hAnsi="Arial"/>
                <w:sz w:val="18"/>
                <w:szCs w:val="18"/>
                <w:color w:val="auto"/>
              </w:rPr>
              <w:t>45</w:t>
            </w:r>
          </w:p>
        </w:tc>
      </w:tr>
      <w:tr>
        <w:trPr>
          <w:trHeight w:val="216"/>
        </w:trPr>
        <w:tc>
          <w:tcPr>
            <w:tcW w:w="5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$257,500 - $265,000</w:t>
            </w:r>
          </w:p>
        </w:tc>
        <w:tc>
          <w:tcPr>
            <w:tcW w:w="1280" w:type="dxa"/>
            <w:vAlign w:val="bottom"/>
            <w:gridSpan w:val="2"/>
            <w:shd w:val="clear" w:color="auto" w:fill="CCEEFF"/>
          </w:tcPr>
          <w:p>
            <w:pPr>
              <w:jc w:val="right"/>
              <w:ind w:right="947"/>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94"/>
              <w:spacing w:after="0"/>
              <w:rPr>
                <w:sz w:val="20"/>
                <w:szCs w:val="20"/>
                <w:color w:val="auto"/>
              </w:rPr>
            </w:pPr>
            <w:r>
              <w:rPr>
                <w:rFonts w:ascii="Arial" w:cs="Arial" w:eastAsia="Arial" w:hAnsi="Arial"/>
                <w:sz w:val="18"/>
                <w:szCs w:val="18"/>
                <w:color w:val="auto"/>
              </w:rPr>
              <w:t>68</w:t>
            </w:r>
          </w:p>
        </w:tc>
      </w:tr>
      <w:tr>
        <w:trPr>
          <w:trHeight w:val="230"/>
        </w:trPr>
        <w:tc>
          <w:tcPr>
            <w:tcW w:w="5620" w:type="dxa"/>
            <w:vAlign w:val="bottom"/>
          </w:tcPr>
          <w:p>
            <w:pPr>
              <w:jc w:val="center"/>
              <w:spacing w:after="0"/>
              <w:rPr>
                <w:sz w:val="20"/>
                <w:szCs w:val="20"/>
                <w:color w:val="auto"/>
              </w:rPr>
            </w:pPr>
            <w:r>
              <w:rPr>
                <w:rFonts w:ascii="Arial" w:cs="Arial" w:eastAsia="Arial" w:hAnsi="Arial"/>
                <w:sz w:val="18"/>
                <w:szCs w:val="18"/>
                <w:color w:val="auto"/>
                <w:w w:val="90"/>
              </w:rPr>
              <w:t>$265,000 or more</w:t>
            </w:r>
          </w:p>
        </w:tc>
        <w:tc>
          <w:tcPr>
            <w:tcW w:w="1280" w:type="dxa"/>
            <w:vAlign w:val="bottom"/>
            <w:gridSpan w:val="2"/>
          </w:tcPr>
          <w:p>
            <w:pPr>
              <w:jc w:val="right"/>
              <w:ind w:right="9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360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94"/>
              <w:spacing w:after="0"/>
              <w:rPr>
                <w:sz w:val="20"/>
                <w:szCs w:val="20"/>
                <w:color w:val="auto"/>
              </w:rPr>
            </w:pPr>
            <w:r>
              <w:rPr>
                <w:rFonts w:ascii="Arial" w:cs="Arial" w:eastAsia="Arial" w:hAnsi="Arial"/>
                <w:sz w:val="18"/>
                <w:szCs w:val="18"/>
                <w:color w:val="auto"/>
              </w:rPr>
              <w:t>90</w:t>
            </w:r>
          </w:p>
        </w:tc>
      </w:tr>
    </w:tbl>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Gross DRT Sale Level targets for 2020 were established by the Compensation Committee of the Company’s Board of Directors.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Gross DRT Sales</w:t>
      </w:r>
      <w:r>
        <w:rPr>
          <w:rFonts w:ascii="Arial" w:cs="Arial" w:eastAsia="Arial" w:hAnsi="Arial"/>
          <w:sz w:val="18"/>
          <w:szCs w:val="18"/>
          <w:color w:val="auto"/>
        </w:rPr>
        <w:t>” means gross sales generated by the Company’s trademarks through any program transmitted by television, on QVC, HSN (including their e-commerce businesses known as Buy Any Time), or similar interactive television networks globally.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Severance</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If Mr. Falco’s employment is terminated by us without cause, or if Mr. Falco resigns with good reason, or if we fail to renew the term, then Mr. Falco will be entitled to receive his unpaid base salary and cash bonuses through the termination date and a lump sum payment of an amount equal to his base salary in effect for a period of six months, payable on the six-month anniversary of the date of separation of services and the option shall remain exercisable as to those shares as to which the option previously vested and shall become exercisable as to any unvested shares immediately following such transaction. Mr. Falco would also be entitled to continue to participate in our group medical plan, subject to certain conditions, for a period of six months from the termination date.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 of Control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In the event Mr. Falco’s employment is terminated within 12 months following a change of control by the Company without cause or by Mr. Falco with good reason, Mr. Falco would be entitled to a lump sum payment equal to his base salary in effect on the termination date for six months following such termination. “Change of control,” as defined in Mr. Falco’s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Falco and us, all unvested stock</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options, shares of restricted stock and other equity awards granted by us to Mr. Falco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Non-Competition and Non-Solicitation</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During the term of his employment by the Company and for a one-year period after the termination of such employment, Mr. Falco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the Company’s business in the United States, its territories and possessions and any foreign country in which we do business as of the date of termination of his employment. Also, during his employment and for a one-year period after the termination of such employment, Mr. Falco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 are no family relationships among our directors or officers.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board has determined that Messrs. Howard Liebman, Mark DiSanto, James Fielding, Michael R. Francis,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To our knowledge, based solely on a review of Forms 3 and 4 and any amendments thereto furnished to our Company pursuant to Rule 16a-3(e) under the Securities Exchange Act of 1934, or representations that no Forms 5 were required, all Section 16(a) filing requirements applicable to our officers, directors, and beneficial owners of more than 10% of our equity securities were timely filed, except that Mr. DiSanto filed Forms 4 late for six transactions and Mr. D’Loren filed Forms 4 late for three transactions.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Committee and Audit Committee Financial Expert</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following table sets forth information regarding all cash and non-cash compensation earned, during the years ended December 31, 2020 and 2019, by our principal executive officer and our two other most highly compensated executive officers, which we refer to collectively as the named executive officers, for services in all capacities to the Company: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Compensation Table</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7"/>
              </w:rPr>
              <w:t>Title</w:t>
            </w: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780" w:type="dxa"/>
            <w:vAlign w:val="bottom"/>
          </w:tcPr>
          <w:p>
            <w:pPr>
              <w:jc w:val="right"/>
              <w:ind w:right="99"/>
              <w:spacing w:after="0"/>
              <w:rPr>
                <w:sz w:val="20"/>
                <w:szCs w:val="20"/>
                <w:color w:val="auto"/>
              </w:rPr>
            </w:pPr>
            <w:r>
              <w:rPr>
                <w:rFonts w:ascii="Arial" w:cs="Arial" w:eastAsia="Arial" w:hAnsi="Arial"/>
                <w:sz w:val="14"/>
                <w:szCs w:val="14"/>
                <w:b w:val="1"/>
                <w:bCs w:val="1"/>
                <w:color w:val="auto"/>
              </w:rPr>
              <w:t>Salary</w:t>
            </w:r>
          </w:p>
        </w:tc>
        <w:tc>
          <w:tcPr>
            <w:tcW w:w="160" w:type="dxa"/>
            <w:vAlign w:val="bottom"/>
          </w:tcPr>
          <w:p>
            <w:pPr>
              <w:spacing w:after="0"/>
              <w:rPr>
                <w:sz w:val="14"/>
                <w:szCs w:val="14"/>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Bonus</w:t>
            </w:r>
          </w:p>
        </w:tc>
        <w:tc>
          <w:tcPr>
            <w:tcW w:w="140" w:type="dxa"/>
            <w:vAlign w:val="bottom"/>
          </w:tcPr>
          <w:p>
            <w:pPr>
              <w:spacing w:after="0"/>
              <w:rPr>
                <w:sz w:val="14"/>
                <w:szCs w:val="14"/>
                <w:color w:val="auto"/>
              </w:rPr>
            </w:pPr>
          </w:p>
        </w:tc>
        <w:tc>
          <w:tcPr>
            <w:tcW w:w="800" w:type="dxa"/>
            <w:vAlign w:val="bottom"/>
          </w:tcPr>
          <w:p>
            <w:pPr>
              <w:jc w:val="right"/>
              <w:ind w:right="73"/>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9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2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(1)</w:t>
            </w:r>
          </w:p>
        </w:tc>
        <w:tc>
          <w:tcPr>
            <w:tcW w:w="94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(2)</w:t>
            </w:r>
          </w:p>
        </w:tc>
        <w:tc>
          <w:tcPr>
            <w:tcW w:w="94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(3)</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Compensation</w:t>
            </w:r>
          </w:p>
        </w:tc>
        <w:tc>
          <w:tcPr>
            <w:tcW w:w="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CEO and Chairman</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$ 758,927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$ 440,235</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$ 220,000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1,419,254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939,066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1,836,313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James F. Haran</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4"/>
              </w:rPr>
              <w:t>CFO</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312,625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42,380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Giuseppe Falco</w:t>
            </w: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President and COO</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469,792</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568,750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756,250</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79" w:hanging="330"/>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Salary amounts for 2020 reflect temporary voluntary reductions from April 1, 2020 – December 31, 2020 in connection with cost reduction actions taken by management in response to the COVID-19 pandemic.</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Bonuses were paid in accordance with the executives’ respective employment agreements. See “Employment Agreements with Executives” in Item 10.</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 shown represents the grant date fair value of fully-vested common stock awards issued in 2020 as payment for a performance bonus earned in the prior year.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7"/>
              </w:rPr>
              <w:t>Options and Warrant Awards</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bottom w:val="single" w:sz="8" w:color="auto"/>
            </w:tcBorders>
            <w:gridSpan w:val="5"/>
          </w:tcPr>
          <w:p>
            <w:pPr>
              <w:jc w:val="right"/>
              <w:ind w:right="60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Option or</w:t>
            </w: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Shares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&amp;</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Options &amp;</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Warrant</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Stock that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w:t>
            </w:r>
          </w:p>
        </w:tc>
        <w:tc>
          <w:tcPr>
            <w:tcW w:w="160" w:type="dxa"/>
            <w:vAlign w:val="bottom"/>
          </w:tcPr>
          <w:p>
            <w:pPr>
              <w:spacing w:after="0"/>
              <w:rPr>
                <w:sz w:val="12"/>
                <w:szCs w:val="12"/>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Title</w:t>
            </w: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 Not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Vested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Vested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520" w:type="dxa"/>
            <w:vAlign w:val="bottom"/>
            <w:tcBorders>
              <w:top w:val="single" w:sz="8" w:color="auto"/>
            </w:tcBorders>
            <w:shd w:val="clear" w:color="auto" w:fill="CCEEFF"/>
          </w:tcPr>
          <w:p>
            <w:pPr>
              <w:jc w:val="center"/>
              <w:spacing w:after="0" w:line="123" w:lineRule="exact"/>
              <w:rPr>
                <w:sz w:val="20"/>
                <w:szCs w:val="20"/>
                <w:color w:val="auto"/>
              </w:rPr>
            </w:pPr>
            <w:r>
              <w:rPr>
                <w:rFonts w:ascii="Arial" w:cs="Arial" w:eastAsia="Arial" w:hAnsi="Arial"/>
                <w:sz w:val="14"/>
                <w:szCs w:val="14"/>
                <w:color w:val="auto"/>
                <w:w w:val="96"/>
              </w:rPr>
              <w:t>Robert W. D’Loren</w:t>
            </w:r>
          </w:p>
        </w:tc>
        <w:tc>
          <w:tcPr>
            <w:tcW w:w="16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gridSpan w:val="2"/>
            <w:shd w:val="clear" w:color="auto" w:fill="CCEEFF"/>
          </w:tcPr>
          <w:p>
            <w:pPr>
              <w:jc w:val="center"/>
              <w:spacing w:after="0" w:line="123" w:lineRule="exact"/>
              <w:rPr>
                <w:sz w:val="20"/>
                <w:szCs w:val="20"/>
                <w:color w:val="auto"/>
              </w:rPr>
            </w:pPr>
            <w:r>
              <w:rPr>
                <w:rFonts w:ascii="Arial" w:cs="Arial" w:eastAsia="Arial" w:hAnsi="Arial"/>
                <w:sz w:val="14"/>
                <w:szCs w:val="14"/>
                <w:color w:val="auto"/>
                <w:w w:val="93"/>
              </w:rPr>
              <w:t>CEO, Chairman</w:t>
            </w: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239,250</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81"/>
              </w:rPr>
              <w:t>(1)</w:t>
            </w:r>
          </w:p>
        </w:tc>
        <w:tc>
          <w:tcPr>
            <w:tcW w:w="9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5.00</w:t>
            </w:r>
          </w:p>
        </w:tc>
        <w:tc>
          <w:tcPr>
            <w:tcW w:w="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23" w:lineRule="exact"/>
              <w:rPr>
                <w:sz w:val="20"/>
                <w:szCs w:val="20"/>
                <w:color w:val="auto"/>
              </w:rPr>
            </w:pPr>
            <w:r>
              <w:rPr>
                <w:rFonts w:ascii="Arial" w:cs="Arial" w:eastAsia="Arial" w:hAnsi="Arial"/>
                <w:sz w:val="14"/>
                <w:szCs w:val="14"/>
                <w:color w:val="auto"/>
              </w:rPr>
              <w:t>9/29/2021</w:t>
            </w:r>
          </w:p>
        </w:tc>
        <w:tc>
          <w:tcPr>
            <w:tcW w:w="1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884,220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3/31/2021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2,578,947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2/28/2029</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tcPr>
          <w:p>
            <w:pPr>
              <w:jc w:val="center"/>
              <w:spacing w:after="0" w:line="130" w:lineRule="exact"/>
              <w:rPr>
                <w:sz w:val="20"/>
                <w:szCs w:val="20"/>
                <w:color w:val="auto"/>
              </w:rPr>
            </w:pPr>
            <w:r>
              <w:rPr>
                <w:rFonts w:ascii="Arial" w:cs="Arial" w:eastAsia="Arial" w:hAnsi="Arial"/>
                <w:sz w:val="14"/>
                <w:szCs w:val="14"/>
                <w:color w:val="auto"/>
                <w:w w:val="88"/>
              </w:rPr>
              <w:t>James F. Haran</w:t>
            </w:r>
          </w:p>
        </w:tc>
        <w:tc>
          <w:tcPr>
            <w:tcW w:w="160" w:type="dxa"/>
            <w:vAlign w:val="bottom"/>
          </w:tcPr>
          <w:p>
            <w:pPr>
              <w:spacing w:after="0"/>
              <w:rPr>
                <w:sz w:val="11"/>
                <w:szCs w:val="11"/>
                <w:color w:val="auto"/>
              </w:rPr>
            </w:pPr>
          </w:p>
        </w:tc>
        <w:tc>
          <w:tcPr>
            <w:tcW w:w="920" w:type="dxa"/>
            <w:vAlign w:val="bottom"/>
            <w:gridSpan w:val="2"/>
          </w:tcPr>
          <w:p>
            <w:pPr>
              <w:jc w:val="center"/>
              <w:spacing w:after="0" w:line="130" w:lineRule="exact"/>
              <w:rPr>
                <w:sz w:val="20"/>
                <w:szCs w:val="20"/>
                <w:color w:val="auto"/>
              </w:rPr>
            </w:pPr>
            <w:r>
              <w:rPr>
                <w:rFonts w:ascii="Arial" w:cs="Arial" w:eastAsia="Arial" w:hAnsi="Arial"/>
                <w:sz w:val="14"/>
                <w:szCs w:val="14"/>
                <w:color w:val="auto"/>
                <w:w w:val="94"/>
              </w:rPr>
              <w:t>CFO</w:t>
            </w:r>
          </w:p>
        </w:tc>
        <w:tc>
          <w:tcPr>
            <w:tcW w:w="160" w:type="dxa"/>
            <w:vAlign w:val="bottom"/>
          </w:tcPr>
          <w:p>
            <w:pPr>
              <w:spacing w:after="0"/>
              <w:rPr>
                <w:sz w:val="11"/>
                <w:szCs w:val="11"/>
                <w:color w:val="auto"/>
              </w:rPr>
            </w:pPr>
          </w:p>
        </w:tc>
        <w:tc>
          <w:tcPr>
            <w:tcW w:w="780" w:type="dxa"/>
            <w:vAlign w:val="bottom"/>
          </w:tcPr>
          <w:p>
            <w:pPr>
              <w:jc w:val="right"/>
              <w:spacing w:after="0" w:line="130" w:lineRule="exact"/>
              <w:rPr>
                <w:sz w:val="20"/>
                <w:szCs w:val="20"/>
                <w:color w:val="auto"/>
              </w:rPr>
            </w:pPr>
            <w:r>
              <w:rPr>
                <w:rFonts w:ascii="Arial" w:cs="Arial" w:eastAsia="Arial" w:hAnsi="Arial"/>
                <w:sz w:val="14"/>
                <w:szCs w:val="14"/>
                <w:color w:val="auto"/>
              </w:rPr>
              <w:t>49,500</w:t>
            </w:r>
          </w:p>
        </w:tc>
        <w:tc>
          <w:tcPr>
            <w:tcW w:w="180" w:type="dxa"/>
            <w:vAlign w:val="bottom"/>
            <w:gridSpan w:val="2"/>
          </w:tcPr>
          <w:p>
            <w:pPr>
              <w:jc w:val="right"/>
              <w:spacing w:after="0" w:line="130" w:lineRule="exact"/>
              <w:rPr>
                <w:sz w:val="20"/>
                <w:szCs w:val="20"/>
                <w:color w:val="auto"/>
              </w:rPr>
            </w:pPr>
            <w:r>
              <w:rPr>
                <w:rFonts w:ascii="Arial" w:cs="Arial" w:eastAsia="Arial" w:hAnsi="Arial"/>
                <w:sz w:val="14"/>
                <w:szCs w:val="14"/>
                <w:color w:val="auto"/>
                <w:w w:val="93"/>
              </w:rPr>
              <w:t>(1)</w:t>
            </w:r>
          </w:p>
        </w:tc>
        <w:tc>
          <w:tcPr>
            <w:tcW w:w="900" w:type="dxa"/>
            <w:vAlign w:val="bottom"/>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jc w:val="right"/>
              <w:spacing w:after="0" w:line="130"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30" w:lineRule="exact"/>
              <w:rPr>
                <w:sz w:val="20"/>
                <w:szCs w:val="20"/>
                <w:color w:val="auto"/>
              </w:rPr>
            </w:pPr>
            <w:r>
              <w:rPr>
                <w:rFonts w:ascii="Arial" w:cs="Arial" w:eastAsia="Arial" w:hAnsi="Arial"/>
                <w:sz w:val="14"/>
                <w:szCs w:val="14"/>
                <w:color w:val="auto"/>
              </w:rPr>
              <w:t>5.00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spacing w:after="0" w:line="130" w:lineRule="exact"/>
              <w:rPr>
                <w:sz w:val="20"/>
                <w:szCs w:val="20"/>
                <w:color w:val="auto"/>
              </w:rPr>
            </w:pPr>
            <w:r>
              <w:rPr>
                <w:rFonts w:ascii="Arial" w:cs="Arial" w:eastAsia="Arial" w:hAnsi="Arial"/>
                <w:sz w:val="14"/>
                <w:szCs w:val="14"/>
                <w:color w:val="auto"/>
              </w:rPr>
              <w:t>9/29/2021</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189,468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3"/>
              </w:rPr>
              <w:t>(2)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3/31/2021</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552,632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w w:val="93"/>
              </w:rPr>
              <w:t>(3)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1.72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2/28/2029</w:t>
            </w:r>
          </w:p>
        </w:tc>
        <w:tc>
          <w:tcPr>
            <w:tcW w:w="14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52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Giuseppe Falco</w:t>
            </w:r>
          </w:p>
        </w:tc>
        <w:tc>
          <w:tcPr>
            <w:tcW w:w="1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spacing w:after="0" w:line="130" w:lineRule="exact"/>
              <w:rPr>
                <w:sz w:val="20"/>
                <w:szCs w:val="20"/>
                <w:color w:val="auto"/>
              </w:rPr>
            </w:pPr>
            <w:r>
              <w:rPr>
                <w:rFonts w:ascii="Arial" w:cs="Arial" w:eastAsia="Arial" w:hAnsi="Arial"/>
                <w:sz w:val="14"/>
                <w:szCs w:val="14"/>
                <w:color w:val="auto"/>
                <w:w w:val="93"/>
              </w:rPr>
              <w:t>President, COO</w:t>
            </w:r>
          </w:p>
        </w:tc>
        <w:tc>
          <w:tcPr>
            <w:tcW w:w="9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100,000</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w w:val="93"/>
              </w:rPr>
              <w:t>(1)</w:t>
            </w:r>
          </w:p>
        </w:tc>
        <w:tc>
          <w:tcPr>
            <w:tcW w:w="9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9/29/2021</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3/31/2021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3"/>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w w:val="95"/>
              </w:rPr>
              <w:t xml:space="preserve">Multiple dates </w:t>
            </w:r>
            <w:r>
              <w:rPr>
                <w:rFonts w:ascii="Arial" w:cs="Arial" w:eastAsia="Arial" w:hAnsi="Arial"/>
                <w:sz w:val="10"/>
                <w:szCs w:val="10"/>
                <w:color w:val="auto"/>
                <w:w w:val="95"/>
              </w:rPr>
              <w:t>(5)</w:t>
            </w:r>
          </w:p>
        </w:tc>
        <w:tc>
          <w:tcPr>
            <w:tcW w:w="8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195,333 (4)</w:t>
            </w:r>
          </w:p>
        </w:tc>
        <w:tc>
          <w:tcPr>
            <w:tcW w:w="2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w w:val="76"/>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236,353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options became exercisable on September 29, 2011, the date of grant, and expire on September 29, 2021.</w:t>
      </w:r>
    </w:p>
    <w:p>
      <w:pPr>
        <w:spacing w:after="0" w:line="236" w:lineRule="exact"/>
        <w:rPr>
          <w:rFonts w:ascii="Arial" w:cs="Arial" w:eastAsia="Arial" w:hAnsi="Arial"/>
          <w:sz w:val="17"/>
          <w:szCs w:val="17"/>
          <w:color w:val="auto"/>
        </w:rPr>
      </w:pPr>
    </w:p>
    <w:p>
      <w:pPr>
        <w:ind w:left="380" w:right="79" w:hanging="330"/>
        <w:spacing w:after="0" w:line="277"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become exercisable as to one-third of the shares on each of March 31, 2017, 2018, and 2019, and expire on March 31, 2021.</w:t>
      </w:r>
    </w:p>
    <w:p>
      <w:pPr>
        <w:spacing w:after="0" w:line="170"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shall become exercisable based upon the Company’s common stock achieving specified target prices as outlined in the executive’s employment agreement, and expire on February 28, 2029. See “Employment Agreements with Executives” in Item 10.</w:t>
      </w:r>
    </w:p>
    <w:p>
      <w:pPr>
        <w:spacing w:after="0" w:line="183" w:lineRule="exact"/>
        <w:rPr>
          <w:rFonts w:ascii="Arial" w:cs="Arial" w:eastAsia="Arial" w:hAnsi="Arial"/>
          <w:sz w:val="18"/>
          <w:szCs w:val="18"/>
          <w:color w:val="auto"/>
        </w:rPr>
      </w:pPr>
    </w:p>
    <w:p>
      <w:pPr>
        <w:jc w:val="both"/>
        <w:ind w:left="380" w:right="79" w:hanging="330"/>
        <w:spacing w:after="0" w:line="279" w:lineRule="auto"/>
        <w:tabs>
          <w:tab w:leader="none" w:pos="3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Such shares vest (i) as to 77,500 shares of common stock, on March 31, 2021; (ii) as to 37,500 shares of common stock, on May 15, 2021; (iii) as to 30,333 shares of common stock, on June 1, 2021; and (iv) as to 50,000 shares of common stock, on April 30, 2021; provided, however, that Mr. Falco has the right to extend each vesting date by six-month increments, in his sole discretion, prior to the date the restrictions would lapse.</w:t>
      </w:r>
    </w:p>
    <w:p>
      <w:pPr>
        <w:spacing w:after="0" w:line="171" w:lineRule="exact"/>
        <w:rPr>
          <w:rFonts w:ascii="Arial" w:cs="Arial" w:eastAsia="Arial" w:hAnsi="Arial"/>
          <w:sz w:val="17"/>
          <w:szCs w:val="17"/>
          <w:color w:val="auto"/>
        </w:rPr>
      </w:pPr>
    </w:p>
    <w:p>
      <w:pPr>
        <w:jc w:val="both"/>
        <w:ind w:left="380" w:right="79" w:hanging="330"/>
        <w:spacing w:after="0" w:line="263"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became exercisable as to one-fifth of the shares on each of January 1, 2018, 2019, and 2020, and shall become exercisable as to an additional one-fifth of the shares on each of January 1, 2021 and 2022, and expire at the five-year anniversary of each vesting date for each individual one-fifth tranche.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following table sets forth information with respect to each non-employee director’s compensation for the year ended December 31, 2020. The dollar amounts shown for Stock Awards represent the grant date fair value of the restricted stock awards or stock options granted during the fiscal year calculated in accordance with ASC Topic 718.</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Fees Earned</w:t>
            </w:r>
          </w:p>
        </w:tc>
        <w:tc>
          <w:tcPr>
            <w:tcW w:w="12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or Paid</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2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in Cash</w:t>
            </w: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DiSanto (1)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24,000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3,676</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27,676</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Michael R. Francis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3,676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12,676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Howard Liebman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31,676</w:t>
            </w:r>
          </w:p>
        </w:tc>
        <w:tc>
          <w:tcPr>
            <w:tcW w:w="0" w:type="dxa"/>
            <w:vAlign w:val="bottom"/>
          </w:tcPr>
          <w:p>
            <w:pPr>
              <w:spacing w:after="0"/>
              <w:rPr>
                <w:sz w:val="1"/>
                <w:szCs w:val="1"/>
                <w:color w:val="auto"/>
              </w:rPr>
            </w:pPr>
          </w:p>
        </w:tc>
      </w:tr>
      <w:tr>
        <w:trPr>
          <w:trHeight w:val="216"/>
        </w:trPr>
        <w:tc>
          <w:tcPr>
            <w:tcW w:w="5140" w:type="dxa"/>
            <w:vAlign w:val="bottom"/>
            <w:gridSpan w:val="3"/>
          </w:tcPr>
          <w:p>
            <w:pPr>
              <w:ind w:left="20"/>
              <w:spacing w:after="0"/>
              <w:rPr>
                <w:sz w:val="20"/>
                <w:szCs w:val="20"/>
                <w:color w:val="auto"/>
              </w:rPr>
            </w:pPr>
            <w:r>
              <w:rPr>
                <w:rFonts w:ascii="Arial" w:cs="Arial" w:eastAsia="Arial" w:hAnsi="Arial"/>
                <w:sz w:val="18"/>
                <w:szCs w:val="18"/>
                <w:color w:val="auto"/>
              </w:rPr>
              <w:t>Deborah Weinswig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24,000</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5"/>
              <w:spacing w:after="0"/>
              <w:rPr>
                <w:sz w:val="20"/>
                <w:szCs w:val="20"/>
                <w:color w:val="auto"/>
              </w:rPr>
            </w:pPr>
            <w:r>
              <w:rPr>
                <w:rFonts w:ascii="Arial" w:cs="Arial" w:eastAsia="Arial" w:hAnsi="Arial"/>
                <w:sz w:val="18"/>
                <w:szCs w:val="18"/>
                <w:color w:val="auto"/>
              </w:rPr>
              <w:t>3,676</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80"/>
              <w:spacing w:after="0"/>
              <w:rPr>
                <w:sz w:val="20"/>
                <w:szCs w:val="20"/>
                <w:color w:val="auto"/>
              </w:rPr>
            </w:pPr>
            <w:r>
              <w:rPr>
                <w:rFonts w:ascii="Arial" w:cs="Arial" w:eastAsia="Arial" w:hAnsi="Arial"/>
                <w:sz w:val="18"/>
                <w:szCs w:val="18"/>
                <w:color w:val="auto"/>
              </w:rPr>
              <w:t>27,676</w:t>
            </w:r>
          </w:p>
        </w:tc>
        <w:tc>
          <w:tcPr>
            <w:tcW w:w="0" w:type="dxa"/>
            <w:vAlign w:val="bottom"/>
          </w:tcPr>
          <w:p>
            <w:pPr>
              <w:spacing w:after="0"/>
              <w:rPr>
                <w:sz w:val="1"/>
                <w:szCs w:val="1"/>
                <w:color w:val="auto"/>
              </w:rPr>
            </w:pPr>
          </w:p>
        </w:tc>
      </w:tr>
      <w:tr>
        <w:trPr>
          <w:trHeight w:val="216"/>
        </w:trPr>
        <w:tc>
          <w:tcPr>
            <w:tcW w:w="5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James Fielding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rPr>
              <w:t>15,676</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80" w:right="79" w:hanging="330"/>
        <w:spacing w:after="0" w:line="279" w:lineRule="auto"/>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April 1, 2020, each non-employee director was granted options to purchase 40,000 shares of stock pursuant to the terms and conditions of the Plan. Such options will vest evenly over two years, whereby 50% shall vest on April 1, 2021 and 50% shall vest on April 1, 2022. The exercise price of the options is $0.50 per share. There were no restricted stock awards granted to non-employee directors for the year ended December 31, 2020.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2011 Equity Incentive Plan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Our Amended and Restated 2011 Equity Incentive Plan, which we refer to as the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Plan provides for the grant of stock options or restricted stock. The stock options may be incentive stock options or non-qualified stock options. A total of 13,000,000 shares of common stock have been reserved for issuance under the Plan, the maximum number of shares of common stock with respect to which incentive stock options may be granted under the Plan is 5,000,000 and the maximum number of shares of common stock with respect to which options or restricted stock may be granted to any participant is 10,000,000. The Plan may be administered by the board of directors or a committee consisting of two or more members of the board of directors appointed by the board of directors.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Officers and other employees of Xcel or any parent or subsidiary of Xcel who are at the time of the grant of an award employed by us or any parent or subsidiary of Xcel are eligible to be granted options or other awards under the Plan. In addition, non-qualified stock options and other awards may be granted under the Plan to any person, including, but not limited to, directors, independent agents, consultants and attorneys who the board of directors or the committee, as the case may be, believes has contributed or will contribute to our success.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Cash awards may be issued under the Plan either alone or in addition to or in tandem with other awards granted under the Plan or other payments made to a participant not under the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The maximum cash award that may be paid to any participant under the Plan during any calendar year shall not exceed $2,500,000.</w:t>
      </w:r>
    </w:p>
    <w:p>
      <w:pPr>
        <w:spacing w:after="0" w:line="17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6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Under the Plan, we may not, in the aggregate, grant incentive stock options that are first exercisable by any individual optionee during any calendar year (under all such plans of the optionee’s employer corporation and its “parent” and “subsidiary” corporations, as those terms are defined in Section 424 of the Internal Revenue Code) to the extent that the aggregate fair market value of the underlying stock (determined at the time the option is granted) exceeds $100,000.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96"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All stock options and certain stock awards, performance awards, cash awards and stock units granted under the Plan, and the compensation attributable to such awards, are intended to (i) qualify as performance-based awards or (ii) be otherwise exempt from the deduction limitation imposed by Internal Revenue Code Section 162(m). No options or other awards may be granted on or after the fifth anniversary of the effective date of the Plan.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color w:val="auto"/>
        </w:rPr>
        <w:t>The following table lists, as of March 1, 2021, the number of shares of common stock beneficially owned by (i) each person or entity known to the Company to be the beneficial owner of more than 5% of the outstanding common stock;</w:t>
      </w:r>
    </w:p>
    <w:p>
      <w:pPr>
        <w:jc w:val="both"/>
        <w:ind w:left="60" w:right="59" w:hanging="10"/>
        <w:spacing w:after="0" w:line="285" w:lineRule="auto"/>
        <w:tabs>
          <w:tab w:leader="none" w:pos="337"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each named executive officer and director of the Company, and (iii) all officers and directors as a group. Information relating to beneficial ownership of common stock by our principal stockholders and management is based upon 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1333 Broadway, 10th Floor, New York, New York 10018.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percentages below are calculated based on 19,260,862 shares of common stock issued and outstanding as of March 1, 2021:</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of Common</w:t>
            </w: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6660" w:type="dxa"/>
            <w:vAlign w:val="bottom"/>
            <w:gridSpan w:val="3"/>
            <w:vMerge w:val="continue"/>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Robert W. D’Loren (1)</w:t>
            </w:r>
          </w:p>
        </w:tc>
        <w:tc>
          <w:tcPr>
            <w:tcW w:w="940" w:type="dxa"/>
            <w:vAlign w:val="bottom"/>
          </w:tcPr>
          <w:p>
            <w:pPr>
              <w:jc w:val="right"/>
              <w:spacing w:after="0"/>
              <w:rPr>
                <w:sz w:val="20"/>
                <w:szCs w:val="20"/>
                <w:color w:val="auto"/>
              </w:rPr>
            </w:pPr>
            <w:r>
              <w:rPr>
                <w:rFonts w:ascii="Arial" w:cs="Arial" w:eastAsia="Arial" w:hAnsi="Arial"/>
                <w:sz w:val="18"/>
                <w:szCs w:val="18"/>
                <w:color w:val="auto"/>
              </w:rPr>
              <w:t>9,592,365</w:t>
            </w:r>
          </w:p>
        </w:tc>
        <w:tc>
          <w:tcPr>
            <w:tcW w:w="2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47.06 %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F. Haran (2)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442,986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Giuseppe Falco (3)</w:t>
            </w:r>
          </w:p>
        </w:tc>
        <w:tc>
          <w:tcPr>
            <w:tcW w:w="940" w:type="dxa"/>
            <w:vAlign w:val="bottom"/>
          </w:tcPr>
          <w:p>
            <w:pPr>
              <w:jc w:val="right"/>
              <w:spacing w:after="0"/>
              <w:rPr>
                <w:sz w:val="20"/>
                <w:szCs w:val="20"/>
                <w:color w:val="auto"/>
              </w:rPr>
            </w:pPr>
            <w:r>
              <w:rPr>
                <w:rFonts w:ascii="Arial" w:cs="Arial" w:eastAsia="Arial" w:hAnsi="Arial"/>
                <w:sz w:val="18"/>
                <w:szCs w:val="18"/>
                <w:color w:val="auto"/>
              </w:rPr>
              <w:t>853,912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Seth Burroughs (4)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486,861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Howard Liebman (5)</w:t>
            </w:r>
          </w:p>
        </w:tc>
        <w:tc>
          <w:tcPr>
            <w:tcW w:w="940" w:type="dxa"/>
            <w:vAlign w:val="bottom"/>
          </w:tcPr>
          <w:p>
            <w:pPr>
              <w:jc w:val="right"/>
              <w:spacing w:after="0"/>
              <w:rPr>
                <w:sz w:val="20"/>
                <w:szCs w:val="20"/>
                <w:color w:val="auto"/>
              </w:rPr>
            </w:pPr>
            <w:r>
              <w:rPr>
                <w:rFonts w:ascii="Arial" w:cs="Arial" w:eastAsia="Arial" w:hAnsi="Arial"/>
                <w:sz w:val="18"/>
                <w:szCs w:val="18"/>
                <w:color w:val="auto"/>
              </w:rPr>
              <w:t>203,665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DiSanto (6)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1,574,176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Michael R. Francis (7)</w:t>
            </w:r>
          </w:p>
        </w:tc>
        <w:tc>
          <w:tcPr>
            <w:tcW w:w="940" w:type="dxa"/>
            <w:vAlign w:val="bottom"/>
          </w:tcPr>
          <w:p>
            <w:pPr>
              <w:jc w:val="right"/>
              <w:spacing w:after="0"/>
              <w:rPr>
                <w:sz w:val="20"/>
                <w:szCs w:val="20"/>
                <w:color w:val="auto"/>
              </w:rPr>
            </w:pPr>
            <w:r>
              <w:rPr>
                <w:rFonts w:ascii="Arial" w:cs="Arial" w:eastAsia="Arial" w:hAnsi="Arial"/>
                <w:sz w:val="18"/>
                <w:szCs w:val="18"/>
                <w:color w:val="auto"/>
              </w:rPr>
              <w:t>196,500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Weinswig (8)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James Fielding (9)</w:t>
            </w:r>
          </w:p>
        </w:tc>
        <w:tc>
          <w:tcPr>
            <w:tcW w:w="940" w:type="dxa"/>
            <w:vAlign w:val="bottom"/>
          </w:tcPr>
          <w:p>
            <w:pPr>
              <w:jc w:val="right"/>
              <w:spacing w:after="0"/>
              <w:rPr>
                <w:sz w:val="20"/>
                <w:szCs w:val="20"/>
                <w:color w:val="auto"/>
              </w:rPr>
            </w:pPr>
            <w:r>
              <w:rPr>
                <w:rFonts w:ascii="Arial" w:cs="Arial" w:eastAsia="Arial" w:hAnsi="Arial"/>
                <w:sz w:val="18"/>
                <w:szCs w:val="18"/>
                <w:color w:val="auto"/>
              </w:rPr>
              <w:t>22,500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(9 persons)(10)</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13,326,940</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Shareholders: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Isaac Mizrahi (11)</w:t>
            </w:r>
          </w:p>
        </w:tc>
        <w:tc>
          <w:tcPr>
            <w:tcW w:w="940" w:type="dxa"/>
            <w:vAlign w:val="bottom"/>
          </w:tcPr>
          <w:p>
            <w:pPr>
              <w:jc w:val="right"/>
              <w:spacing w:after="0"/>
              <w:rPr>
                <w:sz w:val="20"/>
                <w:szCs w:val="20"/>
                <w:color w:val="auto"/>
              </w:rPr>
            </w:pPr>
            <w:r>
              <w:rPr>
                <w:rFonts w:ascii="Arial" w:cs="Arial" w:eastAsia="Arial" w:hAnsi="Arial"/>
                <w:sz w:val="18"/>
                <w:szCs w:val="18"/>
                <w:color w:val="auto"/>
              </w:rPr>
              <w:t>2,773,325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Hilco Trading, LLC (12)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1,667,767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5 Revere Drive, Suite 206, Northbrook, IL 60062</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Burch Acquisition LLC (13)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840 First Avenue, Suite 200, King of Prussia, PA 19406</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jc w:val="both"/>
        <w:ind w:left="440" w:right="79" w:hanging="390"/>
        <w:spacing w:after="0" w:line="287" w:lineRule="auto"/>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(i) 1,432,966 shares held by Mr. D’Loren, (ii) 607,317 shares owned by Irrevocable Trust of Rose Dempsey (or the Irrevocable Trust) of which Mr. D’Loren and Mr. DiSanto are the trustees and as to which Mr. D’Loren has sole voting and dispositive power, (iii) 1,123,470 shares issuable upon exercise of immediately exercisable options and warrants, (iv) 2,473,325 shares of common stock (including 522,500 restricted shares) held in the name of Isaac Mizrahi, and (v) 3,955,287 shares of common stock (including 77,500 restricted shares) as to which holders thereof granted to Mr. D’Loren irrevocable proxy and attorney-in-fact with respect to the shares. Certain holders or grantees have entered into certain agreements, pursuant to which appoint a person designated by our board of directors as their irrevocable proxy and attorney-in-fact with respect to the shares set forth in clauses (iv) and (v). Mr. D’Loren does not have any pecuniary interest in these shares described in clauses (iv) and (v) and disclaims beneficial ownership thereof. Does not include 326,671 shares held by the D’Loren Family Trust (or the Family Trust) of which Mark DiSanto is a trustee and has sole voting and dispositive power.</w:t>
      </w:r>
    </w:p>
    <w:p>
      <w:pPr>
        <w:spacing w:after="0" w:line="171" w:lineRule="exact"/>
        <w:rPr>
          <w:rFonts w:ascii="Arial" w:cs="Arial" w:eastAsia="Arial" w:hAnsi="Arial"/>
          <w:sz w:val="16"/>
          <w:szCs w:val="16"/>
          <w:color w:val="auto"/>
        </w:rPr>
      </w:pPr>
    </w:p>
    <w:p>
      <w:pPr>
        <w:ind w:left="440" w:hanging="390"/>
        <w:spacing w:after="0"/>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(i) 204,418 shares and (ii) immediately exercisable options and warrants to purchase 238,968 shares.</w:t>
      </w:r>
    </w:p>
    <w:p>
      <w:pPr>
        <w:spacing w:after="0" w:line="236" w:lineRule="exact"/>
        <w:rPr>
          <w:rFonts w:ascii="Arial" w:cs="Arial" w:eastAsia="Arial" w:hAnsi="Arial"/>
          <w:sz w:val="17"/>
          <w:szCs w:val="17"/>
          <w:color w:val="auto"/>
        </w:rPr>
      </w:pPr>
    </w:p>
    <w:p>
      <w:pPr>
        <w:ind w:left="440" w:right="79" w:hanging="390"/>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58,579 shares, (ii) 195,333 restricted shares, and (iii) 600,000 shares issuable upon exercise of immediately exercisable warrants and options.</w:t>
      </w:r>
    </w:p>
    <w:p>
      <w:pPr>
        <w:spacing w:after="0" w:line="170" w:lineRule="exact"/>
        <w:rPr>
          <w:rFonts w:ascii="Arial" w:cs="Arial" w:eastAsia="Arial" w:hAnsi="Arial"/>
          <w:sz w:val="18"/>
          <w:szCs w:val="18"/>
          <w:color w:val="auto"/>
        </w:rPr>
      </w:pPr>
    </w:p>
    <w:p>
      <w:pPr>
        <w:ind w:left="440" w:hanging="390"/>
        <w:spacing w:after="0"/>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of (i) 310,549 shares and (ii) immediately exercisable options and warrants to purchase 176,312 shares.</w:t>
      </w:r>
    </w:p>
    <w:p>
      <w:pPr>
        <w:spacing w:after="0" w:line="236" w:lineRule="exact"/>
        <w:rPr>
          <w:rFonts w:ascii="Arial" w:cs="Arial" w:eastAsia="Arial" w:hAnsi="Arial"/>
          <w:sz w:val="17"/>
          <w:szCs w:val="17"/>
          <w:color w:val="auto"/>
        </w:rPr>
      </w:pPr>
    </w:p>
    <w:p>
      <w:pPr>
        <w:ind w:left="440" w:right="79" w:hanging="390"/>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36,165 shares, (ii) 30,000 restricted shares, and (iii) immediately exercisable options to purchase 137,500 shares.</w:t>
      </w:r>
    </w:p>
    <w:p>
      <w:pPr>
        <w:spacing w:after="0" w:line="170" w:lineRule="exact"/>
        <w:rPr>
          <w:rFonts w:ascii="Arial" w:cs="Arial" w:eastAsia="Arial" w:hAnsi="Arial"/>
          <w:sz w:val="18"/>
          <w:szCs w:val="18"/>
          <w:color w:val="auto"/>
        </w:rPr>
      </w:pPr>
    </w:p>
    <w:p>
      <w:pPr>
        <w:jc w:val="both"/>
        <w:ind w:left="440" w:right="79" w:hanging="390"/>
        <w:spacing w:after="0" w:line="311" w:lineRule="auto"/>
        <w:tabs>
          <w:tab w:leader="none" w:pos="4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(i) 326,671 shares held by the D’Loren Family Trust, of which Mark DiSanto is trustee and has sole voting and dispositive power over the shares held by the D’Loren Family Trust, (ii) 1,022,613 shares held by Mark X. DiSanto Investment Trust, of which Mark DiSanto is trustee and has sole voting and dispositive power over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440" w:right="79"/>
        <w:spacing w:after="0" w:line="263" w:lineRule="auto"/>
        <w:rPr>
          <w:sz w:val="20"/>
          <w:szCs w:val="20"/>
          <w:color w:val="auto"/>
        </w:rPr>
      </w:pPr>
      <w:r>
        <w:rPr>
          <w:rFonts w:ascii="Arial" w:cs="Arial" w:eastAsia="Arial" w:hAnsi="Arial"/>
          <w:sz w:val="18"/>
          <w:szCs w:val="18"/>
          <w:color w:val="auto"/>
        </w:rPr>
        <w:t>shares held by the Trust, (iii) 5,000 restricted shares, (iv) 137,500 shares issuable upon exercise of warrants and options that have vested, and (v) 82,392 shares held by other trusts, of which Mark DiSanto is trustee and has sole voting and dispositive power over the shares held by the trusts.</w:t>
      </w:r>
    </w:p>
    <w:p>
      <w:pPr>
        <w:spacing w:after="0" w:line="184" w:lineRule="exact"/>
        <w:rPr>
          <w:sz w:val="20"/>
          <w:szCs w:val="20"/>
          <w:color w:val="auto"/>
        </w:rPr>
      </w:pPr>
    </w:p>
    <w:p>
      <w:pPr>
        <w:ind w:left="440" w:right="79" w:hanging="390"/>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104,000 shares, (ii) 5,000 restricted shares and (iii) immediately exercisable options to purchase 87,500 shares.</w:t>
      </w:r>
    </w:p>
    <w:p>
      <w:pPr>
        <w:spacing w:after="0" w:line="170" w:lineRule="exact"/>
        <w:rPr>
          <w:rFonts w:ascii="Arial" w:cs="Arial" w:eastAsia="Arial" w:hAnsi="Arial"/>
          <w:sz w:val="18"/>
          <w:szCs w:val="18"/>
          <w:color w:val="auto"/>
        </w:rPr>
      </w:pPr>
    </w:p>
    <w:p>
      <w:pPr>
        <w:ind w:left="440" w:hanging="39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18,000 restricted shares and (ii) immediately exercisable options to purchase 37,500 shares.</w:t>
      </w:r>
    </w:p>
    <w:p>
      <w:pPr>
        <w:spacing w:after="0" w:line="225" w:lineRule="exact"/>
        <w:rPr>
          <w:rFonts w:ascii="Arial" w:cs="Arial" w:eastAsia="Arial" w:hAnsi="Arial"/>
          <w:sz w:val="18"/>
          <w:szCs w:val="18"/>
          <w:color w:val="auto"/>
        </w:rPr>
      </w:pPr>
    </w:p>
    <w:p>
      <w:pPr>
        <w:ind w:left="440" w:right="79" w:hanging="390"/>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5,000 shares, (ii) 5,000 restricted shares, and (iii) immediately exercisable options to purchase 12,500 shares.</w:t>
      </w:r>
    </w:p>
    <w:p>
      <w:pPr>
        <w:spacing w:after="0" w:line="170" w:lineRule="exact"/>
        <w:rPr>
          <w:rFonts w:ascii="Arial" w:cs="Arial" w:eastAsia="Arial" w:hAnsi="Arial"/>
          <w:sz w:val="18"/>
          <w:szCs w:val="18"/>
          <w:color w:val="auto"/>
        </w:rPr>
      </w:pPr>
    </w:p>
    <w:p>
      <w:pPr>
        <w:jc w:val="both"/>
        <w:ind w:left="440" w:right="79" w:hanging="390"/>
        <w:spacing w:after="0" w:line="259"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 4,190,270 shares, (ii) 258,333 restricted shares, (iii) 438,750 shares issuable upon exercise of warrants that are currently exercisable, (iv) 2,112,500 shares issuable upon exercise of options that are currently exercisable, and (v) 6,428,612 other shares of common stock as to which holders thereof granted to Mr. D’Loren irrevocable proxy and attorney-in-fact with respect to the shares.</w:t>
      </w:r>
    </w:p>
    <w:p>
      <w:pPr>
        <w:spacing w:after="0" w:line="186" w:lineRule="exact"/>
        <w:rPr>
          <w:rFonts w:ascii="Arial" w:cs="Arial" w:eastAsia="Arial" w:hAnsi="Arial"/>
          <w:sz w:val="18"/>
          <w:szCs w:val="18"/>
          <w:color w:val="auto"/>
        </w:rPr>
      </w:pPr>
    </w:p>
    <w:p>
      <w:pPr>
        <w:ind w:left="440" w:right="79" w:hanging="390"/>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(i) 1,950,825 shares, (ii) 522,500 restricted shares, and (iii) immediately exercisable options to purchase 300,000 shares.</w:t>
      </w:r>
    </w:p>
    <w:p>
      <w:pPr>
        <w:spacing w:after="0" w:line="170" w:lineRule="exact"/>
        <w:rPr>
          <w:rFonts w:ascii="Arial" w:cs="Arial" w:eastAsia="Arial" w:hAnsi="Arial"/>
          <w:sz w:val="18"/>
          <w:szCs w:val="18"/>
          <w:color w:val="auto"/>
        </w:rPr>
      </w:pPr>
    </w:p>
    <w:p>
      <w:pPr>
        <w:jc w:val="both"/>
        <w:ind w:left="440" w:right="79" w:hanging="390"/>
        <w:spacing w:after="0" w:line="285"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H Company IP, LLC, or HIP, directly owns 1,000,000 shares of common stock, which we refer to as the H Company Shares. House of Halston, LLC, or HOH, is the parent company of HIP and may be deemed to share beneficial ownership of the H Company Shares by virtue of its ability to direct the business and investment decisions of HIP. The H Investment Company, LLC, or H Investment, in its capacity as the controlling member of HOH, has the ability to direct the investment decisions of HOH, including the power to direct the decisions of HOH regarding the disposition of the H Company Shares; therefore, H Investment may be deemed to beneficially own the H Company Shares. Hilco Brands, LLC, or Hilco Brands, in its capacity as a member of the Board of Managers of H Investment, has the ability to direct the management of H Investment’s business, including the power to direct the decisions of H Investment regarding the voting and disposition of the H Company Shares; therefore, Hilco Brands may be deemed to have indirect beneficial ownership of the H Company Shares. Hilco Trading, LLC, or Hilco Trading, is the parent company of Hilco Brands and may be deemed to share beneficial ownership of the H Company Shares by virtue of its ability to direct the business and investment decisions of Hilco Brands. Hilco Trading also directly owns 667,767 shares of our outstanding common stock, which we refer to as the Hilco Shares. By virtue of the relationship described above and its direct ownership of the Hilco Shares, Hilco Trading beneficially owns 1,667,767 shares of our common stock. Jeffrey Bruce Hecktman is the majority owner of Hilco Trading and may be deemed to share beneficial ownership of the H Company Shares and the Hilco Shares by virtue of his ability to direct the business and investment decisions of Hilco Trading. By virtue of this relationship, Mr. Hecktman may be deemed to have indirect beneficial ownership of 1,667,767 shares of our common stock.</w:t>
      </w:r>
    </w:p>
    <w:p>
      <w:pPr>
        <w:spacing w:after="0" w:line="171" w:lineRule="exact"/>
        <w:rPr>
          <w:rFonts w:ascii="Arial" w:cs="Arial" w:eastAsia="Arial" w:hAnsi="Arial"/>
          <w:sz w:val="16"/>
          <w:szCs w:val="16"/>
          <w:color w:val="auto"/>
        </w:rPr>
      </w:pPr>
    </w:p>
    <w:p>
      <w:pPr>
        <w:ind w:left="440" w:hanging="390"/>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of 1,000,000 shares of common stock.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Benjamin Malka</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Benjamin Malka was a director of the Company from June 2014 through September 2019. Mr. Malka is also a 25% equity holder of House of Halston LLC (“HOH”), and is the former Chief Executive Officer of HOH. HOH is the parent company of the H Company IP, LLC (“HIP”).</w:t>
      </w:r>
    </w:p>
    <w:p>
      <w:pPr>
        <w:spacing w:after="0" w:line="184"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On February 11, 2019, the Company and its wholly owned subsidiary, H Heritage Licensing, LLC, entered into an asset purchase agreement (the "Heritage Asset Purchase Agreement") with HIP and HOH, pursuant to which the Company acquired certain assets of HIP, including the "Halston," "Halston Heritage," and "Roy Frowick" trademarks (collectively, the "Halston Heritage Trademarks") and other intellectual property rights relating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Pursuant to the Heritage Asset Purchase Agreement, at closing, the Company delivered in escrow for HIP or its designees (collectively, the “Sellers”) an aggregate of $8.4 million in cash and 777,778 shares of the Company’s common stock valued at $1.1 million (the “Xcel Shares”), subject to a voting agreement and a lock-up agreement relating to the Xcel Shares and a consent and waiver agreement each in form satisfactory to Xcel within three months from the date of the Heritage Asset Purchase Agreement. Such agreements were executed and delivered to Xcel, and the Xcel Shares were issued and delivered to the Sellers.</w:t>
      </w:r>
    </w:p>
    <w:p>
      <w:pPr>
        <w:spacing w:after="0" w:line="192"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In addition to the closing considerations, HIP is eligible to earn up to an aggregate of $6.0 million (the “Earn-Out Value”) through December 31, 2022 based on Excess Net Royalties. “Excess Net Royalties” during any calendar year for 2019 through 2022 (each, a “Royalty Target Year”) is equal to (a) the positive amount, if any, of the Net Royalties as calculated for such Royalty Target Year, less the greater of (i) One Million Five Hundred Thousand Dollars ($1.5 million), or (ii) the maximum Net Royalties for any previous Royalty Target Year. “Applicable Percentage” means (a) 50% of the first $10.0 million of Excess Net Royalties during the Earn-Out Period, (b) 20% of aggregate Excess Net Royalties during the Earn-Out Period greater than $10.0 million and up to $15.0 million and (c) 0% of aggregate Excess Net Royalties during the Earn-Out Period in excess of $15.0 million. The Earn-Out Consideration shall be payable in common stock of Xcel (the “Earn-Out Shares”); provided, however, that if the number of Earn-Out Shares, when combined with the number of Xcel Shares issued at the Closing Date, will exceed 4.99% of the aggregate number of shares of Xcel common stock outstanding as of the Closing Date (calculated in accordance with Nasdaq Rule 5635(a)) (the “Xcel Share Limit”), then Xcel may, in its sole and unfettered discretion, elect to (x) pay cash for the Earn-Out Value attributable to the Earn-Out Shares that would exceed the Xcel Share Limit; (y) solicit stockholder approval for the issuance of Earn-Out Shares in excess of the Xcel Share Limit in accordance with Nasdaq Rule 5635(a)(2) and, if such stockholder approval is obtained, issue such Earn-Out Shares to HIP; or (z) solicit stockholder approval for the issuance of Shares in excess of the Xcel Share Limit in accordance with Nasdaq Rule 5635(a)(2) and, if such stockholder approval is obtained, pay the applicable Earn-Out Consideration with a combination of cash and Earn-Out Shares.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Hilco Trading, LLC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Hilco Trading, LLC ("Hilco") directly and indirectly owns greater than 5% of the Company's common stock, and its affiliate Hilco Global owns 50% of the equity of Longaberger Licensing, LLC. During the year ended December 31, 2020, the Company sold certain apparel products to an affiliate of Hilco, and recognized $0.15 million of revenue from this transaction. Additionally, during the year ended December 31, 2020, the Company sold certain intangible assets of Longaberger Licensing, LLC to a third party; an affiliate of Hilco earned and was paid a commission of $0.05 million related to the sale of these assets.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Robert W. D’Loren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Jennifer D’Loren is the wife of Robert W. D’Loren, the Company’s Chief Executive Officer and Chairman of the Board, and is employed by the Company. Mrs. D’Loren brings vast experience in project management and implementation of financial IT solutions. During the past two years, Mrs. D’Loren has worked on the implementation of the Company’s ERP system. Mrs. D’Loren received compensation of $0.14 million and $0.17 million for the years ended December 31, 2020 and 2019,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Isaac Mizrahi</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February 24, 2020, the Company entered into an employment agreement with Isaac Mizrahi, a principal stockholder of the Company, for Mr. Mizrahi to continue to serve as Chief Design Officer of the Isaac Mizrahi Brand. The term of the employment agreement expires on December 31, 2022, subject to earlier termination, and may be extended, at the Company’s option, for two successive one-year terms (each, a “Renewal Period”). Mr. Mizrahi’s base salary shall be $1.8 million, $2.0 million, and $2.1 million per annum during the term of the agreement and $2.25 million and $2.4 million during 2023 and 2024 if the term is extended, in each case, subject to adjustment in the event Mr. Mizrahi does not make a specified number of appearances on QVC. Mr. Mizrahi shall be eligible to receive an annual cash bonus (the “Bonus”) up to an amount equal to $2.5 million less base salary for 2020 and $3.0 million less base salary for 2021, 2022, and any year during the Renewal Period. The Bonus shall consist of the DRT Revenue, Bonus, the Brick-and-Mortar Bonus, the Endorsement Bonus and the Monday Bonus, if any, as determined in accordance with the below:</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700" w:right="79" w:hanging="326"/>
        <w:spacing w:after="0" w:line="263"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“DRT Bonus” means for any calendar year an amount equal to 10% of the aggregate net revenue related to sales of Isaac Mizrahi Brand products through direct response television. The DRT Revenue Bonus shall be reduced by the amount of the Monday Bonus.</w:t>
      </w:r>
    </w:p>
    <w:p>
      <w:pPr>
        <w:spacing w:after="0" w:line="183" w:lineRule="exact"/>
        <w:rPr>
          <w:rFonts w:ascii="Arial" w:cs="Arial" w:eastAsia="Arial" w:hAnsi="Arial"/>
          <w:sz w:val="18"/>
          <w:szCs w:val="18"/>
          <w:color w:val="auto"/>
        </w:rPr>
      </w:pPr>
    </w:p>
    <w:p>
      <w:pPr>
        <w:ind w:left="700" w:right="79" w:hanging="326"/>
        <w:spacing w:after="0" w:line="308" w:lineRule="auto"/>
        <w:tabs>
          <w:tab w:leader="none" w:pos="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“Brick-and-Mortar Bonus” means for any calendar year an amount equal to 10% of the net revenues from sales of products under the Isaac Mizrahi Brand, excluding DRT revenue and endorsement revenues.</w:t>
      </w:r>
    </w:p>
    <w:p>
      <w:pPr>
        <w:spacing w:after="0" w:line="146" w:lineRule="exact"/>
        <w:rPr>
          <w:rFonts w:ascii="Arial" w:cs="Arial" w:eastAsia="Arial" w:hAnsi="Arial"/>
          <w:sz w:val="17"/>
          <w:szCs w:val="17"/>
          <w:color w:val="auto"/>
        </w:rPr>
      </w:pPr>
    </w:p>
    <w:p>
      <w:pPr>
        <w:jc w:val="both"/>
        <w:ind w:left="700" w:right="79" w:hanging="326"/>
        <w:spacing w:after="0" w:line="259"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“Endorsement Bonus” means for any calendar year an amount equal to 40% of revenues derived from projects undertaken by the Company with one or more third parties solely for Mr. Mizrahi to endorse the third party’s products through the use of Mr. Mizrahi’s name, likeness, and/or image, and neither the Company nor Mr. Mizrahi provides licensing or design.</w:t>
      </w:r>
    </w:p>
    <w:p>
      <w:pPr>
        <w:spacing w:after="0" w:line="186"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“Monday Bonus” means $10,000 for each appearance by Mr. Mizrahi on the QVC channel on Mondays (subject to certain expectations) up to a maximum of 40 such appearances in a calendar year.</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Mr. Mizrahi is required to devote his full business time and attention to the business and affairs of the Company and its subsidiaries; however, Mr. Mizrahi is the principal of IM Ready-Made, LLC and Laugh Club, Inc. (“Laugh Club”), and accordingly, he may undertake promotional activities related thereto (including the promotion of his name, image, and likeness) through television, video, and other media (and retain any compensation he receives for such activities) (referred to as “Retained Media Rights”) so long as such activities (i) do not utilize the IM Trademarks, (ii) do not have a mutually negative impact upon or materially conflict with Mr. Mizrahi’s duties under the employment agreement, or (iii) are consented to by the Company. The Company believes that it benefits from Mr. Mizrahi’s independent promotional activities by increased brand awareness of IM Brands and the IM Trademarks.</w:t>
      </w:r>
    </w:p>
    <w:p>
      <w:pPr>
        <w:spacing w:after="0" w:line="17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i w:val="1"/>
          <w:iCs w:val="1"/>
          <w:color w:val="auto"/>
        </w:rPr>
        <w:t xml:space="preserve">Severance. </w:t>
      </w:r>
      <w:r>
        <w:rPr>
          <w:rFonts w:ascii="Arial" w:cs="Arial" w:eastAsia="Arial" w:hAnsi="Arial"/>
          <w:sz w:val="16"/>
          <w:szCs w:val="16"/>
          <w:color w:val="auto"/>
        </w:rPr>
        <w:t>If Mr. Mizrahi’s employment is terminated by the Company without “cause,” or if Mr. Mizrahi resigns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 reason,” then Mr. Mizrahi will be entitled to receive his unpaid base salary and cash bonuses through the termination date and an amount equal to his base salary in effect on the termination date for the longer of six months and the remainder of the then-current term, but in no event exceeding 18 months. If Mr. Mizrahi’s employment is terminated by the Company without “cause” or if Mr. Mizrahi resigns with “good reason,” within six months following a change of control (as defined in the employment agreement), Mr. Mizrahi shall be eligible to receive a lump-sum payment equal to two times the sum of</w:t>
      </w:r>
    </w:p>
    <w:p>
      <w:pPr>
        <w:spacing w:after="0" w:line="4" w:lineRule="exact"/>
        <w:rPr>
          <w:sz w:val="20"/>
          <w:szCs w:val="20"/>
          <w:color w:val="auto"/>
        </w:rPr>
      </w:pPr>
    </w:p>
    <w:p>
      <w:pPr>
        <w:ind w:left="280" w:hanging="230"/>
        <w:spacing w:after="0"/>
        <w:tabs>
          <w:tab w:leader="none" w:pos="2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his base salary (at an average rate that would have been in effect for such two year period following termination) plus</w:t>
      </w:r>
    </w:p>
    <w:p>
      <w:pPr>
        <w:spacing w:after="0" w:line="32" w:lineRule="exact"/>
        <w:rPr>
          <w:rFonts w:ascii="Arial" w:cs="Arial" w:eastAsia="Arial" w:hAnsi="Arial"/>
          <w:sz w:val="16"/>
          <w:szCs w:val="16"/>
          <w:color w:val="auto"/>
        </w:rPr>
      </w:pPr>
    </w:p>
    <w:p>
      <w:pPr>
        <w:ind w:left="320" w:hanging="270"/>
        <w:spacing w:after="0"/>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bonus paid or due to Mr. Mizrahi in the year prior to the change in control.</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i w:val="1"/>
          <w:iCs w:val="1"/>
          <w:color w:val="auto"/>
        </w:rPr>
        <w:t xml:space="preserve">Non-Competition and Non-Solicitation. </w:t>
      </w:r>
      <w:r>
        <w:rPr>
          <w:rFonts w:ascii="Arial" w:cs="Arial" w:eastAsia="Arial" w:hAnsi="Arial"/>
          <w:sz w:val="16"/>
          <w:szCs w:val="16"/>
          <w:color w:val="auto"/>
        </w:rPr>
        <w:t>During the term of his employment by the Company and for a one-year period after</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termination of such employment (unless Mr. Mizrahi’s employment was terminated without “cause” or was terminated by him for “good reason”), Mr. Mizrahi may not permit his name to be used by or to participate in any business or enterprise (other than the mere passive ownership of not more than 3% of the outstanding stock of any class of a publicly held corporation whose stock is traded on a national securities exchange or in the over-the-counter market) that engages or proposes to engage in the Company’s business anywhere in the world other than the Company and its subsidiaries. Also during his employment and for a one-year period after the termination of such employment, Mr. Mizrahi may not, directly or indirectly, solicit, induce, or attempt to induce any customer, supplier, licensee, or other business relation of the Company or any of its subsidiaries to cease doing business with the Company or any or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7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February 24, 2020 the Company entered into a services agreement with Laugh Club, an entity wholly-owned by Mr. Mizrahi, pursuant to which Laugh Club shall provide services to Mr. Mizrahi necessary for Mr. Mizrahi to perform his services pursuant to the employment agreement. The Company will pay Laugh Club an annual fee of $0.72 million for such services.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Fees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aggregate fees billed or to be billed for professional services rendered by our Independent Registered Public Accounting Firm, CohnReznick LLP, for the audit of our annual consolidated financial statements, review of our consolidated financial statements included in our quarterly reports, and other fees that are normally provided by the accounting firm in connection with statutory and regulatory filings or engagements for the years ended December 31, 2020 and December 31, 2019 were approximately $341,000 and $319,000,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Audit-Related Fees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were no fees billed by our Independent Registered Public Accounting Firm for audit-related services for the fiscal years ended December 31, 2020 and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Fees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There were no fees billed for professional services rendered by our Independent Registered Public Accounting Firm for tax compliance, tax advice, and tax planning for the fiscal years ended December 31, 2020 and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 Other Fees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were no fees billed for non-audit services by our Independent Registered Public Accounting Firm for the fiscal years ended December 31, 2020 and 2019.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Audit Committee Determination</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Audit Committee considered and determined that the services performed are compatible with maintaining the independence of the independent registered public accounting firm.</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Policy on Audit Committee Pre-Approval of Audit and Permissible Non-Audit Services of Independent Auditor</w:t>
      </w:r>
    </w:p>
    <w:p>
      <w:pPr>
        <w:spacing w:after="0" w:line="237"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CohnReznick LLP was approved by the Company’s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40" w:type="dxa"/>
            <w:vAlign w:val="bottom"/>
            <w:gridSpan w:val="18"/>
          </w:tcPr>
          <w:p>
            <w:pPr>
              <w:jc w:val="center"/>
              <w:ind w:right="3840"/>
              <w:spacing w:after="0"/>
              <w:rPr>
                <w:sz w:val="20"/>
                <w:szCs w:val="20"/>
                <w:color w:val="auto"/>
              </w:rPr>
            </w:pPr>
            <w:r>
              <w:rPr>
                <w:rFonts w:ascii="Arial" w:cs="Arial" w:eastAsia="Arial" w:hAnsi="Arial"/>
                <w:sz w:val="18"/>
                <w:szCs w:val="18"/>
                <w:b w:val="1"/>
                <w:bCs w:val="1"/>
                <w:color w:val="auto"/>
              </w:rPr>
              <w:t>PART IV</w:t>
            </w:r>
          </w:p>
        </w:tc>
      </w:tr>
      <w:tr>
        <w:trPr>
          <w:trHeight w:val="432"/>
        </w:trPr>
        <w:tc>
          <w:tcPr>
            <w:tcW w:w="8900" w:type="dxa"/>
            <w:vAlign w:val="bottom"/>
            <w:gridSpan w:val="26"/>
          </w:tcPr>
          <w:p>
            <w:pPr>
              <w:ind w:left="20"/>
              <w:spacing w:after="0"/>
              <w:rPr>
                <w:sz w:val="20"/>
                <w:szCs w:val="20"/>
                <w:color w:val="auto"/>
              </w:rPr>
            </w:pPr>
            <w:r>
              <w:rPr>
                <w:rFonts w:ascii="Arial" w:cs="Arial" w:eastAsia="Arial" w:hAnsi="Arial"/>
                <w:sz w:val="18"/>
                <w:szCs w:val="18"/>
                <w:b w:val="1"/>
                <w:bCs w:val="1"/>
                <w:color w:val="auto"/>
              </w:rPr>
              <w:t>Item 15.  Exhibits</w:t>
            </w: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19"/>
          </w:tcPr>
          <w:p>
            <w:pPr>
              <w:jc w:val="center"/>
              <w:ind w:right="3100"/>
              <w:spacing w:after="0"/>
              <w:rPr>
                <w:sz w:val="20"/>
                <w:szCs w:val="20"/>
                <w:color w:val="auto"/>
              </w:rPr>
            </w:pPr>
            <w:r>
              <w:rPr>
                <w:rFonts w:ascii="Arial" w:cs="Arial" w:eastAsia="Arial" w:hAnsi="Arial"/>
                <w:sz w:val="18"/>
                <w:szCs w:val="18"/>
                <w:b w:val="1"/>
                <w:bCs w:val="1"/>
                <w:color w:val="auto"/>
              </w:rPr>
              <w:t>INDEX TO EXHIBITS</w:t>
            </w:r>
          </w:p>
        </w:tc>
      </w:tr>
      <w:tr>
        <w:trPr>
          <w:trHeight w:val="427"/>
        </w:trPr>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Exhibit</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Number</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40" w:type="dxa"/>
            <w:vAlign w:val="bottom"/>
            <w:gridSpan w:val="18"/>
          </w:tcPr>
          <w:p>
            <w:pPr>
              <w:ind w:left="72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740" w:type="dxa"/>
            <w:vAlign w:val="bottom"/>
            <w:tcBorders>
              <w:top w:val="single" w:sz="8" w:color="auto"/>
            </w:tcBorders>
            <w:gridSpan w:val="24"/>
          </w:tcPr>
          <w:p>
            <w:pPr>
              <w:spacing w:after="0"/>
              <w:rPr>
                <w:rFonts w:ascii="Arial" w:cs="Arial" w:eastAsia="Arial" w:hAnsi="Arial"/>
                <w:sz w:val="18"/>
                <w:szCs w:val="18"/>
                <w:color w:val="0000EE"/>
              </w:rPr>
            </w:pPr>
            <w:hyperlink r:id="rId114">
              <w:r>
                <w:rPr>
                  <w:rFonts w:ascii="Arial" w:cs="Arial" w:eastAsia="Arial" w:hAnsi="Arial"/>
                  <w:sz w:val="18"/>
                  <w:szCs w:val="18"/>
                  <w:color w:val="0000EE"/>
                </w:rPr>
                <w:t xml:space="preserve">Amended and Restated Certificate of Incorporation of Xcel Brands, Inc. </w:t>
              </w:r>
            </w:hyperlink>
            <w:r>
              <w:rPr>
                <w:rFonts w:ascii="Arial" w:cs="Arial" w:eastAsia="Arial" w:hAnsi="Arial"/>
                <w:sz w:val="26"/>
                <w:szCs w:val="26"/>
                <w:color w:val="000000"/>
                <w:vertAlign w:val="superscript"/>
              </w:rPr>
              <w:t>(11)</w:t>
            </w: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5180" w:type="dxa"/>
            <w:vAlign w:val="bottom"/>
            <w:tcBorders>
              <w:top w:val="single" w:sz="8" w:color="0000EE"/>
            </w:tcBorders>
            <w:gridSpan w:val="9"/>
          </w:tcPr>
          <w:p>
            <w:pPr>
              <w:spacing w:after="0"/>
              <w:rPr>
                <w:rFonts w:ascii="Arial" w:cs="Arial" w:eastAsia="Arial" w:hAnsi="Arial"/>
                <w:sz w:val="18"/>
                <w:szCs w:val="18"/>
                <w:color w:val="0000EE"/>
              </w:rPr>
            </w:pPr>
            <w:hyperlink r:id="rId115">
              <w:r>
                <w:rPr>
                  <w:rFonts w:ascii="Arial" w:cs="Arial" w:eastAsia="Arial" w:hAnsi="Arial"/>
                  <w:sz w:val="18"/>
                  <w:szCs w:val="18"/>
                  <w:color w:val="0000EE"/>
                </w:rPr>
                <w:t xml:space="preserve">Third Restated and Amended Bylaws of Xcel Brands, Inc. </w:t>
              </w:r>
            </w:hyperlink>
            <w:r>
              <w:rPr>
                <w:rFonts w:ascii="Arial" w:cs="Arial" w:eastAsia="Arial" w:hAnsi="Arial"/>
                <w:sz w:val="26"/>
                <w:szCs w:val="26"/>
                <w:color w:val="000000"/>
                <w:vertAlign w:val="superscript"/>
              </w:rPr>
              <w:t>(12)</w:t>
            </w:r>
          </w:p>
        </w:tc>
        <w:tc>
          <w:tcPr>
            <w:tcW w:w="2560" w:type="dxa"/>
            <w:vAlign w:val="bottom"/>
            <w:gridSpan w:val="15"/>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8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 xml:space="preserve">Third Amended and Restated Equity Incentive Plan and Forms of Award Agreements </w:t>
              </w:r>
            </w:hyperlink>
            <w:r>
              <w:rPr>
                <w:rFonts w:ascii="Arial" w:cs="Arial" w:eastAsia="Arial" w:hAnsi="Arial"/>
                <w:sz w:val="26"/>
                <w:szCs w:val="26"/>
                <w:color w:val="000000"/>
                <w:vertAlign w:val="superscript"/>
              </w:rPr>
              <w:t>(14)</w:t>
            </w: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6160" w:type="dxa"/>
            <w:vAlign w:val="bottom"/>
            <w:tcBorders>
              <w:top w:val="single" w:sz="8" w:color="0000EE"/>
            </w:tcBorders>
            <w:gridSpan w:val="11"/>
          </w:tcPr>
          <w:p>
            <w:pPr>
              <w:spacing w:after="0"/>
              <w:rPr>
                <w:rFonts w:ascii="Arial" w:cs="Arial" w:eastAsia="Arial" w:hAnsi="Arial"/>
                <w:sz w:val="18"/>
                <w:szCs w:val="18"/>
                <w:color w:val="0000EE"/>
              </w:rPr>
            </w:pPr>
            <w:hyperlink r:id="rId117">
              <w:r>
                <w:rPr>
                  <w:rFonts w:ascii="Arial" w:cs="Arial" w:eastAsia="Arial" w:hAnsi="Arial"/>
                  <w:sz w:val="18"/>
                  <w:szCs w:val="18"/>
                  <w:color w:val="0000EE"/>
                </w:rPr>
                <w:t xml:space="preserve">Form of Executive Warrant </w:t>
              </w:r>
            </w:hyperlink>
            <w:r>
              <w:rPr>
                <w:rFonts w:ascii="Arial" w:cs="Arial" w:eastAsia="Arial" w:hAnsi="Arial"/>
                <w:sz w:val="26"/>
                <w:szCs w:val="26"/>
                <w:color w:val="000000"/>
                <w:vertAlign w:val="superscript"/>
              </w:rPr>
              <w:t>(1)</w:t>
            </w:r>
          </w:p>
        </w:tc>
        <w:tc>
          <w:tcPr>
            <w:tcW w:w="1580" w:type="dxa"/>
            <w:vAlign w:val="bottom"/>
            <w:gridSpan w:val="13"/>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rPr>
            </w:pPr>
            <w:hyperlink r:id="rId118">
              <w:r>
                <w:rPr>
                  <w:rFonts w:ascii="Arial" w:cs="Arial" w:eastAsia="Arial" w:hAnsi="Arial"/>
                  <w:sz w:val="18"/>
                  <w:szCs w:val="18"/>
                  <w:color w:val="0000EE"/>
                </w:rPr>
                <w:t xml:space="preserve">Warrant issued to Joe Falco dated September 29, 2011 </w:t>
              </w:r>
            </w:hyperlink>
            <w:r>
              <w:rPr>
                <w:rFonts w:ascii="Arial" w:cs="Arial" w:eastAsia="Arial" w:hAnsi="Arial"/>
                <w:sz w:val="26"/>
                <w:szCs w:val="26"/>
                <w:color w:val="000000"/>
                <w:vertAlign w:val="superscript"/>
              </w:rPr>
              <w:t>(1)</w:t>
            </w: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3900" w:type="dxa"/>
            <w:vAlign w:val="bottom"/>
            <w:tcBorders>
              <w:top w:val="single" w:sz="8" w:color="0000EE"/>
            </w:tcBorders>
            <w:gridSpan w:val="7"/>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 xml:space="preserve">Description of Registrant’s Securities </w:t>
              </w:r>
            </w:hyperlink>
            <w:r>
              <w:rPr>
                <w:rFonts w:ascii="Arial" w:cs="Arial" w:eastAsia="Arial" w:hAnsi="Arial"/>
                <w:sz w:val="26"/>
                <w:szCs w:val="26"/>
                <w:color w:val="000000"/>
                <w:vertAlign w:val="superscript"/>
              </w:rPr>
              <w:t>(19)</w:t>
            </w:r>
          </w:p>
        </w:tc>
        <w:tc>
          <w:tcPr>
            <w:tcW w:w="3840" w:type="dxa"/>
            <w:vAlign w:val="bottom"/>
            <w:gridSpan w:val="17"/>
          </w:tcPr>
          <w:p>
            <w:pPr>
              <w:spacing w:after="0"/>
              <w:rPr>
                <w:sz w:val="24"/>
                <w:szCs w:val="24"/>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Amended and Restated Voting Agreement between Xcel Brands, Inc. and IM Ready-Made, LLC, dated as</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top w:val="single" w:sz="8" w:color="0000EE"/>
            </w:tcBorders>
            <w:gridSpan w:val="22"/>
          </w:tcPr>
          <w:p>
            <w:pPr>
              <w:spacing w:after="0" w:line="195" w:lineRule="exact"/>
              <w:rPr>
                <w:rFonts w:ascii="Arial" w:cs="Arial" w:eastAsia="Arial" w:hAnsi="Arial"/>
                <w:sz w:val="16"/>
                <w:szCs w:val="16"/>
                <w:color w:val="0000EE"/>
              </w:rPr>
            </w:pPr>
            <w:hyperlink r:id="rId119">
              <w:r>
                <w:rPr>
                  <w:rFonts w:ascii="Arial" w:cs="Arial" w:eastAsia="Arial" w:hAnsi="Arial"/>
                  <w:sz w:val="16"/>
                  <w:szCs w:val="16"/>
                  <w:color w:val="0000EE"/>
                </w:rPr>
                <w:t xml:space="preserve">of December 24, 2013 </w:t>
              </w:r>
              <w:r>
                <w:rPr>
                  <w:rFonts w:ascii="Arial" w:cs="Arial" w:eastAsia="Arial" w:hAnsi="Arial"/>
                  <w:sz w:val="22"/>
                  <w:szCs w:val="22"/>
                  <w:color w:val="000000"/>
                  <w:vertAlign w:val="superscript"/>
                </w:rPr>
                <w:t>(5)</w:t>
              </w:r>
            </w:hyperlink>
          </w:p>
        </w:tc>
        <w:tc>
          <w:tcPr>
            <w:tcW w:w="120" w:type="dxa"/>
            <w:vAlign w:val="bottom"/>
            <w:gridSpan w:val="2"/>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rPr>
            </w:pPr>
            <w:hyperlink r:id="rId120">
              <w:r>
                <w:rPr>
                  <w:rFonts w:ascii="Arial" w:cs="Arial" w:eastAsia="Arial" w:hAnsi="Arial"/>
                  <w:sz w:val="18"/>
                  <w:szCs w:val="18"/>
                  <w:color w:val="0000EE"/>
                </w:rPr>
                <w:t xml:space="preserve">Voting Agreement between Xcel Brands, Inc. and Judith Ripka Berk, dated as of April 3, 2014 </w:t>
              </w:r>
            </w:hyperlink>
            <w:r>
              <w:rPr>
                <w:rFonts w:ascii="Arial" w:cs="Arial" w:eastAsia="Arial" w:hAnsi="Arial"/>
                <w:sz w:val="26"/>
                <w:szCs w:val="26"/>
                <w:color w:val="000000"/>
                <w:vertAlign w:val="superscript"/>
              </w:rPr>
              <w:t>(7)</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78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24"/>
                <w:szCs w:val="24"/>
                <w:color w:val="auto"/>
              </w:rPr>
            </w:pPr>
          </w:p>
        </w:tc>
        <w:tc>
          <w:tcPr>
            <w:tcW w:w="7540" w:type="dxa"/>
            <w:vAlign w:val="bottom"/>
            <w:tcBorders>
              <w:bottom w:val="single" w:sz="8" w:color="0000EE"/>
            </w:tcBorders>
            <w:gridSpan w:val="21"/>
          </w:tcPr>
          <w:p>
            <w:pPr>
              <w:spacing w:after="0"/>
              <w:rPr>
                <w:rFonts w:ascii="Arial" w:cs="Arial" w:eastAsia="Arial" w:hAnsi="Arial"/>
                <w:sz w:val="18"/>
                <w:szCs w:val="18"/>
                <w:color w:val="0000EE"/>
                <w:w w:val="89"/>
              </w:rPr>
            </w:pPr>
            <w:hyperlink r:id="rId121">
              <w:r>
                <w:rPr>
                  <w:rFonts w:ascii="Arial" w:cs="Arial" w:eastAsia="Arial" w:hAnsi="Arial"/>
                  <w:sz w:val="18"/>
                  <w:szCs w:val="18"/>
                  <w:color w:val="0000EE"/>
                  <w:w w:val="89"/>
                </w:rPr>
                <w:t>Voting Agreement dated as of December 22, 2014 by and between Xcel Brands, Inc. and H Company IP,</w:t>
              </w:r>
            </w:hyperlink>
          </w:p>
        </w:tc>
        <w:tc>
          <w:tcPr>
            <w:tcW w:w="20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4"/>
          </w:tcPr>
          <w:p>
            <w:pPr>
              <w:spacing w:after="0" w:line="195" w:lineRule="exact"/>
              <w:rPr>
                <w:rFonts w:ascii="Arial" w:cs="Arial" w:eastAsia="Arial" w:hAnsi="Arial"/>
                <w:sz w:val="16"/>
                <w:szCs w:val="16"/>
                <w:color w:val="0000EE"/>
              </w:rPr>
            </w:pPr>
            <w:hyperlink r:id="rId121">
              <w:r>
                <w:rPr>
                  <w:rFonts w:ascii="Arial" w:cs="Arial" w:eastAsia="Arial" w:hAnsi="Arial"/>
                  <w:sz w:val="16"/>
                  <w:szCs w:val="16"/>
                  <w:color w:val="0000EE"/>
                </w:rPr>
                <w:t xml:space="preserve">LLC </w:t>
              </w:r>
              <w:r>
                <w:rPr>
                  <w:rFonts w:ascii="Arial" w:cs="Arial" w:eastAsia="Arial" w:hAnsi="Arial"/>
                  <w:sz w:val="22"/>
                  <w:szCs w:val="22"/>
                  <w:color w:val="000000"/>
                  <w:vertAlign w:val="superscript"/>
                </w:rPr>
                <w:t>(8)</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rPr>
            </w:pPr>
            <w:hyperlink r:id="rId122">
              <w:r>
                <w:rPr>
                  <w:rFonts w:ascii="Arial" w:cs="Arial" w:eastAsia="Arial" w:hAnsi="Arial"/>
                  <w:sz w:val="18"/>
                  <w:szCs w:val="18"/>
                  <w:color w:val="0000EE"/>
                </w:rPr>
                <w:t xml:space="preserve">Form of Voting Agreement dated as of February 11, 2019 </w:t>
              </w:r>
            </w:hyperlink>
            <w:r>
              <w:rPr>
                <w:rFonts w:ascii="Arial" w:cs="Arial" w:eastAsia="Arial" w:hAnsi="Arial"/>
                <w:sz w:val="26"/>
                <w:szCs w:val="26"/>
                <w:color w:val="000000"/>
                <w:vertAlign w:val="superscript"/>
              </w:rPr>
              <w:t>(3)</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60" w:type="dxa"/>
            <w:vAlign w:val="bottom"/>
            <w:gridSpan w:val="4"/>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7360" w:type="dxa"/>
            <w:vAlign w:val="bottom"/>
            <w:tcBorders>
              <w:bottom w:val="single" w:sz="8" w:color="0000EE"/>
            </w:tcBorders>
            <w:gridSpan w:val="19"/>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Asset Purchase Agreement by and among Xcel Brands, Inc., IM Brands, LLC, IM Ready-Made, LLC,</w:t>
              </w:r>
            </w:hyperlink>
          </w:p>
        </w:tc>
        <w:tc>
          <w:tcPr>
            <w:tcW w:w="380" w:type="dxa"/>
            <w:vAlign w:val="bottom"/>
            <w:gridSpan w:val="5"/>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4"/>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Isaac Mizrahi and Marisa Gardini, dated as of May 19, 2011, as amended on July 28, 2011, as amended on</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60" w:type="dxa"/>
            <w:vAlign w:val="bottom"/>
            <w:tcBorders>
              <w:top w:val="single" w:sz="8" w:color="0000EE"/>
            </w:tcBorders>
            <w:gridSpan w:val="23"/>
          </w:tcPr>
          <w:p>
            <w:pPr>
              <w:spacing w:after="0" w:line="195" w:lineRule="exact"/>
              <w:rPr>
                <w:rFonts w:ascii="Arial" w:cs="Arial" w:eastAsia="Arial" w:hAnsi="Arial"/>
                <w:sz w:val="16"/>
                <w:szCs w:val="16"/>
                <w:color w:val="0000EE"/>
              </w:rPr>
            </w:pPr>
            <w:hyperlink r:id="rId123">
              <w:r>
                <w:rPr>
                  <w:rFonts w:ascii="Arial" w:cs="Arial" w:eastAsia="Arial" w:hAnsi="Arial"/>
                  <w:sz w:val="16"/>
                  <w:szCs w:val="16"/>
                  <w:color w:val="0000EE"/>
                </w:rPr>
                <w:t xml:space="preserve">September 15, 2011, as amended on September 21, 2011, and as amended on September 29, 2011 </w:t>
              </w:r>
              <w:r>
                <w:rPr>
                  <w:rFonts w:ascii="Arial" w:cs="Arial" w:eastAsia="Arial" w:hAnsi="Arial"/>
                  <w:sz w:val="22"/>
                  <w:szCs w:val="22"/>
                  <w:color w:val="000000"/>
                  <w:vertAlign w:val="superscript"/>
                </w:rPr>
                <w:t>(1)</w:t>
              </w:r>
            </w:hyperlink>
          </w:p>
        </w:tc>
        <w:tc>
          <w:tcPr>
            <w:tcW w:w="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4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7280" w:type="dxa"/>
            <w:vAlign w:val="bottom"/>
            <w:tcBorders>
              <w:bottom w:val="single" w:sz="8" w:color="0000EE"/>
            </w:tcBorders>
            <w:gridSpan w:val="17"/>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Second Amended and Restated Agreement and Consent to Assignment by and among QVC, Inc., IM</w:t>
              </w:r>
            </w:hyperlink>
          </w:p>
        </w:tc>
        <w:tc>
          <w:tcPr>
            <w:tcW w:w="460" w:type="dxa"/>
            <w:vAlign w:val="bottom"/>
            <w:gridSpan w:val="7"/>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4"/>
          </w:tcPr>
          <w:p>
            <w:pPr>
              <w:spacing w:after="0" w:line="195" w:lineRule="exact"/>
              <w:rPr>
                <w:rFonts w:ascii="Arial" w:cs="Arial" w:eastAsia="Arial" w:hAnsi="Arial"/>
                <w:sz w:val="16"/>
                <w:szCs w:val="16"/>
                <w:color w:val="0000EE"/>
              </w:rPr>
            </w:pPr>
            <w:hyperlink r:id="rId124">
              <w:r>
                <w:rPr>
                  <w:rFonts w:ascii="Arial" w:cs="Arial" w:eastAsia="Arial" w:hAnsi="Arial"/>
                  <w:sz w:val="16"/>
                  <w:szCs w:val="16"/>
                  <w:color w:val="0000EE"/>
                </w:rPr>
                <w:t xml:space="preserve">Brands, LLC, IM Ready-Made, LLC, Xcel Brands, Inc. and Isaac Mizrahi, dated September 28, 2011 </w:t>
              </w:r>
            </w:hyperlink>
            <w:r>
              <w:rPr>
                <w:rFonts w:ascii="Arial" w:cs="Arial" w:eastAsia="Arial" w:hAnsi="Arial"/>
                <w:sz w:val="22"/>
                <w:szCs w:val="22"/>
                <w:color w:val="000000"/>
                <w:vertAlign w:val="superscript"/>
              </w:rPr>
              <w:t>(2)</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40" w:type="dxa"/>
            <w:vAlign w:val="bottom"/>
            <w:gridSpan w:val="6"/>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7440" w:type="dxa"/>
            <w:vAlign w:val="bottom"/>
            <w:tcBorders>
              <w:bottom w:val="single" w:sz="8" w:color="0000EE"/>
            </w:tcBorders>
            <w:gridSpan w:val="20"/>
          </w:tcPr>
          <w:p>
            <w:pPr>
              <w:spacing w:after="0"/>
              <w:rPr>
                <w:rFonts w:ascii="Arial" w:cs="Arial" w:eastAsia="Arial" w:hAnsi="Arial"/>
                <w:sz w:val="18"/>
                <w:szCs w:val="18"/>
                <w:color w:val="0000EE"/>
                <w:w w:val="93"/>
              </w:rPr>
            </w:pPr>
            <w:hyperlink r:id="rId125">
              <w:r>
                <w:rPr>
                  <w:rFonts w:ascii="Arial" w:cs="Arial" w:eastAsia="Arial" w:hAnsi="Arial"/>
                  <w:sz w:val="18"/>
                  <w:szCs w:val="18"/>
                  <w:color w:val="0000EE"/>
                  <w:w w:val="93"/>
                </w:rPr>
                <w:t>Assignment and Assumption, New York Landlord Consent by and among Adler Holdings III, LLC, IM</w:t>
              </w:r>
            </w:hyperlink>
          </w:p>
        </w:tc>
        <w:tc>
          <w:tcPr>
            <w:tcW w:w="30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4"/>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Ready-Made, LLC and Xcel Brands, Inc., dated September 29, 2011, and Guaranty by IM Brands, Inc.,</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40" w:type="dxa"/>
            <w:vAlign w:val="bottom"/>
            <w:tcBorders>
              <w:top w:val="single" w:sz="8" w:color="0000EE"/>
            </w:tcBorders>
            <w:gridSpan w:val="20"/>
          </w:tcPr>
          <w:p>
            <w:pPr>
              <w:spacing w:after="0" w:line="195" w:lineRule="exact"/>
              <w:rPr>
                <w:rFonts w:ascii="Arial" w:cs="Arial" w:eastAsia="Arial" w:hAnsi="Arial"/>
                <w:sz w:val="16"/>
                <w:szCs w:val="16"/>
                <w:color w:val="0000EE"/>
              </w:rPr>
            </w:pPr>
            <w:hyperlink r:id="rId125">
              <w:r>
                <w:rPr>
                  <w:rFonts w:ascii="Arial" w:cs="Arial" w:eastAsia="Arial" w:hAnsi="Arial"/>
                  <w:sz w:val="16"/>
                  <w:szCs w:val="16"/>
                  <w:color w:val="0000EE"/>
                </w:rPr>
                <w:t xml:space="preserve">dated September 29, 2011 </w:t>
              </w:r>
              <w:r>
                <w:rPr>
                  <w:rFonts w:ascii="Arial" w:cs="Arial" w:eastAsia="Arial" w:hAnsi="Arial"/>
                  <w:sz w:val="22"/>
                  <w:szCs w:val="22"/>
                  <w:color w:val="000000"/>
                  <w:vertAlign w:val="superscript"/>
                </w:rPr>
                <w:t>(1)</w:t>
              </w:r>
            </w:hyperlink>
          </w:p>
        </w:tc>
        <w:tc>
          <w:tcPr>
            <w:tcW w:w="300" w:type="dxa"/>
            <w:vAlign w:val="bottom"/>
            <w:gridSpan w:val="4"/>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rPr>
            </w:pPr>
            <w:hyperlink r:id="rId126">
              <w:r>
                <w:rPr>
                  <w:rFonts w:ascii="Arial" w:cs="Arial" w:eastAsia="Arial" w:hAnsi="Arial"/>
                  <w:sz w:val="18"/>
                  <w:szCs w:val="18"/>
                  <w:color w:val="0000EE"/>
                </w:rPr>
                <w:t xml:space="preserve">Employment Agreement entered into with Isaac Mizrahi, dated February 24, 2020 </w:t>
              </w:r>
            </w:hyperlink>
            <w:r>
              <w:rPr>
                <w:rFonts w:ascii="Arial" w:cs="Arial" w:eastAsia="Arial" w:hAnsi="Arial"/>
                <w:sz w:val="26"/>
                <w:szCs w:val="26"/>
                <w:color w:val="000000"/>
                <w:vertAlign w:val="superscript"/>
              </w:rPr>
              <w:t>(9)</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448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7740" w:type="dxa"/>
            <w:vAlign w:val="bottom"/>
            <w:tcBorders>
              <w:bottom w:val="single" w:sz="8" w:color="0000EE"/>
            </w:tcBorders>
            <w:gridSpan w:val="24"/>
          </w:tcPr>
          <w:p>
            <w:pPr>
              <w:spacing w:after="0"/>
              <w:rPr>
                <w:rFonts w:ascii="Arial" w:cs="Arial" w:eastAsia="Arial" w:hAnsi="Arial"/>
                <w:sz w:val="18"/>
                <w:szCs w:val="18"/>
                <w:color w:val="0000EE"/>
                <w:w w:val="89"/>
              </w:rPr>
            </w:pPr>
            <w:hyperlink r:id="rId127">
              <w:r>
                <w:rPr>
                  <w:rFonts w:ascii="Arial" w:cs="Arial" w:eastAsia="Arial" w:hAnsi="Arial"/>
                  <w:sz w:val="18"/>
                  <w:szCs w:val="18"/>
                  <w:color w:val="0000EE"/>
                  <w:w w:val="89"/>
                </w:rPr>
                <w:t>Amendment No. 1 to Second Amended and Restated Agreement and Consent to Assignment by and among</w:t>
              </w:r>
            </w:hyperlink>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QVC, Inc., IM Brands, LLC, IM Ready-Made, LLC, Xcel Brands, Inc. and Isaac Mizrahi, dated</w:t>
              </w:r>
            </w:hyperlink>
          </w:p>
        </w:tc>
        <w:tc>
          <w:tcPr>
            <w:tcW w:w="820" w:type="dxa"/>
            <w:vAlign w:val="bottom"/>
            <w:gridSpan w:val="10"/>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40" w:type="dxa"/>
            <w:vAlign w:val="bottom"/>
            <w:gridSpan w:val="24"/>
          </w:tcPr>
          <w:p>
            <w:pPr>
              <w:spacing w:after="0" w:line="195" w:lineRule="exact"/>
              <w:rPr>
                <w:rFonts w:ascii="Arial" w:cs="Arial" w:eastAsia="Arial" w:hAnsi="Arial"/>
                <w:sz w:val="16"/>
                <w:szCs w:val="16"/>
                <w:color w:val="0000EE"/>
              </w:rPr>
            </w:pPr>
            <w:hyperlink r:id="rId127">
              <w:r>
                <w:rPr>
                  <w:rFonts w:ascii="Arial" w:cs="Arial" w:eastAsia="Arial" w:hAnsi="Arial"/>
                  <w:sz w:val="16"/>
                  <w:szCs w:val="16"/>
                  <w:color w:val="0000EE"/>
                </w:rPr>
                <w:t xml:space="preserve">September 28, 2011 </w:t>
              </w:r>
              <w:r>
                <w:rPr>
                  <w:rFonts w:ascii="Arial" w:cs="Arial" w:eastAsia="Arial" w:hAnsi="Arial"/>
                  <w:sz w:val="22"/>
                  <w:szCs w:val="22"/>
                  <w:color w:val="000000"/>
                  <w:vertAlign w:val="superscript"/>
                </w:rPr>
                <w:t>(4)</w:t>
              </w:r>
            </w:hyperlink>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5060" w:type="dxa"/>
            <w:vAlign w:val="bottom"/>
            <w:gridSpan w:val="1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w w:val="99"/>
              </w:rPr>
            </w:pPr>
            <w:hyperlink r:id="rId128">
              <w:r>
                <w:rPr>
                  <w:rFonts w:ascii="Arial" w:cs="Arial" w:eastAsia="Arial" w:hAnsi="Arial"/>
                  <w:sz w:val="18"/>
                  <w:szCs w:val="18"/>
                  <w:color w:val="0000EE"/>
                  <w:w w:val="99"/>
                </w:rPr>
                <w:t xml:space="preserve">Employment Agreement between the Company and Robert D’Loren dated February 27, 2019 </w:t>
              </w:r>
            </w:hyperlink>
            <w:r>
              <w:rPr>
                <w:rFonts w:ascii="Arial" w:cs="Arial" w:eastAsia="Arial" w:hAnsi="Arial"/>
                <w:sz w:val="26"/>
                <w:szCs w:val="26"/>
                <w:color w:val="000000"/>
                <w:w w:val="99"/>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1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rPr>
            </w:pPr>
            <w:hyperlink r:id="rId129">
              <w:r>
                <w:rPr>
                  <w:rFonts w:ascii="Arial" w:cs="Arial" w:eastAsia="Arial" w:hAnsi="Arial"/>
                  <w:sz w:val="18"/>
                  <w:szCs w:val="18"/>
                  <w:color w:val="0000EE"/>
                </w:rPr>
                <w:t xml:space="preserve">Employment Agreement between the Company and James Haran dated February 27, 2019 </w:t>
              </w:r>
            </w:hyperlink>
            <w:r>
              <w:rPr>
                <w:rFonts w:ascii="Arial" w:cs="Arial" w:eastAsia="Arial" w:hAnsi="Arial"/>
                <w:sz w:val="26"/>
                <w:szCs w:val="26"/>
                <w:color w:val="000000"/>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500" w:type="dxa"/>
            <w:vAlign w:val="bottom"/>
            <w:gridSpan w:val="12"/>
            <w:shd w:val="clear" w:color="auto" w:fill="0000E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412"/>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7740" w:type="dxa"/>
            <w:vAlign w:val="bottom"/>
            <w:gridSpan w:val="24"/>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 xml:space="preserve">Employment Agreement dated February 27, 2019 by and between the Company and Giuseppe Falco </w:t>
              </w:r>
            </w:hyperlink>
            <w:r>
              <w:rPr>
                <w:rFonts w:ascii="Arial" w:cs="Arial" w:eastAsia="Arial" w:hAnsi="Arial"/>
                <w:sz w:val="26"/>
                <w:szCs w:val="26"/>
                <w:color w:val="000000"/>
                <w:w w:val="91"/>
                <w:vertAlign w:val="superscript"/>
              </w:rPr>
              <w:t>(15)</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10.9</w:t>
            </w:r>
          </w:p>
        </w:tc>
        <w:tc>
          <w:tcPr>
            <w:tcW w:w="7740" w:type="dxa"/>
            <w:vAlign w:val="bottom"/>
            <w:gridSpan w:val="16"/>
          </w:tcPr>
          <w:p>
            <w:pPr>
              <w:spacing w:after="0"/>
              <w:rPr>
                <w:rFonts w:ascii="Arial" w:cs="Arial" w:eastAsia="Arial" w:hAnsi="Arial"/>
                <w:sz w:val="18"/>
                <w:szCs w:val="18"/>
                <w:color w:val="0000EE"/>
              </w:rPr>
            </w:pPr>
            <w:hyperlink r:id="rId132">
              <w:r>
                <w:rPr>
                  <w:rFonts w:ascii="Arial" w:cs="Arial" w:eastAsia="Arial" w:hAnsi="Arial"/>
                  <w:sz w:val="18"/>
                  <w:szCs w:val="18"/>
                  <w:color w:val="0000EE"/>
                </w:rPr>
                <w:t>Amended and Restated Fifth Amendment, entered into as of March 14, 2014 and effective as of</w:t>
              </w:r>
            </w:hyperlink>
          </w:p>
        </w:tc>
      </w:tr>
      <w:tr>
        <w:trPr>
          <w:trHeight w:val="196"/>
        </w:trPr>
        <w:tc>
          <w:tcPr>
            <w:tcW w:w="1140" w:type="dxa"/>
            <w:vAlign w:val="bottom"/>
          </w:tcPr>
          <w:p>
            <w:pPr>
              <w:spacing w:after="0"/>
              <w:rPr>
                <w:sz w:val="17"/>
                <w:szCs w:val="17"/>
                <w:color w:val="auto"/>
              </w:rPr>
            </w:pPr>
          </w:p>
        </w:tc>
        <w:tc>
          <w:tcPr>
            <w:tcW w:w="6880" w:type="dxa"/>
            <w:vAlign w:val="bottom"/>
            <w:tcBorders>
              <w:top w:val="single" w:sz="8" w:color="0000EE"/>
            </w:tcBorders>
            <w:gridSpan w:val="10"/>
          </w:tcPr>
          <w:p>
            <w:pPr>
              <w:spacing w:after="0" w:line="195" w:lineRule="exact"/>
              <w:rPr>
                <w:rFonts w:ascii="Arial" w:cs="Arial" w:eastAsia="Arial" w:hAnsi="Arial"/>
                <w:sz w:val="16"/>
                <w:szCs w:val="16"/>
                <w:color w:val="0000EE"/>
              </w:rPr>
            </w:pPr>
            <w:hyperlink r:id="rId132">
              <w:r>
                <w:rPr>
                  <w:rFonts w:ascii="Arial" w:cs="Arial" w:eastAsia="Arial" w:hAnsi="Arial"/>
                  <w:sz w:val="16"/>
                  <w:szCs w:val="16"/>
                  <w:color w:val="0000EE"/>
                </w:rPr>
                <w:t xml:space="preserve">December 24, 2013, to the Asset Purchase Agreement filed as Exhibit 10.1 </w:t>
              </w:r>
              <w:r>
                <w:rPr>
                  <w:rFonts w:ascii="Arial" w:cs="Arial" w:eastAsia="Arial" w:hAnsi="Arial"/>
                  <w:sz w:val="22"/>
                  <w:szCs w:val="22"/>
                  <w:color w:val="000000"/>
                  <w:vertAlign w:val="superscript"/>
                </w:rPr>
                <w:t>(6)</w:t>
              </w:r>
            </w:hyperlink>
          </w:p>
        </w:tc>
        <w:tc>
          <w:tcPr>
            <w:tcW w:w="860" w:type="dxa"/>
            <w:vAlign w:val="bottom"/>
            <w:gridSpan w:val="6"/>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7740" w:type="dxa"/>
            <w:vAlign w:val="bottom"/>
            <w:gridSpan w:val="16"/>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 xml:space="preserve">Sublease Agreement, dated as of July 8, 2015, by and between Xcel Brands, Inc. and GBG USA Inc. </w:t>
              </w:r>
            </w:hyperlink>
            <w:r>
              <w:rPr>
                <w:rFonts w:ascii="Arial" w:cs="Arial" w:eastAsia="Arial" w:hAnsi="Arial"/>
                <w:sz w:val="26"/>
                <w:szCs w:val="26"/>
                <w:color w:val="000000"/>
                <w:w w:val="91"/>
                <w:vertAlign w:val="superscript"/>
              </w:rPr>
              <w:t>(10)</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7520" w:type="dxa"/>
            <w:vAlign w:val="bottom"/>
            <w:tcBorders>
              <w:bottom w:val="single" w:sz="8" w:color="0000EE"/>
            </w:tcBorders>
            <w:gridSpan w:val="12"/>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Amended and Restated Loan and Security Agreement by and among Bank Hapoalim B.M., as agent, the</w:t>
              </w:r>
            </w:hyperlink>
          </w:p>
        </w:tc>
        <w:tc>
          <w:tcPr>
            <w:tcW w:w="22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740" w:type="dxa"/>
            <w:vAlign w:val="bottom"/>
            <w:gridSpan w:val="16"/>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financial institution party thereto as lenders, Xcel Brands, Inc. and IM Brands, LLC, JR Licensing, LLC, H</w:t>
              </w:r>
            </w:hyperlink>
          </w:p>
        </w:tc>
      </w:tr>
      <w:tr>
        <w:trPr>
          <w:trHeight w:val="196"/>
        </w:trPr>
        <w:tc>
          <w:tcPr>
            <w:tcW w:w="1140" w:type="dxa"/>
            <w:vAlign w:val="bottom"/>
          </w:tcPr>
          <w:p>
            <w:pPr>
              <w:spacing w:after="0"/>
              <w:rPr>
                <w:sz w:val="17"/>
                <w:szCs w:val="17"/>
                <w:color w:val="auto"/>
              </w:rPr>
            </w:pPr>
          </w:p>
        </w:tc>
        <w:tc>
          <w:tcPr>
            <w:tcW w:w="76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Licensing, LLC, C Wonder Licensing LLC, Xcel Design Group, LLC, Judith Ripka Fine Jewelry, LLC, H</w:t>
              </w:r>
            </w:hyperlink>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7740" w:type="dxa"/>
            <w:vAlign w:val="bottom"/>
            <w:gridSpan w:val="16"/>
          </w:tcPr>
          <w:p>
            <w:pPr>
              <w:spacing w:after="0" w:line="195" w:lineRule="exact"/>
              <w:rPr>
                <w:rFonts w:ascii="Arial" w:cs="Arial" w:eastAsia="Arial" w:hAnsi="Arial"/>
                <w:sz w:val="16"/>
                <w:szCs w:val="16"/>
                <w:color w:val="0000EE"/>
              </w:rPr>
            </w:pPr>
            <w:hyperlink r:id="rId134">
              <w:r>
                <w:rPr>
                  <w:rFonts w:ascii="Arial" w:cs="Arial" w:eastAsia="Arial" w:hAnsi="Arial"/>
                  <w:sz w:val="16"/>
                  <w:szCs w:val="16"/>
                  <w:color w:val="0000EE"/>
                </w:rPr>
                <w:t xml:space="preserve">Halston Heritage, LLC, LLC and Xcel-CT MFG, LLC, as guarantors </w:t>
              </w:r>
              <w:r>
                <w:rPr>
                  <w:rFonts w:ascii="Arial" w:cs="Arial" w:eastAsia="Arial" w:hAnsi="Arial"/>
                  <w:sz w:val="22"/>
                  <w:szCs w:val="22"/>
                  <w:color w:val="000000"/>
                  <w:vertAlign w:val="superscript"/>
                </w:rPr>
                <w:t>(3)</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10.12</w:t>
            </w:r>
          </w:p>
        </w:tc>
        <w:tc>
          <w:tcPr>
            <w:tcW w:w="7620" w:type="dxa"/>
            <w:vAlign w:val="bottom"/>
            <w:tcBorders>
              <w:bottom w:val="single" w:sz="8" w:color="0000EE"/>
            </w:tcBorders>
            <w:gridSpan w:val="13"/>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Asset Purchase Agreement by and between Xcel Brands, Inc., H Licensing, LLC, and The H Company IP</w:t>
              </w:r>
            </w:hyperlink>
          </w:p>
        </w:tc>
        <w:tc>
          <w:tcPr>
            <w:tcW w:w="12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740" w:type="dxa"/>
            <w:vAlign w:val="bottom"/>
            <w:gridSpan w:val="16"/>
          </w:tcPr>
          <w:p>
            <w:pPr>
              <w:spacing w:after="0" w:line="195" w:lineRule="exact"/>
              <w:rPr>
                <w:rFonts w:ascii="Arial" w:cs="Arial" w:eastAsia="Arial" w:hAnsi="Arial"/>
                <w:sz w:val="16"/>
                <w:szCs w:val="16"/>
                <w:color w:val="0000EE"/>
              </w:rPr>
            </w:pPr>
            <w:hyperlink r:id="rId135">
              <w:r>
                <w:rPr>
                  <w:rFonts w:ascii="Arial" w:cs="Arial" w:eastAsia="Arial" w:hAnsi="Arial"/>
                  <w:sz w:val="16"/>
                  <w:szCs w:val="16"/>
                  <w:color w:val="0000EE"/>
                </w:rPr>
                <w:t xml:space="preserve">LLC </w:t>
              </w:r>
              <w:r>
                <w:rPr>
                  <w:rFonts w:ascii="Arial" w:cs="Arial" w:eastAsia="Arial" w:hAnsi="Arial"/>
                  <w:sz w:val="22"/>
                  <w:szCs w:val="22"/>
                  <w:color w:val="000000"/>
                  <w:vertAlign w:val="superscript"/>
                </w:rPr>
                <w:t>(3)</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7740" w:type="dxa"/>
            <w:vAlign w:val="bottom"/>
            <w:gridSpan w:val="16"/>
          </w:tcPr>
          <w:p>
            <w:pPr>
              <w:spacing w:after="0"/>
              <w:rPr>
                <w:rFonts w:ascii="Arial" w:cs="Arial" w:eastAsia="Arial" w:hAnsi="Arial"/>
                <w:sz w:val="18"/>
                <w:szCs w:val="18"/>
                <w:color w:val="0000EE"/>
              </w:rPr>
            </w:pPr>
            <w:hyperlink r:id="rId136">
              <w:r>
                <w:rPr>
                  <w:rFonts w:ascii="Arial" w:cs="Arial" w:eastAsia="Arial" w:hAnsi="Arial"/>
                  <w:sz w:val="18"/>
                  <w:szCs w:val="18"/>
                  <w:color w:val="0000EE"/>
                </w:rPr>
                <w:t xml:space="preserve">Amendment No. 4 and Waiver to Amended and Restated Loan and Security Agreement </w:t>
              </w:r>
            </w:hyperlink>
            <w:r>
              <w:rPr>
                <w:rFonts w:ascii="Arial" w:cs="Arial" w:eastAsia="Arial" w:hAnsi="Arial"/>
                <w:sz w:val="26"/>
                <w:szCs w:val="26"/>
                <w:color w:val="000000"/>
                <w:vertAlign w:val="superscript"/>
              </w:rPr>
              <w:t>(17)</w:t>
            </w:r>
          </w:p>
        </w:tc>
      </w:tr>
      <w:tr>
        <w:trPr>
          <w:trHeight w:val="20"/>
        </w:trPr>
        <w:tc>
          <w:tcPr>
            <w:tcW w:w="1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7740" w:type="dxa"/>
            <w:vAlign w:val="bottom"/>
            <w:gridSpan w:val="16"/>
          </w:tcPr>
          <w:p>
            <w:pPr>
              <w:spacing w:after="0"/>
              <w:rPr>
                <w:rFonts w:ascii="Arial" w:cs="Arial" w:eastAsia="Arial" w:hAnsi="Arial"/>
                <w:sz w:val="18"/>
                <w:szCs w:val="18"/>
                <w:color w:val="0000EE"/>
              </w:rPr>
            </w:pPr>
            <w:hyperlink r:id="rId137">
              <w:r>
                <w:rPr>
                  <w:rFonts w:ascii="Arial" w:cs="Arial" w:eastAsia="Arial" w:hAnsi="Arial"/>
                  <w:sz w:val="18"/>
                  <w:szCs w:val="18"/>
                  <w:color w:val="0000EE"/>
                </w:rPr>
                <w:t xml:space="preserve">Amendment No. 5 and Waiver to Amended and Restated Loan and Security Agreement </w:t>
              </w:r>
            </w:hyperlink>
            <w:r>
              <w:rPr>
                <w:rFonts w:ascii="Arial" w:cs="Arial" w:eastAsia="Arial" w:hAnsi="Arial"/>
                <w:sz w:val="26"/>
                <w:szCs w:val="26"/>
                <w:color w:val="000000"/>
                <w:vertAlign w:val="superscript"/>
              </w:rPr>
              <w:t>(18)</w:t>
            </w:r>
          </w:p>
        </w:tc>
      </w:tr>
      <w:tr>
        <w:trPr>
          <w:trHeight w:val="20"/>
        </w:trPr>
        <w:tc>
          <w:tcPr>
            <w:tcW w:w="1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7740" w:type="dxa"/>
            <w:vAlign w:val="bottom"/>
            <w:tcBorders>
              <w:bottom w:val="single" w:sz="8" w:color="0000EE"/>
            </w:tcBorders>
            <w:gridSpan w:val="16"/>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Promissory Note, dated April 20, 2020, executed by Xcel Brands, Inc., as Borrower, for the benefit of Bank</w:t>
              </w:r>
            </w:hyperlink>
          </w:p>
        </w:tc>
      </w:tr>
      <w:tr>
        <w:trPr>
          <w:trHeight w:val="196"/>
        </w:trPr>
        <w:tc>
          <w:tcPr>
            <w:tcW w:w="1140" w:type="dxa"/>
            <w:vAlign w:val="bottom"/>
          </w:tcPr>
          <w:p>
            <w:pPr>
              <w:spacing w:after="0"/>
              <w:rPr>
                <w:sz w:val="17"/>
                <w:szCs w:val="17"/>
                <w:color w:val="auto"/>
              </w:rPr>
            </w:pPr>
          </w:p>
        </w:tc>
        <w:tc>
          <w:tcPr>
            <w:tcW w:w="7740" w:type="dxa"/>
            <w:vAlign w:val="bottom"/>
            <w:gridSpan w:val="16"/>
          </w:tcPr>
          <w:p>
            <w:pPr>
              <w:spacing w:after="0" w:line="195" w:lineRule="exact"/>
              <w:rPr>
                <w:rFonts w:ascii="Arial" w:cs="Arial" w:eastAsia="Arial" w:hAnsi="Arial"/>
                <w:sz w:val="16"/>
                <w:szCs w:val="16"/>
                <w:color w:val="0000EE"/>
              </w:rPr>
            </w:pPr>
            <w:hyperlink r:id="rId138">
              <w:r>
                <w:rPr>
                  <w:rFonts w:ascii="Arial" w:cs="Arial" w:eastAsia="Arial" w:hAnsi="Arial"/>
                  <w:sz w:val="16"/>
                  <w:szCs w:val="16"/>
                  <w:color w:val="0000EE"/>
                </w:rPr>
                <w:t xml:space="preserve">of America, NA, as lender </w:t>
              </w:r>
              <w:r>
                <w:rPr>
                  <w:rFonts w:ascii="Arial" w:cs="Arial" w:eastAsia="Arial" w:hAnsi="Arial"/>
                  <w:sz w:val="22"/>
                  <w:szCs w:val="22"/>
                  <w:color w:val="000000"/>
                  <w:vertAlign w:val="superscript"/>
                </w:rPr>
                <w:t>(16)</w:t>
              </w:r>
            </w:hyperlink>
          </w:p>
        </w:tc>
      </w:tr>
      <w:tr>
        <w:trPr>
          <w:trHeight w:val="20"/>
        </w:trPr>
        <w:tc>
          <w:tcPr>
            <w:tcW w:w="114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21.1</w:t>
            </w:r>
          </w:p>
        </w:tc>
        <w:tc>
          <w:tcPr>
            <w:tcW w:w="7740" w:type="dxa"/>
            <w:vAlign w:val="bottom"/>
            <w:gridSpan w:val="16"/>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 xml:space="preserve">Subsidiaries of the Registrant </w:t>
              </w:r>
            </w:hyperlink>
            <w:r>
              <w:rPr>
                <w:rFonts w:ascii="Arial" w:cs="Arial" w:eastAsia="Arial" w:hAnsi="Arial"/>
                <w:sz w:val="26"/>
                <w:szCs w:val="26"/>
                <w:color w:val="000000"/>
                <w:vertAlign w:val="superscript"/>
              </w:rPr>
              <w:t>(19)</w:t>
            </w:r>
          </w:p>
        </w:tc>
      </w:tr>
      <w:tr>
        <w:trPr>
          <w:trHeight w:val="20"/>
        </w:trPr>
        <w:tc>
          <w:tcPr>
            <w:tcW w:w="1140" w:type="dxa"/>
            <w:vAlign w:val="bottom"/>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20" w:type="dxa"/>
            <w:vAlign w:val="bottom"/>
            <w:gridSpan w:val="10"/>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23.1</w:t>
            </w:r>
          </w:p>
        </w:tc>
        <w:tc>
          <w:tcPr>
            <w:tcW w:w="7740" w:type="dxa"/>
            <w:vAlign w:val="bottom"/>
            <w:gridSpan w:val="16"/>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 xml:space="preserve">Consent of Independent Registered Public Accounting Firm </w:t>
              </w:r>
            </w:hyperlink>
            <w:r>
              <w:rPr>
                <w:rFonts w:ascii="Arial" w:cs="Arial" w:eastAsia="Arial" w:hAnsi="Arial"/>
                <w:sz w:val="26"/>
                <w:szCs w:val="26"/>
                <w:color w:val="000000"/>
                <w:vertAlign w:val="superscript"/>
              </w:rPr>
              <w:t>(19)</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31(i).1</w:t>
            </w:r>
          </w:p>
        </w:tc>
        <w:tc>
          <w:tcPr>
            <w:tcW w:w="4320" w:type="dxa"/>
            <w:vAlign w:val="bottom"/>
            <w:tcBorders>
              <w:top w:val="single" w:sz="8" w:color="0000EE"/>
            </w:tcBorders>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 xml:space="preserve">Rule 13a-14(a)/15d-14(a) Certification (CEO) </w:t>
              </w:r>
            </w:hyperlink>
            <w:r>
              <w:rPr>
                <w:rFonts w:ascii="Arial" w:cs="Arial" w:eastAsia="Arial" w:hAnsi="Arial"/>
                <w:sz w:val="26"/>
                <w:szCs w:val="26"/>
                <w:color w:val="000000"/>
                <w:vertAlign w:val="superscript"/>
              </w:rPr>
              <w:t>(19)</w:t>
            </w:r>
          </w:p>
        </w:tc>
        <w:tc>
          <w:tcPr>
            <w:tcW w:w="3420" w:type="dxa"/>
            <w:vAlign w:val="bottom"/>
            <w:gridSpan w:val="10"/>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Borders>
              <w:right w:val="single" w:sz="8" w:color="0000EE"/>
            </w:tcBorders>
            <w:gridSpan w:val="4"/>
            <w:shd w:val="clear" w:color="auto" w:fill="0000EE"/>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400" w:type="dxa"/>
            <w:vAlign w:val="bottom"/>
            <w:gridSpan w:val="11"/>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31(i).2</w:t>
            </w:r>
          </w:p>
        </w:tc>
        <w:tc>
          <w:tcPr>
            <w:tcW w:w="7740" w:type="dxa"/>
            <w:vAlign w:val="bottom"/>
            <w:gridSpan w:val="1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 xml:space="preserve">Rule 13a-14(a)/15d-14(a) Certification (CFO) </w:t>
              </w:r>
            </w:hyperlink>
            <w:r>
              <w:rPr>
                <w:rFonts w:ascii="Arial" w:cs="Arial" w:eastAsia="Arial" w:hAnsi="Arial"/>
                <w:sz w:val="26"/>
                <w:szCs w:val="26"/>
                <w:color w:val="000000"/>
                <w:vertAlign w:val="superscript"/>
              </w:rPr>
              <w:t>(19)</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32(i).1</w:t>
            </w:r>
          </w:p>
        </w:tc>
        <w:tc>
          <w:tcPr>
            <w:tcW w:w="3340" w:type="dxa"/>
            <w:vAlign w:val="bottom"/>
            <w:tcBorders>
              <w:top w:val="single" w:sz="8" w:color="0000EE"/>
            </w:tcBorders>
            <w:gridSpan w:val="5"/>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 xml:space="preserve">Section 1350 Certification (CEO) </w:t>
              </w:r>
            </w:hyperlink>
            <w:r>
              <w:rPr>
                <w:rFonts w:ascii="Arial" w:cs="Arial" w:eastAsia="Arial" w:hAnsi="Arial"/>
                <w:sz w:val="26"/>
                <w:szCs w:val="26"/>
                <w:color w:val="000000"/>
                <w:vertAlign w:val="superscript"/>
              </w:rPr>
              <w:t>(19)</w:t>
            </w:r>
          </w:p>
        </w:tc>
        <w:tc>
          <w:tcPr>
            <w:tcW w:w="4400" w:type="dxa"/>
            <w:vAlign w:val="bottom"/>
            <w:gridSpan w:val="11"/>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2440" w:type="dxa"/>
            <w:vAlign w:val="bottom"/>
            <w:tcBorders>
              <w:right w:val="single" w:sz="8" w:color="0000EE"/>
            </w:tcBorders>
            <w:gridSpan w:val="4"/>
            <w:shd w:val="clear" w:color="auto" w:fill="0000EE"/>
          </w:tcPr>
          <w:p>
            <w:pPr>
              <w:spacing w:after="0" w:line="20" w:lineRule="exact"/>
              <w:rPr>
                <w:sz w:val="1"/>
                <w:szCs w:val="1"/>
                <w:color w:val="auto"/>
              </w:rPr>
            </w:pPr>
          </w:p>
        </w:tc>
        <w:tc>
          <w:tcPr>
            <w:tcW w:w="5300" w:type="dxa"/>
            <w:vAlign w:val="bottom"/>
            <w:gridSpan w:val="12"/>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32(i).2</w:t>
            </w:r>
          </w:p>
        </w:tc>
        <w:tc>
          <w:tcPr>
            <w:tcW w:w="7740" w:type="dxa"/>
            <w:vAlign w:val="bottom"/>
            <w:gridSpan w:val="16"/>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 xml:space="preserve">Section 1350 Certification (CFO) </w:t>
              </w:r>
            </w:hyperlink>
            <w:r>
              <w:rPr>
                <w:rFonts w:ascii="Arial" w:cs="Arial" w:eastAsia="Arial" w:hAnsi="Arial"/>
                <w:sz w:val="26"/>
                <w:szCs w:val="26"/>
                <w:color w:val="000000"/>
                <w:vertAlign w:val="superscript"/>
              </w:rPr>
              <w:t>(19)</w:t>
            </w:r>
          </w:p>
        </w:tc>
      </w:tr>
      <w:tr>
        <w:trPr>
          <w:trHeight w:val="578"/>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24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8"/>
              </w:rPr>
              <w:t xml:space="preserve">XBRL Instance Document </w:t>
            </w:r>
            <w:r>
              <w:rPr>
                <w:rFonts w:ascii="Arial" w:cs="Arial" w:eastAsia="Arial" w:hAnsi="Arial"/>
                <w:sz w:val="26"/>
                <w:szCs w:val="26"/>
                <w:color w:val="auto"/>
                <w:w w:val="98"/>
                <w:vertAlign w:val="superscript"/>
              </w:rPr>
              <w:t>(19)</w:t>
            </w:r>
          </w:p>
        </w:tc>
        <w:tc>
          <w:tcPr>
            <w:tcW w:w="5300" w:type="dxa"/>
            <w:vAlign w:val="bottom"/>
            <w:gridSpan w:val="12"/>
          </w:tcPr>
          <w:p>
            <w:pPr>
              <w:spacing w:after="0"/>
              <w:rPr>
                <w:sz w:val="24"/>
                <w:szCs w:val="24"/>
                <w:color w:val="auto"/>
              </w:rPr>
            </w:pP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7740" w:type="dxa"/>
            <w:vAlign w:val="bottom"/>
            <w:gridSpan w:val="16"/>
          </w:tcPr>
          <w:p>
            <w:pPr>
              <w:spacing w:after="0"/>
              <w:rPr>
                <w:sz w:val="20"/>
                <w:szCs w:val="20"/>
                <w:color w:val="auto"/>
              </w:rPr>
            </w:pPr>
            <w:r>
              <w:rPr>
                <w:rFonts w:ascii="Arial" w:cs="Arial" w:eastAsia="Arial" w:hAnsi="Arial"/>
                <w:sz w:val="18"/>
                <w:szCs w:val="18"/>
                <w:color w:val="auto"/>
              </w:rPr>
              <w:t xml:space="preserve">XBRL Taxonomy Schema </w:t>
            </w:r>
            <w:r>
              <w:rPr>
                <w:rFonts w:ascii="Arial" w:cs="Arial" w:eastAsia="Arial" w:hAnsi="Arial"/>
                <w:sz w:val="26"/>
                <w:szCs w:val="26"/>
                <w:color w:val="auto"/>
                <w:vertAlign w:val="superscript"/>
              </w:rPr>
              <w:t>(19)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7740" w:type="dxa"/>
            <w:vAlign w:val="bottom"/>
            <w:gridSpan w:val="16"/>
          </w:tcPr>
          <w:p>
            <w:pPr>
              <w:spacing w:after="0"/>
              <w:rPr>
                <w:sz w:val="20"/>
                <w:szCs w:val="20"/>
                <w:color w:val="auto"/>
              </w:rPr>
            </w:pPr>
            <w:r>
              <w:rPr>
                <w:rFonts w:ascii="Arial" w:cs="Arial" w:eastAsia="Arial" w:hAnsi="Arial"/>
                <w:sz w:val="18"/>
                <w:szCs w:val="18"/>
                <w:color w:val="auto"/>
              </w:rPr>
              <w:t xml:space="preserve">XBRL Taxonomy Calculation Linkbase </w:t>
            </w:r>
            <w:r>
              <w:rPr>
                <w:rFonts w:ascii="Arial" w:cs="Arial" w:eastAsia="Arial" w:hAnsi="Arial"/>
                <w:sz w:val="26"/>
                <w:szCs w:val="26"/>
                <w:color w:val="auto"/>
                <w:vertAlign w:val="superscript"/>
              </w:rPr>
              <w:t>(19)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7740" w:type="dxa"/>
            <w:vAlign w:val="bottom"/>
            <w:gridSpan w:val="16"/>
          </w:tcPr>
          <w:p>
            <w:pPr>
              <w:spacing w:after="0"/>
              <w:rPr>
                <w:sz w:val="20"/>
                <w:szCs w:val="20"/>
                <w:color w:val="auto"/>
              </w:rPr>
            </w:pPr>
            <w:r>
              <w:rPr>
                <w:rFonts w:ascii="Arial" w:cs="Arial" w:eastAsia="Arial" w:hAnsi="Arial"/>
                <w:sz w:val="18"/>
                <w:szCs w:val="18"/>
                <w:color w:val="auto"/>
              </w:rPr>
              <w:t xml:space="preserve">XBRL Taxonomy Definition Linkbase </w:t>
            </w:r>
            <w:r>
              <w:rPr>
                <w:rFonts w:ascii="Arial" w:cs="Arial" w:eastAsia="Arial" w:hAnsi="Arial"/>
                <w:sz w:val="26"/>
                <w:szCs w:val="26"/>
                <w:color w:val="auto"/>
                <w:vertAlign w:val="superscript"/>
              </w:rPr>
              <w:t>(19)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7740" w:type="dxa"/>
            <w:vAlign w:val="bottom"/>
            <w:gridSpan w:val="16"/>
          </w:tcPr>
          <w:p>
            <w:pPr>
              <w:spacing w:after="0"/>
              <w:rPr>
                <w:sz w:val="20"/>
                <w:szCs w:val="20"/>
                <w:color w:val="auto"/>
              </w:rPr>
            </w:pPr>
            <w:r>
              <w:rPr>
                <w:rFonts w:ascii="Arial" w:cs="Arial" w:eastAsia="Arial" w:hAnsi="Arial"/>
                <w:sz w:val="18"/>
                <w:szCs w:val="18"/>
                <w:color w:val="auto"/>
              </w:rPr>
              <w:t xml:space="preserve">XBRL Taxonomy Label Linkbase </w:t>
            </w:r>
            <w:r>
              <w:rPr>
                <w:rFonts w:ascii="Arial" w:cs="Arial" w:eastAsia="Arial" w:hAnsi="Arial"/>
                <w:sz w:val="26"/>
                <w:szCs w:val="26"/>
                <w:color w:val="auto"/>
                <w:vertAlign w:val="superscript"/>
              </w:rPr>
              <w:t>(19)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7740" w:type="dxa"/>
            <w:vAlign w:val="bottom"/>
            <w:gridSpan w:val="16"/>
          </w:tcPr>
          <w:p>
            <w:pPr>
              <w:spacing w:after="0"/>
              <w:rPr>
                <w:sz w:val="20"/>
                <w:szCs w:val="20"/>
                <w:color w:val="auto"/>
              </w:rPr>
            </w:pPr>
            <w:r>
              <w:rPr>
                <w:rFonts w:ascii="Arial" w:cs="Arial" w:eastAsia="Arial" w:hAnsi="Arial"/>
                <w:sz w:val="18"/>
                <w:szCs w:val="18"/>
                <w:color w:val="auto"/>
              </w:rPr>
              <w:t xml:space="preserve">XBRL Taxonomy Presentation Linkbase </w:t>
            </w:r>
            <w:r>
              <w:rPr>
                <w:rFonts w:ascii="Arial" w:cs="Arial" w:eastAsia="Arial" w:hAnsi="Arial"/>
                <w:sz w:val="26"/>
                <w:szCs w:val="26"/>
                <w:color w:val="auto"/>
                <w:vertAlign w:val="superscript"/>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-10795</wp:posOffset>
            </wp:positionV>
            <wp:extent cx="141414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56" w:lineRule="exact"/>
        <w:rPr>
          <w:sz w:val="20"/>
          <w:szCs w:val="20"/>
          <w:color w:val="auto"/>
        </w:rPr>
      </w:pPr>
    </w:p>
    <w:p>
      <w:pPr>
        <w:ind w:left="380" w:right="79" w:hanging="330"/>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5, 2011.</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filed on Form 8-K/A, which was filed with the SEC on February 7, 2012.</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February 15,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10-Q for the fiscal quarter ended June 30, 2013, which was filed with the SEC on August 13, 2013.</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2013.</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March 20, 2014.</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April 9, 2014.</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24, 2014.</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February 28, 2020.</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July 14, 2015.</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October 24, 2017.</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December 8, 2017.</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2018, which was filed with the SEC on April 1, 2019.</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Definitive Proxy Statement on Form DEF 14-A, which was filed with the SEC on August 15, 2016.</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March 1, 2019.</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Current Report on Form 8-K, which was filed with the SEC on April 27, 2020.</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Annual Report on Form 10-K for the year ended December 31, 2019, which was filed with the SEC on April 14, 2020.</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Exhibit is incorporated by reference to the appropriate Exhibit to the Quarterly Report on Form 10-Q for the fiscal quarter ended September 30, 2020, which was filed with the SEC on November 13, 2020.</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80" w:right="259" w:hanging="330"/>
        <w:spacing w:after="0" w:line="277" w:lineRule="auto"/>
        <w:tabs>
          <w:tab w:leader="none" w:pos="371"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Request for Confidential Treatment and filed separately with the SEC. Such portions are designated “***”.</w:t>
      </w:r>
    </w:p>
    <w:p>
      <w:pPr>
        <w:spacing w:after="0" w:line="170" w:lineRule="exact"/>
        <w:rPr>
          <w:sz w:val="20"/>
          <w:szCs w:val="20"/>
          <w:color w:val="auto"/>
        </w:rPr>
      </w:pPr>
    </w:p>
    <w:p>
      <w:pPr>
        <w:jc w:val="both"/>
        <w:ind w:left="60" w:right="79" w:hanging="10"/>
        <w:spacing w:after="0" w:line="263" w:lineRule="auto"/>
        <w:tabs>
          <w:tab w:leader="none" w:pos="4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Xcel Brands, Inc. hereby undertakes to furnish supplementally to the SEC copies of any of the omitted schedules and exhibits upon request by the SEC.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report to be signed on its behalf by the undersigned, thereunto duly authorized.</w:t>
      </w:r>
    </w:p>
    <w:p>
      <w:pPr>
        <w:spacing w:after="0" w:line="184"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4520" w:type="dxa"/>
            <w:vAlign w:val="bottom"/>
          </w:tcPr>
          <w:p>
            <w:pPr>
              <w:spacing w:after="0"/>
              <w:rPr>
                <w:sz w:val="20"/>
                <w:szCs w:val="20"/>
                <w:color w:val="auto"/>
              </w:rPr>
            </w:pPr>
            <w:r>
              <w:rPr>
                <w:rFonts w:ascii="Arial" w:cs="Arial" w:eastAsia="Arial" w:hAnsi="Arial"/>
                <w:sz w:val="18"/>
                <w:szCs w:val="18"/>
                <w:color w:val="auto"/>
              </w:rPr>
              <w:t>Date: April 22, 2021</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D’Loren</w:t>
            </w:r>
          </w:p>
        </w:tc>
      </w:tr>
      <w:tr>
        <w:trPr>
          <w:trHeight w:val="215"/>
        </w:trPr>
        <w:tc>
          <w:tcPr>
            <w:tcW w:w="452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Robert W. D’Loren, Chairman, President,</w:t>
            </w:r>
          </w:p>
        </w:tc>
      </w:tr>
      <w:tr>
        <w:trPr>
          <w:trHeight w:val="230"/>
        </w:trPr>
        <w:tc>
          <w:tcPr>
            <w:tcW w:w="452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45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1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Pursuant to the requirements of the Exchange Act,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600" w:type="dxa"/>
            <w:vAlign w:val="bottom"/>
            <w:vMerge w:val="restart"/>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Robert W. D’Loren</w:t>
            </w:r>
          </w:p>
        </w:tc>
        <w:tc>
          <w:tcPr>
            <w:tcW w:w="1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Robert W. D’Loren</w:t>
            </w:r>
          </w:p>
        </w:tc>
        <w:tc>
          <w:tcPr>
            <w:tcW w:w="18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F. Haran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600" w:type="dxa"/>
            <w:vAlign w:val="bottom"/>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James F. Haran</w:t>
            </w:r>
          </w:p>
        </w:tc>
        <w:tc>
          <w:tcPr>
            <w:tcW w:w="180" w:type="dxa"/>
            <w:vAlign w:val="bottom"/>
          </w:tcPr>
          <w:p>
            <w:pPr>
              <w:spacing w:after="0"/>
              <w:rPr>
                <w:sz w:val="18"/>
                <w:szCs w:val="18"/>
                <w:color w:val="auto"/>
              </w:rPr>
            </w:pPr>
          </w:p>
        </w:tc>
        <w:tc>
          <w:tcPr>
            <w:tcW w:w="4460" w:type="dxa"/>
            <w:vAlign w:val="bottom"/>
          </w:tcPr>
          <w:p>
            <w:pPr>
              <w:ind w:left="20"/>
              <w:spacing w:after="0" w:line="203" w:lineRule="exact"/>
              <w:rPr>
                <w:sz w:val="20"/>
                <w:szCs w:val="20"/>
                <w:color w:val="auto"/>
              </w:rPr>
            </w:pPr>
            <w:r>
              <w:rPr>
                <w:rFonts w:ascii="Arial" w:cs="Arial" w:eastAsia="Arial" w:hAnsi="Arial"/>
                <w:sz w:val="18"/>
                <w:szCs w:val="18"/>
                <w:color w:val="auto"/>
              </w:rPr>
              <w:t>(Principal Financial Officer and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Michael R. Francis</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Michael R. Francis</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DiSanto</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Mark DiSanto</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James Fielding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James Fielding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Howard Liebman</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Howard Liebman</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Deborah Weinswig</w:t>
            </w:r>
          </w:p>
        </w:tc>
        <w:tc>
          <w:tcPr>
            <w:tcW w:w="18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600" w:type="dxa"/>
            <w:vAlign w:val="bottom"/>
          </w:tcPr>
          <w:p>
            <w:pPr>
              <w:ind w:left="180"/>
              <w:spacing w:after="0"/>
              <w:rPr>
                <w:sz w:val="20"/>
                <w:szCs w:val="20"/>
                <w:color w:val="auto"/>
              </w:rPr>
            </w:pPr>
            <w:r>
              <w:rPr>
                <w:rFonts w:ascii="Arial" w:cs="Arial" w:eastAsia="Arial" w:hAnsi="Arial"/>
                <w:sz w:val="18"/>
                <w:szCs w:val="18"/>
                <w:color w:val="auto"/>
              </w:rPr>
              <w:t>April 22,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60" w:type="dxa"/>
            <w:vAlign w:val="bottom"/>
          </w:tcPr>
          <w:p>
            <w:pPr>
              <w:ind w:left="20"/>
              <w:spacing w:after="0"/>
              <w:rPr>
                <w:sz w:val="20"/>
                <w:szCs w:val="20"/>
                <w:color w:val="auto"/>
              </w:rPr>
            </w:pPr>
            <w:r>
              <w:rPr>
                <w:rFonts w:ascii="Arial" w:cs="Arial" w:eastAsia="Arial" w:hAnsi="Arial"/>
                <w:sz w:val="18"/>
                <w:szCs w:val="18"/>
                <w:color w:val="auto"/>
              </w:rPr>
              <w:t>Deborah Weinswig</w:t>
            </w:r>
          </w:p>
        </w:tc>
        <w:tc>
          <w:tcPr>
            <w:tcW w:w="1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640" w:type="dxa"/>
            <w:vAlign w:val="bottom"/>
            <w:gridSpan w:val="2"/>
          </w:tcPr>
          <w:p>
            <w:pPr>
              <w:jc w:val="right"/>
              <w:ind w:right="2632"/>
              <w:spacing w:after="0"/>
              <w:rPr>
                <w:sz w:val="20"/>
                <w:szCs w:val="20"/>
                <w:color w:val="auto"/>
              </w:rPr>
            </w:pPr>
            <w:r>
              <w:rPr>
                <w:rFonts w:ascii="Arial" w:cs="Arial" w:eastAsia="Arial" w:hAnsi="Arial"/>
                <w:sz w:val="18"/>
                <w:szCs w:val="18"/>
                <w:color w:val="auto"/>
              </w:rPr>
              <w:t>109</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9" w:name="page110"/>
    <w:bookmarkEnd w:id="109"/>
    <w:p>
      <w:pPr>
        <w:jc w:val="right"/>
        <w:ind w:right="219"/>
        <w:spacing w:after="0"/>
        <w:rPr>
          <w:sz w:val="20"/>
          <w:szCs w:val="20"/>
          <w:color w:val="auto"/>
        </w:rPr>
      </w:pPr>
      <w:r>
        <w:rPr>
          <w:rFonts w:ascii="Arial" w:cs="Arial" w:eastAsia="Arial" w:hAnsi="Arial"/>
          <w:sz w:val="18"/>
          <w:szCs w:val="18"/>
          <w:b w:val="1"/>
          <w:bCs w:val="1"/>
          <w:color w:val="auto"/>
        </w:rPr>
        <w:t>Exhibit 4.4</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XCEL BRANDS, INC. SECURITIES</w:t>
      </w:r>
    </w:p>
    <w:p>
      <w:pPr>
        <w:spacing w:after="0" w:line="243" w:lineRule="exact"/>
        <w:rPr>
          <w:sz w:val="20"/>
          <w:szCs w:val="20"/>
          <w:color w:val="auto"/>
        </w:rPr>
      </w:pPr>
    </w:p>
    <w:p>
      <w:pPr>
        <w:jc w:val="both"/>
        <w:ind w:left="200" w:right="219" w:firstLine="270"/>
        <w:spacing w:after="0" w:line="277" w:lineRule="auto"/>
        <w:rPr>
          <w:sz w:val="20"/>
          <w:szCs w:val="20"/>
          <w:color w:val="auto"/>
        </w:rPr>
      </w:pPr>
      <w:r>
        <w:rPr>
          <w:rFonts w:ascii="Arial" w:cs="Arial" w:eastAsia="Arial" w:hAnsi="Arial"/>
          <w:sz w:val="18"/>
          <w:szCs w:val="18"/>
          <w:color w:val="auto"/>
        </w:rPr>
        <w:t>The following information is a summary of our capital stock and provisions of our certificate of incorporation and bylaws.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243" w:lineRule="exact"/>
        <w:rPr>
          <w:sz w:val="20"/>
          <w:szCs w:val="20"/>
          <w:color w:val="auto"/>
        </w:rPr>
      </w:pPr>
    </w:p>
    <w:p>
      <w:pPr>
        <w:jc w:val="both"/>
        <w:ind w:left="200" w:right="219" w:firstLine="270"/>
        <w:spacing w:after="0" w:line="277" w:lineRule="auto"/>
        <w:rPr>
          <w:sz w:val="20"/>
          <w:szCs w:val="20"/>
          <w:color w:val="auto"/>
        </w:rPr>
      </w:pPr>
      <w:r>
        <w:rPr>
          <w:rFonts w:ascii="Arial" w:cs="Arial" w:eastAsia="Arial" w:hAnsi="Arial"/>
          <w:sz w:val="18"/>
          <w:szCs w:val="18"/>
          <w:color w:val="auto"/>
        </w:rPr>
        <w:t>Our authorized capital stock consists of 50,000,000 shares of common stock at a par value of $0.001 per share and 1,000,000 shares of preferred stock at a par value of $0.001 per share.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243" w:lineRule="exact"/>
        <w:rPr>
          <w:sz w:val="20"/>
          <w:szCs w:val="20"/>
          <w:color w:val="auto"/>
        </w:rPr>
      </w:pPr>
    </w:p>
    <w:p>
      <w:pPr>
        <w:jc w:val="both"/>
        <w:ind w:left="200" w:right="219" w:firstLine="270"/>
        <w:spacing w:after="0" w:line="270" w:lineRule="auto"/>
        <w:rPr>
          <w:sz w:val="20"/>
          <w:szCs w:val="20"/>
          <w:color w:val="auto"/>
        </w:rPr>
      </w:pPr>
      <w:r>
        <w:rPr>
          <w:rFonts w:ascii="Arial" w:cs="Arial" w:eastAsia="Arial" w:hAnsi="Arial"/>
          <w:sz w:val="17"/>
          <w:szCs w:val="17"/>
          <w:color w:val="auto"/>
        </w:rPr>
        <w:t>Holders of our common stock are entitled to one vote per share on all matters submitted to a vote of the stockholders, including the election of directors, and subject to any contractual agreement entered into by any holder of shares. Generally, all matters to be voted on by stockholders must be approved by a majority of the votes entitled to be cast by all shares of our common stock that are present in person or represented by proxy. Holders of our common stock representing a majority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certificate of incorporation. Our certificate of incorporation does not provide for cumulative voting in the election of directors.</w:t>
      </w:r>
    </w:p>
    <w:p>
      <w:pPr>
        <w:spacing w:after="0" w:line="194" w:lineRule="exact"/>
        <w:rPr>
          <w:sz w:val="20"/>
          <w:szCs w:val="20"/>
          <w:color w:val="auto"/>
        </w:rPr>
      </w:pPr>
    </w:p>
    <w:p>
      <w:pPr>
        <w:jc w:val="both"/>
        <w:ind w:left="200" w:right="219" w:firstLine="270"/>
        <w:spacing w:after="0" w:line="271" w:lineRule="auto"/>
        <w:rPr>
          <w:sz w:val="20"/>
          <w:szCs w:val="20"/>
          <w:color w:val="auto"/>
        </w:rPr>
      </w:pPr>
      <w:r>
        <w:rPr>
          <w:rFonts w:ascii="Arial" w:cs="Arial" w:eastAsia="Arial" w:hAnsi="Arial"/>
          <w:sz w:val="17"/>
          <w:szCs w:val="17"/>
          <w:color w:val="auto"/>
        </w:rPr>
        <w:t>The holders of shares of our common stock will be entitled to such cash dividends as may be declared from time to time by our board of directors from funds available therefore. Upon liquidation, dissolution, or winding up, the holders of shares of our common stock will be entitled to receive pro rata all assets available for distribution to such holders. 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and no conversion rights, and there are no redemption provisions applicable to our common stock.</w:t>
      </w:r>
    </w:p>
    <w:p>
      <w:pPr>
        <w:spacing w:after="0" w:line="192" w:lineRule="exact"/>
        <w:rPr>
          <w:sz w:val="20"/>
          <w:szCs w:val="20"/>
          <w:color w:val="auto"/>
        </w:rPr>
      </w:pPr>
    </w:p>
    <w:p>
      <w:pPr>
        <w:jc w:val="both"/>
        <w:ind w:left="200" w:right="239" w:firstLine="324"/>
        <w:spacing w:after="0" w:line="277" w:lineRule="auto"/>
        <w:rPr>
          <w:sz w:val="20"/>
          <w:szCs w:val="20"/>
          <w:color w:val="auto"/>
        </w:rPr>
      </w:pPr>
      <w:r>
        <w:rPr>
          <w:rFonts w:ascii="Arial" w:cs="Arial" w:eastAsia="Arial" w:hAnsi="Arial"/>
          <w:sz w:val="18"/>
          <w:szCs w:val="18"/>
          <w:color w:val="auto"/>
        </w:rPr>
        <w:t>Our common stock trades on the Nasdaq Global Market under the symbol "XELB." Continental Stock Transfer &amp; Trust Company is the transfer agent and registrar for our common stock.</w:t>
      </w:r>
    </w:p>
    <w:p>
      <w:pPr>
        <w:spacing w:after="0" w:line="184" w:lineRule="exact"/>
        <w:rPr>
          <w:sz w:val="20"/>
          <w:szCs w:val="20"/>
          <w:color w:val="auto"/>
        </w:rPr>
      </w:pPr>
    </w:p>
    <w:p>
      <w:pPr>
        <w:jc w:val="both"/>
        <w:ind w:left="200" w:right="219" w:firstLine="324"/>
        <w:spacing w:after="0" w:line="263" w:lineRule="auto"/>
        <w:rPr>
          <w:sz w:val="20"/>
          <w:szCs w:val="20"/>
          <w:color w:val="auto"/>
        </w:rPr>
      </w:pPr>
      <w:r>
        <w:rPr>
          <w:rFonts w:ascii="Arial" w:cs="Arial" w:eastAsia="Arial" w:hAnsi="Arial"/>
          <w:sz w:val="18"/>
          <w:szCs w:val="18"/>
          <w:color w:val="auto"/>
        </w:rPr>
        <w:t>For more information on the common stock, including the votes necessary for the common stockholders to take action, see the Amended and Restated By-Laws incorporated by reference to the Current Report on Form 8-K, which was filed with the SEC on December 8, 2017.</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243" w:lineRule="exact"/>
        <w:rPr>
          <w:sz w:val="20"/>
          <w:szCs w:val="20"/>
          <w:color w:val="auto"/>
        </w:rPr>
      </w:pPr>
    </w:p>
    <w:p>
      <w:pPr>
        <w:jc w:val="both"/>
        <w:ind w:left="200" w:right="219" w:firstLine="270"/>
        <w:spacing w:after="0" w:line="269" w:lineRule="auto"/>
        <w:rPr>
          <w:sz w:val="20"/>
          <w:szCs w:val="20"/>
          <w:color w:val="auto"/>
        </w:rPr>
      </w:pPr>
      <w:r>
        <w:rPr>
          <w:rFonts w:ascii="Arial" w:cs="Arial" w:eastAsia="Arial" w:hAnsi="Arial"/>
          <w:sz w:val="17"/>
          <w:szCs w:val="17"/>
          <w:color w:val="auto"/>
        </w:rPr>
        <w:t>As of the date hereof, there are no shares of preferred stock outstanding. Our board of directors, without further stockholder approval, may issue preferred stock in one or more classes or series as the board may determine from time to time. Each such class or series shall be distinctly designated. All shares of any one class or series of the preferred stock shall be alike in every particular, except that there may be different dates from which dividends thereon, if any, shall be cumulative, if made cumulative. The voting powers, designations, preferences, limitations, restrictions and relative rights thereof, if any, may differ from those of any and all other series outstanding at any time. Our board of directors has express authority to fix (by resolutions adopted prior to the issuance of any shares of each particular class or series of preferred stock) the number of shares, voting powers, designations, preferences, limitations, restrictions and relative rights of each such class or series. The rights granted to the holders of any series of preferred stock could adversely affect the voting power of the holders of common stock and the issuance of preferred stock may delay, defer or prevent a change in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476250</wp:posOffset>
            </wp:positionV>
            <wp:extent cx="545211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ind w:left="200"/>
        <w:spacing w:after="0"/>
        <w:rPr>
          <w:sz w:val="20"/>
          <w:szCs w:val="20"/>
          <w:color w:val="auto"/>
        </w:rPr>
      </w:pPr>
      <w:r>
        <w:rPr>
          <w:rFonts w:ascii="Arial" w:cs="Arial" w:eastAsia="Arial" w:hAnsi="Arial"/>
          <w:sz w:val="18"/>
          <w:szCs w:val="18"/>
          <w:b w:val="1"/>
          <w:bCs w:val="1"/>
          <w:color w:val="auto"/>
        </w:rPr>
        <w:t>Stock Options and Restricted Stock Awards</w:t>
      </w:r>
    </w:p>
    <w:p>
      <w:pPr>
        <w:spacing w:after="0" w:line="243" w:lineRule="exact"/>
        <w:rPr>
          <w:sz w:val="20"/>
          <w:szCs w:val="20"/>
          <w:color w:val="auto"/>
        </w:rPr>
      </w:pPr>
    </w:p>
    <w:p>
      <w:pPr>
        <w:jc w:val="both"/>
        <w:ind w:left="200" w:right="219" w:firstLine="279"/>
        <w:spacing w:after="0" w:line="286" w:lineRule="auto"/>
        <w:rPr>
          <w:sz w:val="20"/>
          <w:szCs w:val="20"/>
          <w:color w:val="auto"/>
        </w:rPr>
      </w:pPr>
      <w:r>
        <w:rPr>
          <w:rFonts w:ascii="Arial" w:cs="Arial" w:eastAsia="Arial" w:hAnsi="Arial"/>
          <w:sz w:val="17"/>
          <w:szCs w:val="17"/>
          <w:color w:val="auto"/>
        </w:rPr>
        <w:t>The description of the outstanding stock options and restricted stock awards issued from the Third Amended and Restated 2011 Equity Incentive Plan incorporated herein by reference to Annex A (including the Appendices thereto) to the Definitive Proxy Statement on Form DEF-14A which was filed with the SEC on August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320040</wp:posOffset>
            </wp:positionV>
            <wp:extent cx="545211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Xcel Brands,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and Jurisdiction of Incorporation</w:t>
      </w:r>
    </w:p>
    <w:p>
      <w:pPr>
        <w:spacing w:after="0" w:line="225" w:lineRule="exact"/>
        <w:rPr>
          <w:sz w:val="20"/>
          <w:szCs w:val="20"/>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 Brands,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Judith Ripka Fine Jewelry,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JR Licensing,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 Licensing,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 Wonder Licensing,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Xcel Design Group,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Beauty Solution,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Tribe Cosmetics,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Xcel Acquisition Co.,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XCEL-CT MFG,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 Heritage Licensing, LLC, a Delaware limited liability company</w:t>
      </w:r>
    </w:p>
    <w:p>
      <w:pPr>
        <w:spacing w:after="0" w:line="225" w:lineRule="exact"/>
        <w:rPr>
          <w:rFonts w:ascii="Arial" w:cs="Arial" w:eastAsia="Arial" w:hAnsi="Arial"/>
          <w:sz w:val="18"/>
          <w:szCs w:val="18"/>
          <w:color w:val="auto"/>
        </w:rPr>
      </w:pPr>
    </w:p>
    <w:p>
      <w:pPr>
        <w:ind w:left="740" w:hanging="230"/>
        <w:spacing w:after="0"/>
        <w:tabs>
          <w:tab w:leader="none" w:pos="7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Longaberger Licensing, LLC, a Delaware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on Form S-3 (333-216009) and on Form S-8 (File Nos. 333-188985, 333-201252, and 333-214150) of Xcel Brands, Inc. of our report dated April 22, 2021 on our audits of the consolidated financial statements of Xcel Brands, Inc. and Subsidiaries as of December 31, 2020 and 2019 and for the years then ended, included in this Annual Report on Form 10-K of Xcel Brands, Inc. for the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3" w:name="page114"/>
    <w:bookmarkEnd w:id="113"/>
    <w:p>
      <w:pPr>
        <w:ind w:left="8620"/>
        <w:spacing w:after="0"/>
        <w:rPr>
          <w:sz w:val="20"/>
          <w:szCs w:val="20"/>
          <w:color w:val="auto"/>
        </w:rPr>
      </w:pPr>
      <w:r>
        <w:rPr>
          <w:rFonts w:ascii="Arial" w:cs="Arial" w:eastAsia="Arial" w:hAnsi="Arial"/>
          <w:sz w:val="18"/>
          <w:szCs w:val="18"/>
          <w:b w:val="1"/>
          <w:bCs w:val="1"/>
          <w:color w:val="auto"/>
        </w:rPr>
        <w:t>EXHIBIT 31(i).1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D’Loren certify that:</w:t>
      </w:r>
    </w:p>
    <w:p>
      <w:pPr>
        <w:spacing w:after="0" w:line="158"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Xcel Brands, Inc. (the "registrant") for the year ended December 31, 2020.</w:t>
      </w:r>
    </w:p>
    <w:p>
      <w:pPr>
        <w:spacing w:after="0" w:line="169" w:lineRule="exact"/>
        <w:rPr>
          <w:rFonts w:ascii="Arial" w:cs="Arial" w:eastAsia="Arial" w:hAnsi="Arial"/>
          <w:sz w:val="17"/>
          <w:szCs w:val="17"/>
          <w:color w:val="auto"/>
        </w:rPr>
      </w:pPr>
    </w:p>
    <w:p>
      <w:pPr>
        <w:ind w:left="320" w:right="20" w:hanging="312"/>
        <w:spacing w:after="0" w:line="263" w:lineRule="auto"/>
        <w:tabs>
          <w:tab w:leader="none" w:pos="3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20" w:right="80" w:hanging="312"/>
        <w:spacing w:after="0" w:line="263" w:lineRule="auto"/>
        <w:tabs>
          <w:tab w:leader="none" w:pos="314"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20" w:right="60" w:hanging="312"/>
        <w:spacing w:after="0" w:line="263" w:lineRule="auto"/>
        <w:tabs>
          <w:tab w:leader="none" w:pos="3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660" w:right="60" w:hanging="328"/>
        <w:spacing w:after="0" w:line="286" w:lineRule="auto"/>
        <w:tabs>
          <w:tab w:leader="none" w:pos="641"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660" w:right="200" w:hanging="328"/>
        <w:spacing w:after="0" w:line="286" w:lineRule="auto"/>
        <w:tabs>
          <w:tab w:leader="none" w:pos="651"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660" w:right="300" w:hanging="328"/>
        <w:spacing w:after="0" w:line="263" w:lineRule="auto"/>
        <w:tabs>
          <w:tab w:leader="none" w:pos="641"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300" w:hanging="328"/>
        <w:spacing w:after="0" w:line="311" w:lineRule="auto"/>
        <w:tabs>
          <w:tab w:leader="none" w:pos="651"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20" w:right="180" w:hanging="312"/>
        <w:spacing w:after="0" w:line="263" w:lineRule="auto"/>
        <w:tabs>
          <w:tab w:leader="none" w:pos="31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3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41"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22, 2021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Chairman, President, Chief Executive Officer and Director</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ind w:left="8620"/>
        <w:spacing w:after="0"/>
        <w:rPr>
          <w:sz w:val="20"/>
          <w:szCs w:val="20"/>
          <w:color w:val="auto"/>
        </w:rPr>
      </w:pPr>
      <w:r>
        <w:rPr>
          <w:rFonts w:ascii="Arial" w:cs="Arial" w:eastAsia="Arial" w:hAnsi="Arial"/>
          <w:sz w:val="18"/>
          <w:szCs w:val="18"/>
          <w:b w:val="1"/>
          <w:bCs w:val="1"/>
          <w:color w:val="auto"/>
        </w:rPr>
        <w:t>EXHIBIT 31(i).2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 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F. Haran certify that:</w:t>
      </w:r>
    </w:p>
    <w:p>
      <w:pPr>
        <w:spacing w:after="0" w:line="158" w:lineRule="exact"/>
        <w:rPr>
          <w:sz w:val="20"/>
          <w:szCs w:val="20"/>
          <w:color w:val="auto"/>
        </w:rPr>
      </w:pPr>
    </w:p>
    <w:p>
      <w:pPr>
        <w:ind w:left="320" w:hanging="312"/>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Xcel Brands, Inc. (the "registrant") for the year ended December 31, 2020.</w:t>
      </w:r>
    </w:p>
    <w:p>
      <w:pPr>
        <w:spacing w:after="0" w:line="169" w:lineRule="exact"/>
        <w:rPr>
          <w:rFonts w:ascii="Arial" w:cs="Arial" w:eastAsia="Arial" w:hAnsi="Arial"/>
          <w:sz w:val="17"/>
          <w:szCs w:val="17"/>
          <w:color w:val="auto"/>
        </w:rPr>
      </w:pPr>
    </w:p>
    <w:p>
      <w:pPr>
        <w:ind w:left="320" w:right="20" w:hanging="312"/>
        <w:spacing w:after="0" w:line="263" w:lineRule="auto"/>
        <w:tabs>
          <w:tab w:leader="none" w:pos="3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20" w:right="80" w:hanging="312"/>
        <w:spacing w:after="0" w:line="263" w:lineRule="auto"/>
        <w:tabs>
          <w:tab w:leader="none" w:pos="3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320" w:right="60" w:hanging="312"/>
        <w:spacing w:after="0" w:line="263" w:lineRule="auto"/>
        <w:tabs>
          <w:tab w:leader="none" w:pos="3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660" w:right="60" w:hanging="328"/>
        <w:spacing w:after="0" w:line="286" w:lineRule="auto"/>
        <w:tabs>
          <w:tab w:leader="none" w:pos="64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ind w:left="660" w:right="200" w:hanging="328"/>
        <w:spacing w:after="0" w:line="286" w:lineRule="auto"/>
        <w:tabs>
          <w:tab w:leader="none" w:pos="651"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jc w:val="both"/>
        <w:ind w:left="660" w:right="300" w:hanging="328"/>
        <w:spacing w:after="0" w:line="263"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300" w:hanging="328"/>
        <w:spacing w:after="0" w:line="311" w:lineRule="auto"/>
        <w:tabs>
          <w:tab w:leader="none" w:pos="651"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6"/>
          <w:szCs w:val="16"/>
          <w:color w:val="auto"/>
        </w:rPr>
      </w:pPr>
    </w:p>
    <w:p>
      <w:pPr>
        <w:ind w:left="320" w:right="180" w:hanging="312"/>
        <w:spacing w:after="0" w:line="263" w:lineRule="auto"/>
        <w:tabs>
          <w:tab w:leader="none" w:pos="3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80" w:hanging="328"/>
        <w:spacing w:after="0" w:line="263" w:lineRule="auto"/>
        <w:tabs>
          <w:tab w:leader="none" w:pos="63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41"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22, 2021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Chief Financial Officer (Principal Financial and Accounting</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2020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22, 2021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Chairman, President, Chief Executive Officer and Director</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2020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22, 2021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7"/>
          <w:szCs w:val="17"/>
          <w:color w:val="auto"/>
        </w:rPr>
        <w:t>Title: Chief Financial Officer (Principal Financial and Accounting</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323215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o"/>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lowerRoman"/>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1)"/>
      <w:numFmt w:val="lowerRoman"/>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o"/>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1)"/>
      <w:numFmt w:val="lowerRoman"/>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Roman"/>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lowerRoman"/>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lowerRoman"/>
      <w:start w:val="2"/>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7"/>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4"/>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1"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14" Type="http://schemas.openxmlformats.org/officeDocument/2006/relationships/hyperlink" Target="http://www.sec.gov/Archives/edgar/data/1083220/000114420417053726/tv477575_ex3-1.htm" TargetMode="External"/><Relationship Id="rId115" Type="http://schemas.openxmlformats.org/officeDocument/2006/relationships/hyperlink" Target="http://www.sec.gov/Archives/edgar/data/1083220/000114420417063004/tv481032_ex3-2.htm" TargetMode="External"/><Relationship Id="rId116" Type="http://schemas.openxmlformats.org/officeDocument/2006/relationships/hyperlink" Target="http://www.sec.gov/Archives/edgar/data/1083220/000114420416119169/v446751_def14a.htm" TargetMode="External"/><Relationship Id="rId117" Type="http://schemas.openxmlformats.org/officeDocument/2006/relationships/hyperlink" Target="http://www.sec.gov/Archives/edgar/data/1083220/000114420411056582/v236485_ex4-4.htm" TargetMode="External"/><Relationship Id="rId118" Type="http://schemas.openxmlformats.org/officeDocument/2006/relationships/hyperlink" Target="http://www.sec.gov/Archives/edgar/data/1083220/000114420411056582/v236485_ex4-6.htm" TargetMode="External"/><Relationship Id="rId119" Type="http://schemas.openxmlformats.org/officeDocument/2006/relationships/hyperlink" Target="http://www.sec.gov/Archives/edgar/data/1083220/000114420413068859/v363835_ex9-1.htm" TargetMode="External"/><Relationship Id="rId120" Type="http://schemas.openxmlformats.org/officeDocument/2006/relationships/hyperlink" Target="http://www.sec.gov/Archives/edgar/data/1083220/000114420414021516/v374277_ex10-8.htm" TargetMode="External"/><Relationship Id="rId121" Type="http://schemas.openxmlformats.org/officeDocument/2006/relationships/hyperlink" Target="http://www.sec.gov/Archives/edgar/data/1083220/000114420414075828/v397490_ex10-9.htm" TargetMode="External"/><Relationship Id="rId122" Type="http://schemas.openxmlformats.org/officeDocument/2006/relationships/hyperlink" Target="http://www.sec.gov/Archives/edgar/data/1083220/000114420419008652/tv513776_ex10-1.htm" TargetMode="External"/><Relationship Id="rId123" Type="http://schemas.openxmlformats.org/officeDocument/2006/relationships/hyperlink" Target="http://www.sec.gov/Archives/edgar/data/1083220/000114420411056582/v236485_ex10-1.htm" TargetMode="External"/><Relationship Id="rId124" Type="http://schemas.openxmlformats.org/officeDocument/2006/relationships/hyperlink" Target="http://www.sec.gov/Archives/edgar/data/1083220/000114420412006443/v301552_ex10-5.htm" TargetMode="External"/><Relationship Id="rId125" Type="http://schemas.openxmlformats.org/officeDocument/2006/relationships/hyperlink" Target="http://www.sec.gov/Archives/edgar/data/1083220/000114420411056582/v236485_ex10-9.htm" TargetMode="External"/><Relationship Id="rId126" Type="http://schemas.openxmlformats.org/officeDocument/2006/relationships/hyperlink" Target="http://www.sec.gov/Archives/edgar/data/1083220/000155837020001740/ex-99d1.htm" TargetMode="External"/><Relationship Id="rId127" Type="http://schemas.openxmlformats.org/officeDocument/2006/relationships/hyperlink" Target="http://www.sec.gov/Archives/edgar/data/1083220/000114420413045110/v351481_ex10-1.htm" TargetMode="External"/><Relationship Id="rId128" Type="http://schemas.openxmlformats.org/officeDocument/2006/relationships/hyperlink" Target="http://www.sec.gov/Archives/edgar/data/1083220/000114420419011627/tv515202_ex10-1.htm" TargetMode="External"/><Relationship Id="rId129" Type="http://schemas.openxmlformats.org/officeDocument/2006/relationships/hyperlink" Target="http://www.sec.gov/Archives/edgar/data/1083220/000114420419011627/tv515202_ex10-2.htm" TargetMode="External"/><Relationship Id="rId130" Type="http://schemas.openxmlformats.org/officeDocument/2006/relationships/hyperlink" Target="http://www.sec.gov/Archives/edgar/data/1083220/000114420419011627/tv515202_ex10-3.htm" TargetMode="External"/><Relationship Id="rId132" Type="http://schemas.openxmlformats.org/officeDocument/2006/relationships/hyperlink" Target="http://www.sec.gov/Archives/edgar/data/1083220/000114420414016918/v372291_ex10-1.htm" TargetMode="External"/><Relationship Id="rId133" Type="http://schemas.openxmlformats.org/officeDocument/2006/relationships/hyperlink" Target="http://www.sec.gov/Archives/edgar/data/1083220/000114420415042399/v415471_ex10-1.htm" TargetMode="External"/><Relationship Id="rId134" Type="http://schemas.openxmlformats.org/officeDocument/2006/relationships/hyperlink" Target="http://www.sec.gov/Archives/edgar/data/1083220/000114420419008652/tv513776_ex10-2.htm" TargetMode="External"/><Relationship Id="rId135" Type="http://schemas.openxmlformats.org/officeDocument/2006/relationships/hyperlink" Target="http://www.sec.gov/Archives/edgar/data/1083220/000114420419008652/tv513776_ex2-1.htm" TargetMode="External"/><Relationship Id="rId136" Type="http://schemas.openxmlformats.org/officeDocument/2006/relationships/hyperlink" Target="https://www.sec.gov/Archives/edgar/data/0001083220/000155837020003885/xelb-20191231ex10135b2c1.htm" TargetMode="External"/><Relationship Id="rId137" Type="http://schemas.openxmlformats.org/officeDocument/2006/relationships/hyperlink" Target="https://www.sec.gov/Archives/edgar/data/1083220/000155837020013840/xelb-20200930ex101a9f230.htm" TargetMode="External"/><Relationship Id="rId138" Type="http://schemas.openxmlformats.org/officeDocument/2006/relationships/hyperlink" Target="https://www.sec.gov/Archives/edgar/data/0001083220/000155837020004360/tmb-20200423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2021-04-23T05:50:30Z</dcterms:created>
  <dcterms:modified xsi:type="dcterms:W3CDTF">2021-04-23T05:50:30Z</dcterms:modified>
</cp:coreProperties>
</file>