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4640" w:right="2420" w:hanging="2202"/>
        <w:spacing w:after="0" w:line="282" w:lineRule="auto"/>
        <w:tabs>
          <w:tab w:leader="none" w:pos="26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COMMISSION FILE NUMBER: 0-31553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445" w:right="259" w:bottom="1440" w:gutter="0" w:footer="0" w:header="0"/>
        </w:sectPr>
      </w:pPr>
    </w:p>
    <w:p>
      <w:pPr>
        <w:spacing w:after="0" w:line="211"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720" w:space="720"/>
            <w:col w:w="3960"/>
          </w:cols>
          <w:pgMar w:left="240" w:top="445" w:right="25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475 Tenth Ave, 4th Floor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New York, NY 10018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(347)727-2474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Exchange Act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00"/>
          </w:cols>
          <w:pgMar w:left="240" w:top="445" w:right="259" w:bottom="1440" w:gutter="0" w:footer="0" w:header="0"/>
          <w:type w:val="continuous"/>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4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680"/>
          </w:cols>
          <w:pgMar w:left="240" w:top="445" w:right="25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000" w:space="720"/>
            <w:col w:w="1980" w:space="120"/>
            <w:col w:w="3580"/>
          </w:cols>
          <w:pgMar w:left="240" w:top="445" w:right="25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As of May 8, 2015, there were 14,649,689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780" w:type="dxa"/>
            <w:vAlign w:val="bottom"/>
            <w:gridSpan w:val="7"/>
          </w:tcPr>
          <w:p>
            <w:pPr>
              <w:jc w:val="center"/>
              <w:ind w:right="4040"/>
              <w:spacing w:after="0"/>
              <w:rPr>
                <w:sz w:val="20"/>
                <w:szCs w:val="20"/>
                <w:color w:val="auto"/>
              </w:rPr>
            </w:pPr>
            <w:r>
              <w:rPr>
                <w:rFonts w:ascii="Arial" w:cs="Arial" w:eastAsia="Arial" w:hAnsi="Arial"/>
                <w:sz w:val="18"/>
                <w:szCs w:val="18"/>
                <w:b w:val="1"/>
                <w:bCs w:val="1"/>
                <w:color w:val="auto"/>
                <w:w w:val="98"/>
              </w:rPr>
              <w:t>XCEL BRANDS, INC.</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color w:val="auto"/>
              </w:rPr>
              <w:t>INDEX</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7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FINANCIAL INFORMATION</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 of Stockholders’ Equity</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220" w:type="dxa"/>
            <w:vAlign w:val="bottom"/>
            <w:tcBorders>
              <w:top w:val="single" w:sz="8" w:color="CCEEFF"/>
              <w:bottom w:val="single" w:sz="8" w:color="auto"/>
            </w:tcBorders>
            <w:gridSpan w:val="11"/>
          </w:tcPr>
          <w:p>
            <w:pPr>
              <w:jc w:val="center"/>
              <w:ind w:left="3750"/>
              <w:spacing w:after="0"/>
              <w:rPr>
                <w:sz w:val="20"/>
                <w:szCs w:val="20"/>
                <w:color w:val="auto"/>
              </w:rPr>
            </w:pPr>
            <w:r>
              <w:rPr>
                <w:rFonts w:ascii="Arial" w:cs="Arial" w:eastAsia="Arial" w:hAnsi="Arial"/>
                <w:sz w:val="18"/>
                <w:szCs w:val="18"/>
                <w:color w:val="auto"/>
                <w:w w:val="99"/>
              </w:rPr>
              <w:t>2</w:t>
            </w:r>
          </w:p>
        </w:tc>
        <w:tc>
          <w:tcPr>
            <w:tcW w:w="3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Xcel Brands, Inc. and Subsidiaries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ind w:left="40"/>
              <w:spacing w:after="0"/>
              <w:rPr>
                <w:sz w:val="20"/>
                <w:szCs w:val="20"/>
                <w:color w:val="auto"/>
              </w:rPr>
            </w:pPr>
            <w:r>
              <w:rPr>
                <w:rFonts w:ascii="Arial" w:cs="Arial" w:eastAsia="Arial" w:hAnsi="Arial"/>
                <w:sz w:val="18"/>
                <w:szCs w:val="18"/>
                <w:b w:val="1"/>
                <w:bCs w:val="1"/>
                <w:color w:val="auto"/>
                <w:w w:val="96"/>
              </w:rPr>
              <w:t>March 31, 2015   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(See 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6,208,000</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4,883,000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3,641,000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assets held for disposition from discontinued retail operations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12,848,000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ind w:left="3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834,000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833,000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97,536,000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97,679,000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12,371,000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Deferred finance costs,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Long-term assets held for disposition from discontinued retail operations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non-current other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111,068,000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124,458,000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125,741,000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2,858,000</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3,339,000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Installment obligations in connection with the acquisition of the Ripka Brand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1,290,000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6,615,000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5,766,000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Current liabilities held for disposition from discontinued retail operations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261,000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36,044,000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7,714,000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8,082,000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43,966,000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61,124,000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65,517,000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35,000,000 shares authorized at March 31, 2015 and December 31, 2014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14,316,355 and 14,011,896 issued and outstanding at March 31, 2015 and December 31, 2014,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60,159,000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56,718,000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3,161,000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63,334,000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60,224,000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124,458,000</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125,741,000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30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Net licensing revenue</w:t>
            </w:r>
          </w:p>
        </w:tc>
        <w:tc>
          <w:tcPr>
            <w:tcW w:w="2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6,524,000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e-commerce sales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2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Other design and marketing costs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1,013,000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expense</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Interest expense - term debt</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 and finance charges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interest and finance expense</w:t>
            </w:r>
          </w:p>
        </w:tc>
        <w:tc>
          <w:tcPr>
            <w:tcW w:w="2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(1,318,000)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(494,000)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shd w:val="clear" w:color="auto" w:fill="CCEEFF"/>
          </w:tcPr>
          <w:p>
            <w:pPr>
              <w:spacing w:after="0"/>
              <w:rPr>
                <w:sz w:val="20"/>
                <w:szCs w:val="20"/>
                <w:color w:val="auto"/>
              </w:rPr>
            </w:pPr>
          </w:p>
        </w:tc>
        <w:tc>
          <w:tcPr>
            <w:tcW w:w="2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(824,000)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(213,000)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shd w:val="clear" w:color="auto" w:fill="CCEEFF"/>
          </w:tcPr>
          <w:p>
            <w:pPr>
              <w:spacing w:after="0"/>
              <w:rPr>
                <w:sz w:val="20"/>
                <w:szCs w:val="20"/>
                <w:color w:val="auto"/>
              </w:rPr>
            </w:pPr>
          </w:p>
        </w:tc>
        <w:tc>
          <w:tcPr>
            <w:tcW w:w="2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(331,000)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(955,000)</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96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Discontinued operations, net</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9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2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14,069,419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10,830,312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Retained</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Earnings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2015</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14,011,896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56,718,000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3,492,000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 employees in connection with</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net of forfeitures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37,792</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in connection with stock</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options, warrants and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the</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Ripka Seller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 vested stock grants and exercised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 ended March 31, 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Balances, March 31, 2015</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14,316,355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60,159,000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3,161,000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(331,000)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Loss from discontinued operations, net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213,000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(340,000)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vested stock grants and exercised options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611,000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(1,277,000)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(483,000)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cash used in operating activities from discontinued operations, net</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(49,000)</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Cash consideration for asset acquisition of the H Halston Brands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Advance deposit related to trademark acquisition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 from discontinued operations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Shares repurchased on vesting of restricted stock</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vested stock grants and exercised options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 of contingent obligation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deferred finance costs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 of long-term debt</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installment obligations related to the acquisition of the Ripka Brand</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(1,882,000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(2,323,000)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8,531,000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7,461,000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6,208,000</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6,468,000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as payment for notes payable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303,000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during the period for interest</w:t>
            </w: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222,000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160" w:hanging="1030"/>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instructions to Form 10-Q and Rule 10-01 of Regulation S-X of the United States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It is Xcel Brands, Inc.’s, (the “Company’s”) opinion, however, that the accompanying unaudited condensed consolidated financial statements include all adjustments, which are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 for the year ended December 31, 2014, as filed with the SEC on March 31, 2015, which contains the audited consolidated financial statements and notes thereto, together with Management’s Discussion and Analysis of Financial Condition and Results of Operations, for the years ended December 31, 2014 and 2013. The financial information as of December 31, 2014 is derived from the audited consolidated financial statements presented in the Company’s Annual Report on Form 10-K for the year ended December 31, 2014. The interim results for the three months ended March 31, 2015 are not necessarily indicative of the results to be expected for the year ending December 31, 2015 or for any future interim periods.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brand development and media company engaged in the design, licensing, marketing and direct to consumer sales of branded apparel, footwear, accessories, jewelry and home goods, and the acquisition of additional high profile consumer lifestyle brands, including the Isaac Mizrahi brand (the "Isaac Mizrahi Brand"), the Judith Ripka brand (the “Ripka Brand”), certain rights of the Liz Claiborne New York brand (“LCNY Brand”), and the H by Halston and H Halston brands (collectively, the “H Halston Brands”).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operates in a “working capital light” business model, wherein the Company licenses its brands to third parties, provides certain design services, and generates royalty and design and service fee revenues through licensing and other agreements with wholesale manufacturers, sourcing and design companies and retailers. This includes licensing its own brands for promotion and distribution through an omni-channel retail sales strategy, including distribution through direct-response television (i.e., QVC, Inc. (“QVC”) and The Shopping Channel), the internet and traditional brick-and-mortar retail channels. The Isaac Mizrahi Brand and LCNY Brand are licensed through the Company’s wholly-owned subsidiary, IM Brands, LLC (“IM Brands”) (the “Isaac Mizrahi Business”), the Ripka Brand is licensed through the Company’s wholly-owned subsidiary, JR Licensing, LLC (“JR Licensing”) and the H Halston Brands are licensed through the Company’s wholly-owned subsidiary, H Licensing, LLC (“H Licensing”).</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June 2013 through December 2014, the Company operated its retail business through its wholly-owned subsidiary, IMNY Retail Management, LLC. In December 2014, the Company discontinued its retail stores. Accordingly, the Company’s retail operations are treated as discontinued operations and prior periods presented have been reclassified to give effect to this change (see Note 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Company's discontinued operations, certain reclassifications have been made to the prior period condensed consolidated financial statements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is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consolidated financial statements and disclosures. In April 2015, the FASB proposed deferring the effective date of ASU 2014-09 for one year, and proposed some modifications to the original provisions. These proposals are pending.</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2015, the FASB issued ASU No. 2015-03, “Interest – Imputation of Interest” (“ASU 2015-03”). ASU 2015-03 simplifies the presentation of debt issuance costs by requiring that debt issuance costs related to a recognized debt liability be presented in the balance sheet as a direct deduction from the carrying amount of that debt liability, consistent with debt discounts or premiums. The recognition and measurement guidance for debt issuance costs would not be affected by the amendments of ASU 2015-03. For public business entities, ASU 2015-03 is effective for financial statements issued for fiscal years beginning after December 31, 2015, and interim periods within those fiscal years. For all other entities, ASU 2015-03 is effective for financial statements issued for fiscal years beginning after December 15, 2015, and interim periods within fiscal years beginning after December 15, 2016. Early adoption is permitted for financial statements that have not been previously issued.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7" w:orient="portrait"/>
          <w:cols w:equalWidth="0" w:num="1">
            <w:col w:w="11420"/>
          </w:cols>
          <w:pgMar w:left="240" w:top="877"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1160" w:hanging="1030"/>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 Goodwill and Other Intangibles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0"/>
        </w:trPr>
        <w:tc>
          <w:tcPr>
            <w:tcW w:w="880" w:type="dxa"/>
            <w:vAlign w:val="bottom"/>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96,662,000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Licensing agreements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190,000</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(1,735,000)</w:t>
            </w:r>
          </w:p>
        </w:tc>
      </w:tr>
      <w:tr>
        <w:trPr>
          <w:trHeight w:val="223"/>
        </w:trPr>
        <w:tc>
          <w:tcPr>
            <w:tcW w:w="88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carrying amount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97,536,000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97,679,000</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for the quarter ended March 31, 2015 (the “Current Quarter”) and the quarter ended March 31, 2014 (the “Prior Year Quarter”) was $157,000 and $132,000, respectively. The trademarks of the Isaac Mizrahi Brand, the Ripka Brand and the H Halston Brands have been determined to have indefinite useful lives and accordingly, consistent with Accounting Standards Codification (“ASC”) Topic 350, no amortization has been recorded in the Company’s unaudited condensed consolidated statements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$12.37 million of goodwill that represents the excess of the purchase price over the fair value of net assets acquired accounted for under the acquisition method of accounting relating to the acquisition of the Isaac Mizrahi Business. There was no change in goodwill during the Current Quarter.</w:t>
      </w:r>
    </w:p>
    <w:p>
      <w:pPr>
        <w:spacing w:after="0" w:line="120" w:lineRule="exact"/>
        <w:rPr>
          <w:sz w:val="20"/>
          <w:szCs w:val="20"/>
          <w:color w:val="auto"/>
        </w:rPr>
      </w:pPr>
    </w:p>
    <w:p>
      <w:pPr>
        <w:ind w:left="1160" w:hanging="1030"/>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 Royalties from QVC totaled $5.15 million and $2.29 million for the Current Quarter and Prior Year Quarter, respectively, representing 79% and 65% of the Company’s total revenues, respectively. As of March 31, 2015 and December 31, 2014, the Company had receivables from QVC of $3.58 million and $2.36 million, representing 73% and 65% of the Company’s receivables, respectively. The March 31, 2015 QVC receivables include $500,000 of earned revenue that had been accrued but not billed as of March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4.</w:t>
            </w:r>
          </w:p>
        </w:tc>
        <w:tc>
          <w:tcPr>
            <w:tcW w:w="5700" w:type="dxa"/>
            <w:vAlign w:val="bottom"/>
          </w:tcPr>
          <w:p>
            <w:pPr>
              <w:ind w:left="280"/>
              <w:spacing w:after="0"/>
              <w:rPr>
                <w:sz w:val="20"/>
                <w:szCs w:val="20"/>
                <w:color w:val="auto"/>
              </w:rPr>
            </w:pPr>
            <w:r>
              <w:rPr>
                <w:rFonts w:ascii="Arial" w:cs="Arial" w:eastAsia="Arial" w:hAnsi="Arial"/>
                <w:sz w:val="18"/>
                <w:szCs w:val="18"/>
                <w:b w:val="1"/>
                <w:bCs w:val="1"/>
                <w:color w:val="auto"/>
              </w:rPr>
              <w:t>Debt</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8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IM Term Loan</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JR Term Loan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H Term Loan</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IM Seller Note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4,692,000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5,366,000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 (*)</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Contingent obligation - IM Seller (*)</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5,766,000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5,766,000</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3,784,000</w:t>
            </w:r>
          </w:p>
        </w:tc>
        <w:tc>
          <w:tcPr>
            <w:tcW w:w="80" w:type="dxa"/>
            <w:vAlign w:val="bottom"/>
            <w:shd w:val="clear" w:color="auto" w:fill="CCEEFF"/>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48,425,000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51,064,000</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w:t>
            </w:r>
          </w:p>
        </w:tc>
        <w:tc>
          <w:tcPr>
            <w:tcW w:w="1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11,416,000</w:t>
            </w:r>
          </w:p>
        </w:tc>
        <w:tc>
          <w:tcPr>
            <w:tcW w:w="80" w:type="dxa"/>
            <w:vAlign w:val="bottom"/>
            <w:shd w:val="clear" w:color="auto" w:fill="CCEEFF"/>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long-term debt</w:t>
            </w:r>
          </w:p>
        </w:tc>
        <w:tc>
          <w:tcPr>
            <w:tcW w:w="1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36,044,000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39,648,000</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3"/>
        <w:spacing w:after="0" w:line="264" w:lineRule="auto"/>
        <w:tabs>
          <w:tab w:leader="none" w:pos="756" w:val="left"/>
        </w:tabs>
        <w:numPr>
          <w:ilvl w:val="0"/>
          <w:numId w:val="5"/>
        </w:numPr>
        <w:rPr>
          <w:rFonts w:ascii="Arial" w:cs="Arial" w:eastAsia="Arial" w:hAnsi="Arial"/>
          <w:sz w:val="18"/>
          <w:szCs w:val="18"/>
          <w:color w:val="auto"/>
        </w:rPr>
      </w:pPr>
      <w:r>
        <w:rPr>
          <w:rFonts w:ascii="Arial" w:cs="Arial" w:eastAsia="Arial" w:hAnsi="Arial"/>
          <w:sz w:val="18"/>
          <w:szCs w:val="18"/>
          <w:color w:val="auto"/>
        </w:rPr>
        <w:t>$5.77 million of the current portion of long-term debt consists of contingent obligation related to IM Brands, described below, which is payable in common stock or cash, at the Company’s option. The current portion of long-term debt also includes the $2.24 million fair value of the Ripka Seller Notes, which was redeemed on April 21, 2015 for shares of our common stock (See Note 10, Subsequent Events).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2013, IM Brands entered into a $13.0 million five year term loan with Bank of Hapoalim (“BHI”) (as amended, the “IM Term Loan”). The IM Term Loan is secured by all of the assets of IM Brands and the Company’s membership interest in IM Brands and bears interest at an annual fixed rate of 4.44%, payable quarterly in arrears each calendar quarter. The obligations under the IM Term Loan are also guaranteed by the Company. Scheduled principal payments are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(April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 Brands is required to prepay the outstanding amount of the IM Term Loan from excess cash flow for each fiscal year commencing with the year ending December 31, 2015 in arrears in an amount equal to (i) fifty percent (50%) of the excess cash flow for such fiscal year, until such time as principal payments to BHI under the IM Term Loan and the JR Term Loan equals $1,000,000 in the aggregate, then twenty percent (20%) of the excess cash flow for such fiscal year. Excess cash flow means, for any fiscal period, cash provided by operating activities for such period less (a) capital expenditures not made through the incurrence of indebtedness less (b) all interest and principal (including indebtedness owed for the IM Term Loan) paid or payable during such period less (c) all income tax payments made during such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IM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JR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 2014, the Company entered into a $9 million five year term loan with BHI (as amended, the “JR Term Loan”). The JR Term Loan is secured by all of the assets of JR Licensing and a guarantee from the Company secured by a pledge of the Company’s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 Scheduled principal payments, which begin April 1, 2015,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(April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JR Licensing shall prepay the outstanding amount of the JR Term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Term Loan) paid or payable during such period less (c) the portion of the holdback amount paid or payable pursuant to the asset purchase agreement dated April 1, 2014 by and between JR Licensing and Judith Ripka Berk (“Ms. Berk”) and certain companies owned by Ms. Berk (collectively “Ripka”) during such period less (d) payments made during such period by JR Licensing to the Company equal to the estimated tax liability of the Company resulting from any taxable income (net of losses, including for prior years to the extent permitted to be deducted) of JR Licensing. JR Licensing also executed a guaranty of the IM Term Loan, secured by a pledge of all of JR Licensing’s assets.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JR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 Term Loan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22, 2014, H Licensing entered into a $10 million, five year term loan with BHI (“H Term Loan”). The H Term Loan is secured by (i) all of the assets of H Licensing, (ii) a guarantee by the Company, secured by a pledge of the Company’s membership interest in H Licensing, (iii) a guarantee from IM Brands, secured by a pledge of all of the assets of IM Brands, and (iv) a guarantee from JR Licensing, secured by a pledge of all of the assets of JR Licensing.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 Term Loan bears interest at an annual rate, as elected by H Licensing, of LIBOR plus 3.50% or Prime rate plus 0.50%. Interest on the H Term Loan accruing at a rate based on LIBOR is payable on the last business day of the applicable interest period and interest on the H Term Loan accruing at a rate based on the Prime rate is payable quarterly in arrears on the first day of each calendar quarter. Scheduled principal payments of the H Loan are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For any fiscal year commencing with the fiscal year ending December 31, 2015, H Licensing is required to prepay the outstanding amount of the H Term Loan from excess cash flow for the prior fiscal year in an amount equal to twenty percent (20%) of such excess cash flow. Excess cash flow is defined as, for any fiscal period, cash provided by operating activities for such period less (a) capital expenditures not made through the incurrence of indebtedness less (b) all cash interest and principal (including the H Term Loan) paid or payable during such period less (c) all taxes paid or payable during such period less (d) payments made during such period by H Licensing to the Company equal to the estimated tax liability of the Company resulting from any taxable income (net of losses, including for prior years to the extent permitted to be deducted) of H Licensing. H Licensing also executed a guarantee of the Company’s outstanding term loans with BHI.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H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Company is required to maintain minimum fixed charge ratio and liquidity covenants and other non-monetary covenants, including reporting requirements and trademark preservation in accordance with the terms and conditions of the IM Term Loan, the JR Term Loan, and the H Term Loan (collectively, the “Term Loans”). In addition:</w:t>
      </w:r>
    </w:p>
    <w:p>
      <w:pPr>
        <w:spacing w:after="0" w:line="181" w:lineRule="exact"/>
        <w:rPr>
          <w:sz w:val="20"/>
          <w:szCs w:val="20"/>
          <w:color w:val="auto"/>
        </w:rPr>
      </w:pPr>
    </w:p>
    <w:p>
      <w:pPr>
        <w:jc w:val="both"/>
        <w:ind w:left="8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(as defined in the respective term loan agreements) of the Company on a consolidated basis shall not be less than $7,500,000 for the year ending December 31, 2015, not less than $15,500,000 for the year ending December 31, 2016 and not less than $17,000,000 for year ending December 31, 2017 and each year end thereafter;</w:t>
      </w:r>
    </w:p>
    <w:p>
      <w:pPr>
        <w:spacing w:after="0" w:line="181"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year ending December 31, 2015, and $500,000 for the year ending December 31, 2016 and each year end thereafter;</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82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of IM Brands (as defined in the agreement) shall not be less than $9,000,000 for the year ending December 31, 2015, not less than $11,000,000 for the year ending December 31, 2016 and not less than $12,500,000 for the year ending December 31, 2017 and each year end thereafter;</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of JR Licensing (as defined in the agreement) shall not be less than $4,000,000 for the year ending December 31, 2015 and not less than $5,000,000 for the year ending December 31, 2016 and each year end thereafter;</w:t>
      </w:r>
    </w:p>
    <w:p>
      <w:pPr>
        <w:spacing w:after="0" w:line="170"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 Licensing’s loss, if any (prior to the Company’s allocable expenses) for the year ending December 31, 2015 cannot exceed $500,000 and EBITDA of H Licensing (as defined in the agreement) shall not be less than $4,500,000 for the year ending December 31, 2016 and not less than $5,000,000 for the year ending December 31, 2017 and each year end thereafter; and</w:t>
      </w:r>
    </w:p>
    <w:p>
      <w:pPr>
        <w:spacing w:after="0" w:line="181"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 Licensing shall have license royalty income of at least $6,000,000 each year commencing for the year ending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the Company was in compliance with all of the covenants under the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Current Quarter and the Prior Year Quarter, the Company incurred interest expense of $312,000 and $144,000, respectively, related to the Term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is 0.25%. Management determined that this rate was below the Company’s expected borrowing rate, which was then estimated at 9.25% per annum. Therefore, the Company discounted the IM Seller Note by $1,740,000 using a 9.0% imputed annual interest rate, resulting in an initial value of $5,637,000. Also, on September 29, 2011, the Company prepaid $123,000 of interest on the IM Seller Note. The imputed interest amount is being amortized over the term of the IM Seller Note and recorded as other interest and finance expense on the Company’s unaudited condensed consolidated statements of operations.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24, 2013, the IM Seller Note was amended to (1) revise the maturity date to September 30, 2016 (the “Amended Maturity Date”), (2) revise the date to which the maturity date may be extended to September 30, 2018. The IM Seller Note also (1) provides the Company with a prepayment right with its Common Stock, subject to remitting in cash the required cash payments set forth below and a minimum Common Stock price of $4.50 per share, and (2) requires interim scheduled payments. The remaining scheduled principal payments (including amortization of imputed interest)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Payment</w:t>
            </w:r>
          </w:p>
        </w:tc>
      </w:tr>
      <w:tr>
        <w:trPr>
          <w:trHeight w:val="234"/>
        </w:trPr>
        <w:tc>
          <w:tcPr>
            <w:tcW w:w="10060" w:type="dxa"/>
            <w:vAlign w:val="bottom"/>
            <w:gridSpan w:val="2"/>
          </w:tcPr>
          <w:p>
            <w:pPr>
              <w:ind w:left="438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9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2016 (i)</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September 30, 2016 (ii)</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4,377,432</w:t>
            </w:r>
          </w:p>
        </w:tc>
      </w:tr>
    </w:tbl>
    <w:p>
      <w:pPr>
        <w:spacing w:after="0" w:line="187" w:lineRule="exact"/>
        <w:rPr>
          <w:sz w:val="20"/>
          <w:szCs w:val="20"/>
          <w:color w:val="auto"/>
        </w:rPr>
      </w:pPr>
    </w:p>
    <w:p>
      <w:pPr>
        <w:ind w:left="1500" w:hanging="1033"/>
        <w:spacing w:after="0" w:line="258"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Payable in cash subject to BHI approving the cash payment. If BHI does not approve the cash payment, the amount shall be payable in shares of Common Stock subject to the provisions described above.</w:t>
      </w:r>
    </w:p>
    <w:p>
      <w:pPr>
        <w:spacing w:after="0" w:line="1" w:lineRule="exact"/>
        <w:rPr>
          <w:rFonts w:ascii="Arial" w:cs="Arial" w:eastAsia="Arial" w:hAnsi="Arial"/>
          <w:sz w:val="18"/>
          <w:szCs w:val="18"/>
          <w:color w:val="auto"/>
        </w:rPr>
      </w:pPr>
    </w:p>
    <w:p>
      <w:pPr>
        <w:ind w:left="1500" w:hanging="1033"/>
        <w:spacing w:after="0" w:line="261"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Payable in stock or cash at the Company’s sole discretion. Amounts paid in cash require BHI’s approval. Amounts payable in shares of Common Stock are subject to the provisions described above.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stated interest rate of the IM Seller Note remains at 0.25%. Management determined that the Company’s expected borrowing rate as of the date of the amendment was 6.44%. Based on the revised payment schedule and the change in the Company’s expected borrowing rate, the Company increased the IM Seller Note discount by $337,000, and accordingly reduced the carrying value of the IM Seller Note.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Quarter and the Prior Year Quarter, the Company incurred interest expense of $81,000 and $83,000, respectively, which includes amortization of the discount on the IM Seller Note of $76,000 and $79,000, respectively. The IM Seller Note balance, net of discount, at March 31, 2015 and December 31, 2014 was $4,692,000 and $5,366,000,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Ripka Seller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determined that its expected borrowing rate is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The $2,400,000 Seller Note was assigned by Ripka to Judith Ripka Creations, Inc. and then assigned by Judith Ripka Creations, Inc. to Thai Jewelry Manufacturer Co. LTD. (“Thai Jewelry”).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$611,000 during the Current Quarter, which is included in the accompanying condensed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Current Quarter, the Company incurred interest expense of $79,000, which consists solely of amortization of the discount on the Ripka Seller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Ripka Seller Notes balance, net of discount, at March 31, 2015 and December 31, 2014 was $2,683,000 and $4,398,000,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Earn-Out Obligation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 Ready may earn additional shares of Common Stock with a value of up to $7,500,000 (the “IM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the net royalty income target set forth below (the “IM Earn-Out Obligation”). On December 24, 2013, the Company and IM Ready amended the terms of the IM Earn-Out Obligation and eliminated the additional consideration for the fiscal year ending September 30, 2014 and the Company made a one-time cash payment of $315,000 to IM Ready in March 2014. The IM Earn-Out Obligation is recorded as the current portion of long-term debt in the amount of $3.0 million at March 31, 2015 and December 31, 2014 in the accompanying condensed consolidated balance sheets.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future change in the IM Earn-Out Obligation will result in an expense or income in the period in which it is determined the fair market value has changed. The royalty targets and percentage of the potential earn-out value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Earn-Out</w:t>
            </w: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w:t>
            </w:r>
          </w:p>
        </w:tc>
        <w:tc>
          <w:tcPr>
            <w:tcW w:w="1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Royalty Target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Royalty Target Period (October 1, 2014 to September 30, 2015)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 Ready will receive a percentage of the IM Earn-Out Value based upon the percentage of the actual net royalty income of the Isaac Mizrahi Business to the royalty target as set forth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8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99"/>
              </w:rPr>
              <w:t>XCEL BRANDS, INC. AND SUBSIDIARIES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8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89"/>
              </w:rPr>
              <w:t>Notes to Unaudited Condensed Consolidated Financial 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8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92"/>
              </w:rPr>
              <w:t>March 31, 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Earn-Out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Applicable Percentage</w:t>
            </w:r>
          </w:p>
        </w:tc>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Earned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Less than 76%</w:t>
            </w:r>
          </w:p>
        </w:tc>
        <w:tc>
          <w:tcPr>
            <w:tcW w:w="63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76% up to 80%</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80% up to 90%</w:t>
            </w:r>
          </w:p>
        </w:tc>
        <w:tc>
          <w:tcPr>
            <w:tcW w:w="7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90% up to 95%</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95% up to 100%</w:t>
            </w:r>
          </w:p>
        </w:tc>
        <w:tc>
          <w:tcPr>
            <w:tcW w:w="7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100% or greater</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 Earn-Out Value is payable solely in stock. In accordance with ASC Topic 480, “Distinguishing Liabilities from Equity” (“ASC Topic 480”), the IM Earn-Out Obligation is treated as a liability in the accompanying condensed consolidated balance sheets because of the variable number of shares payable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obligated to pay IM Ready $2.76 million, payable in cash or Common Stock, at the Company’s option, contingent upon IM Brands receiving aggregate net royalty income of at least $2.5 million from QVC in the twelve-month period ending September 30, 2015 with the number of shares of such stock based upon the greater of (x) $4.50 per share, and (y) the average stock price for the last twenty business days prior to the time of such issuance (the “QVC Earn-Out’). Management has determined that it is probable that the $2.5 million in net royalty income from QVC will be met. In accordance with ASC Topic 480, the QVC Earn-Out obligation is treated as a liability in the accompanying condensed consolidated balance sheets because of the variable number of shares payable under the agreement. Management will assess no less frequently than each reporting period the status of this contingent obligation. Any change in the expected obligation will result in an expense or income in the period in which it is determined fair market value has changed. The QVC Earn-Out is recorded as a current liability in the accompanying condensed consolidated balance sheets because of the variable number of shares payable under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Earn-Out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purchase of the Ripka Brand, the Company agreed to pay Ripka additional consideration of up to $5 million in aggregate (the “Ripka Earn-Out”), payable in cash or shares of the Company’s Common Stock based on the fair market value of the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shall not include any revenues generated by direct-response television sales or any revenue accelerated as a result of termination. The Ripka Earn-Out of $3.78 million is recorded as long-term debt at March 31, 2015 on the condensed consolidated balance sheets based on the difference between the fair value of the assets of the Ripka Brand acquired and the total consideration paid. In accordance with ASC Topic 480, the Ripka Earn-Out obligation is treated as a liability in the accompanying condensed consolidated balance sheet because of the variable number of shares payable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and December 31, 2014, total contingent obligations were $9.55 million.</w:t>
      </w:r>
    </w:p>
    <w:p>
      <w:pPr>
        <w:spacing w:after="0" w:line="221" w:lineRule="exact"/>
        <w:rPr>
          <w:sz w:val="20"/>
          <w:szCs w:val="20"/>
          <w:color w:val="auto"/>
        </w:rPr>
      </w:pPr>
    </w:p>
    <w:p>
      <w:pPr>
        <w:ind w:left="1160" w:hanging="1030"/>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8,000,000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 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Forfeitures are required to be estimated at the time of grant and revised, if necessary, in subsequent periods if actual forfeitures differ from those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granted under the Plan expire at various times, either five, seven or ten years from the date of grant, depending on the particular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stock options during the Current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for the Current Quarter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line="182" w:lineRule="exact"/>
              <w:rPr>
                <w:sz w:val="20"/>
                <w:szCs w:val="20"/>
                <w:color w:val="auto"/>
              </w:rPr>
            </w:pPr>
            <w:r>
              <w:rPr>
                <w:rFonts w:ascii="Arial" w:cs="Arial" w:eastAsia="Arial" w:hAnsi="Arial"/>
                <w:sz w:val="18"/>
                <w:szCs w:val="18"/>
                <w:color w:val="auto"/>
              </w:rPr>
              <w:t>Outstanding and expected to vest at March 31,</w:t>
            </w: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7"/>
        </w:trPr>
        <w:tc>
          <w:tcPr>
            <w:tcW w:w="3780" w:type="dxa"/>
            <w:vAlign w:val="bottom"/>
            <w:gridSpan w:val="2"/>
          </w:tcPr>
          <w:p>
            <w:pPr>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spacing w:after="0"/>
              <w:rPr>
                <w:sz w:val="20"/>
                <w:szCs w:val="20"/>
                <w:color w:val="auto"/>
              </w:rPr>
            </w:pPr>
            <w:r>
              <w:rPr>
                <w:rFonts w:ascii="Arial" w:cs="Arial" w:eastAsia="Arial" w:hAnsi="Arial"/>
                <w:sz w:val="18"/>
                <w:szCs w:val="18"/>
                <w:color w:val="auto"/>
              </w:rPr>
              <w:t>402,750</w:t>
            </w:r>
          </w:p>
        </w:tc>
        <w:tc>
          <w:tcPr>
            <w:tcW w:w="120" w:type="dxa"/>
            <w:vAlign w:val="bottom"/>
          </w:tcPr>
          <w:p>
            <w:pPr>
              <w:spacing w:after="0"/>
              <w:rPr>
                <w:sz w:val="24"/>
                <w:szCs w:val="24"/>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1,465,000</w:t>
            </w:r>
          </w:p>
        </w:tc>
        <w:tc>
          <w:tcPr>
            <w:tcW w:w="8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2015</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307,750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$17,000 and $11,000, respectively. Total unrecognized compensation expense related to unvested stock options at March 31, 2015 amounts to $83,000 and is expected to be recognized over a weighted average period of 1.27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Quarter:</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6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68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either five, seven or ten years from the date of grant, depending on the particular grant.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jc w:val="right"/>
              <w:ind w:right="490"/>
              <w:spacing w:after="0"/>
              <w:rPr>
                <w:sz w:val="20"/>
                <w:szCs w:val="20"/>
                <w:color w:val="auto"/>
              </w:rPr>
            </w:pPr>
            <w:r>
              <w:rPr>
                <w:rFonts w:ascii="Arial" w:cs="Arial" w:eastAsia="Arial" w:hAnsi="Arial"/>
                <w:sz w:val="18"/>
                <w:szCs w:val="18"/>
                <w:color w:val="auto"/>
                <w:w w:val="91"/>
              </w:rPr>
              <w:t>A summary of the Company’s warrants for the Current Quarter is as follows: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1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2,219,543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6,497,413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116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200" w:type="dxa"/>
            <w:vAlign w:val="bottom"/>
          </w:tcPr>
          <w:p>
            <w:pPr>
              <w:jc w:val="right"/>
              <w:spacing w:after="0"/>
              <w:rPr>
                <w:sz w:val="20"/>
                <w:szCs w:val="20"/>
                <w:color w:val="auto"/>
              </w:rPr>
            </w:pPr>
            <w:r>
              <w:rPr>
                <w:rFonts w:ascii="Arial" w:cs="Arial" w:eastAsia="Arial" w:hAnsi="Arial"/>
                <w:sz w:val="18"/>
                <w:szCs w:val="18"/>
                <w:color w:val="auto"/>
              </w:rPr>
              <w:t>2,219,543</w:t>
            </w:r>
          </w:p>
        </w:tc>
        <w:tc>
          <w:tcPr>
            <w:tcW w:w="1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6,497,413</w:t>
            </w:r>
          </w:p>
        </w:tc>
        <w:tc>
          <w:tcPr>
            <w:tcW w:w="80" w:type="dxa"/>
            <w:vAlign w:val="bottom"/>
          </w:tcPr>
          <w:p>
            <w:pPr>
              <w:spacing w:after="0"/>
              <w:rPr>
                <w:sz w:val="22"/>
                <w:szCs w:val="22"/>
                <w:color w:val="auto"/>
              </w:rPr>
            </w:pPr>
          </w:p>
        </w:tc>
      </w:tr>
      <w:tr>
        <w:trPr>
          <w:trHeight w:val="197"/>
        </w:trPr>
        <w:tc>
          <w:tcPr>
            <w:tcW w:w="1160" w:type="dxa"/>
            <w:vAlign w:val="bottom"/>
          </w:tcPr>
          <w:p>
            <w:pPr>
              <w:spacing w:after="0"/>
              <w:rPr>
                <w:sz w:val="17"/>
                <w:szCs w:val="17"/>
                <w:color w:val="auto"/>
              </w:rPr>
            </w:pPr>
          </w:p>
        </w:tc>
        <w:tc>
          <w:tcPr>
            <w:tcW w:w="37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2015</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2,219,543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6,497,413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warrants to purchase share of Common Stock during the Current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recorded in the Current Quarter or Prior Year Quarter related to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for the Current Quarter is as follows: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Restricted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7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3,208,410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43,167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(45,667)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4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3,200,535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 2015, the Company issued to a non-executive employee 25,000 shares of restricted stock. The shares of restricted stock vest evenly over two years, whereby 50% shall vest on January 1, 2016 and 50% shall vest on January 1, 2017. Notwithstanding the foregoing, the grantee may extend the first anniversary of all or a portion of the restricted stock by six months and, thereafter one or more times may further extend such date with respect to all or a</w:t>
      </w:r>
    </w:p>
    <w:p>
      <w:pPr>
        <w:jc w:val="both"/>
        <w:ind w:right="20"/>
        <w:spacing w:after="0" w:line="205" w:lineRule="auto"/>
        <w:rPr>
          <w:sz w:val="20"/>
          <w:szCs w:val="20"/>
          <w:color w:val="auto"/>
        </w:rPr>
      </w:pPr>
      <w:r>
        <w:rPr>
          <w:rFonts w:ascii="Arial" w:cs="Arial" w:eastAsia="Arial" w:hAnsi="Arial"/>
          <w:sz w:val="18"/>
          <w:szCs w:val="18"/>
          <w:color w:val="auto"/>
        </w:rPr>
        <w:t>portion of the restricted stock until the next following November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May 31</w:t>
      </w:r>
      <w:r>
        <w:rPr>
          <w:rFonts w:ascii="Arial" w:cs="Arial" w:eastAsia="Arial" w:hAnsi="Arial"/>
          <w:sz w:val="30"/>
          <w:szCs w:val="30"/>
          <w:color w:val="auto"/>
          <w:vertAlign w:val="superscript"/>
        </w:rPr>
        <w:t>st</w:t>
      </w:r>
      <w:r>
        <w:rPr>
          <w:rFonts w:ascii="Arial" w:cs="Arial" w:eastAsia="Arial" w:hAnsi="Arial"/>
          <w:sz w:val="18"/>
          <w:szCs w:val="18"/>
          <w:color w:val="auto"/>
        </w:rPr>
        <w:t>, as the case may be, by providing written notice of such election to extend such date with respect to all or a portion of the restricted stock prior to such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January 6, 2015, the Company issued non-executive employees 18,167 shares of fully vested common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$996,000 and $1,554,000, respectively. Total unrecognized compensation expense related to unvested restricted stock grants at March 31, 2015 amounts to $3,155,000 and is expected to be recognized over a weighted average period of 1.23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there were 3,656,716 shares of Common Stock available for issuance under the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2015, there were 6,279,585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1160" w:hanging="1030"/>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ectPr>
          <w:pgSz w:w="11900" w:h="16884" w:orient="portrait"/>
          <w:cols w:equalWidth="0" w:num="1">
            <w:col w:w="11420"/>
          </w:cols>
          <w:pgMar w:left="240" w:top="877" w:right="2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Shares used in calculating basic and diluted loss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Effect of exercise of warrants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Effect of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195"/>
        </w:trPr>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14,069,419</w:t>
            </w:r>
          </w:p>
        </w:tc>
        <w:tc>
          <w:tcPr>
            <w:tcW w:w="160" w:type="dxa"/>
            <w:vAlign w:val="bottom"/>
          </w:tcPr>
          <w:p>
            <w:pPr>
              <w:spacing w:after="0"/>
              <w:rPr>
                <w:sz w:val="16"/>
                <w:szCs w:val="16"/>
                <w:color w:val="auto"/>
              </w:rPr>
            </w:pP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10,830,312</w:t>
            </w:r>
          </w:p>
        </w:tc>
        <w:tc>
          <w:tcPr>
            <w:tcW w:w="20" w:type="dxa"/>
            <w:vAlign w:val="bottom"/>
          </w:tcPr>
          <w:p>
            <w:pPr>
              <w:spacing w:after="0"/>
              <w:rPr>
                <w:sz w:val="16"/>
                <w:szCs w:val="16"/>
                <w:color w:val="auto"/>
              </w:rPr>
            </w:pPr>
          </w:p>
        </w:tc>
      </w:tr>
      <w:tr>
        <w:trPr>
          <w:trHeight w:val="230"/>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14,069,419</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10,830,312</w:t>
            </w:r>
          </w:p>
        </w:tc>
        <w:tc>
          <w:tcPr>
            <w:tcW w:w="20" w:type="dxa"/>
            <w:vAlign w:val="bottom"/>
            <w:tcBorders>
              <w:bottom w:val="single" w:sz="8" w:color="auto"/>
            </w:tcBorders>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84" w:orient="portrait"/>
          <w:cols w:equalWidth="0" w:num="2">
            <w:col w:w="6200" w:space="720"/>
            <w:col w:w="4500"/>
          </w:cols>
          <w:pgMar w:left="240" w:top="877" w:right="239" w:bottom="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78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1,201,925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79"/>
              </w:rPr>
              <w:t>7.</w:t>
            </w:r>
          </w:p>
        </w:tc>
        <w:tc>
          <w:tcPr>
            <w:tcW w:w="62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Income Tax</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 w:type="dxa"/>
            <w:vAlign w:val="bottom"/>
            <w:vMerge w:val="continue"/>
          </w:tcPr>
          <w:p>
            <w:pPr>
              <w:spacing w:after="0"/>
              <w:rPr>
                <w:sz w:val="24"/>
                <w:szCs w:val="24"/>
                <w:color w:val="auto"/>
              </w:rPr>
            </w:pPr>
          </w:p>
        </w:tc>
        <w:tc>
          <w:tcPr>
            <w:tcW w:w="62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(47%) and (37%), respectively, resulting in an income tax benefit of $106,000 and $494,000, respectively.</w:t>
      </w:r>
    </w:p>
    <w:p>
      <w:pPr>
        <w:spacing w:after="0" w:line="166" w:lineRule="exact"/>
        <w:rPr>
          <w:sz w:val="20"/>
          <w:szCs w:val="20"/>
          <w:color w:val="auto"/>
        </w:rPr>
      </w:pPr>
    </w:p>
    <w:p>
      <w:pPr>
        <w:ind w:left="1160" w:hanging="1030"/>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Discontinued operations represents the net sales and expenses related to the Company’s retail operations. The Company will continue to operate e-commerce, which was previously reported as a component of retail operations, as a component of its licensing business.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 summary of the Company’s results of discontinued operations of its retail business for the Current Quarter and Prior Year Quarter and the Company’s assets and liabilities from discontinued operations of its retail business as of March 31, 2015 and December 31, 2014 are as follows:</w:t>
      </w:r>
    </w:p>
    <w:p>
      <w:pPr>
        <w:sectPr>
          <w:pgSz w:w="11900" w:h="16884" w:orient="portrait"/>
          <w:cols w:equalWidth="0" w:num="1">
            <w:col w:w="11420"/>
          </w:cols>
          <w:pgMar w:left="240" w:top="877" w:right="239" w:bottom="0" w:gutter="0" w:footer="0" w:header="0"/>
          <w:type w:val="continuous"/>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Results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Cost of sales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Loss from disposal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-123190</wp:posOffset>
            </wp:positionV>
            <wp:extent cx="506857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Income tax benefit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Loss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7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Loss per share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106,000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26,000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(191,000)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78,000</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(213,000</w:t>
            </w:r>
          </w:p>
        </w:tc>
        <w:tc>
          <w:tcPr>
            <w:tcW w:w="14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4"/>
          </w:tcPr>
          <w:p>
            <w:pPr>
              <w:jc w:val="right"/>
              <w:ind w:right="150"/>
              <w:spacing w:after="0"/>
              <w:rPr>
                <w:sz w:val="20"/>
                <w:szCs w:val="20"/>
                <w:color w:val="auto"/>
              </w:rPr>
            </w:pPr>
            <w:r>
              <w:rPr>
                <w:rFonts w:ascii="Arial" w:cs="Arial" w:eastAsia="Arial" w:hAnsi="Arial"/>
                <w:sz w:val="18"/>
                <w:szCs w:val="18"/>
                <w:color w:val="auto"/>
              </w:rPr>
              <w:t>(0.01)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84" w:orient="portrait"/>
          <w:cols w:equalWidth="0" w:num="2">
            <w:col w:w="6200" w:space="720"/>
            <w:col w:w="4500"/>
          </w:cols>
          <w:pgMar w:left="240" w:top="877"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7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5040" w:type="dxa"/>
            <w:vAlign w:val="bottom"/>
            <w:gridSpan w:val="2"/>
          </w:tcPr>
          <w:p>
            <w:pPr>
              <w:ind w:left="1720"/>
              <w:spacing w:after="0"/>
              <w:rPr>
                <w:sz w:val="20"/>
                <w:szCs w:val="20"/>
                <w:color w:val="auto"/>
              </w:rPr>
            </w:pPr>
            <w:r>
              <w:rPr>
                <w:rFonts w:ascii="Arial" w:cs="Arial" w:eastAsia="Arial" w:hAnsi="Arial"/>
                <w:sz w:val="18"/>
                <w:szCs w:val="18"/>
                <w:color w:val="auto"/>
              </w:rPr>
              <w:t>Weighted average shares outstanding:</w:t>
            </w:r>
          </w:p>
        </w:tc>
        <w:tc>
          <w:tcPr>
            <w:tcW w:w="3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14,069,419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10,830,312</w:t>
            </w:r>
          </w:p>
        </w:tc>
        <w:tc>
          <w:tcPr>
            <w:tcW w:w="1720" w:type="dxa"/>
            <w:vAlign w:val="bottom"/>
          </w:tcPr>
          <w:p>
            <w:pPr>
              <w:spacing w:after="0"/>
              <w:rPr>
                <w:sz w:val="18"/>
                <w:szCs w:val="18"/>
                <w:color w:val="auto"/>
              </w:rPr>
            </w:pPr>
          </w:p>
        </w:tc>
      </w:tr>
      <w:tr>
        <w:trPr>
          <w:trHeight w:val="648"/>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630"/>
              <w:spacing w:after="0"/>
              <w:rPr>
                <w:sz w:val="20"/>
                <w:szCs w:val="20"/>
                <w:color w:val="auto"/>
              </w:rPr>
            </w:pPr>
            <w:r>
              <w:rPr>
                <w:rFonts w:ascii="Arial" w:cs="Arial" w:eastAsia="Arial" w:hAnsi="Arial"/>
                <w:sz w:val="18"/>
                <w:szCs w:val="18"/>
                <w:color w:val="auto"/>
              </w:rPr>
              <w:t>16</w:t>
            </w:r>
          </w:p>
        </w:tc>
        <w:tc>
          <w:tcPr>
            <w:tcW w:w="1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84" w:orient="portrait"/>
          <w:cols w:equalWidth="0" w:num="1">
            <w:col w:w="11420"/>
          </w:cols>
          <w:pgMar w:left="240" w:top="877" w:right="239" w:bottom="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60" w:type="dxa"/>
            <w:vAlign w:val="bottom"/>
            <w:gridSpan w:val="4"/>
          </w:tcPr>
          <w:p>
            <w:pPr>
              <w:ind w:left="200"/>
              <w:spacing w:after="0"/>
              <w:rPr>
                <w:sz w:val="20"/>
                <w:szCs w:val="20"/>
                <w:color w:val="auto"/>
              </w:rPr>
            </w:pPr>
            <w:r>
              <w:rPr>
                <w:rFonts w:ascii="Arial" w:cs="Arial" w:eastAsia="Arial" w:hAnsi="Arial"/>
                <w:sz w:val="18"/>
                <w:szCs w:val="18"/>
                <w:color w:val="auto"/>
              </w:rPr>
              <w:t>Assets and liabilities of discontinued operations: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503,000</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060" w:type="dxa"/>
            <w:vAlign w:val="bottom"/>
            <w:vMerge w:val="restart"/>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long-term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123,000</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060" w:type="dxa"/>
            <w:vAlign w:val="bottom"/>
            <w:vMerge w:val="restart"/>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9.</w:t>
            </w:r>
          </w:p>
        </w:tc>
        <w:tc>
          <w:tcPr>
            <w:tcW w:w="200" w:type="dxa"/>
            <w:vAlign w:val="bottom"/>
          </w:tcPr>
          <w:p>
            <w:pPr>
              <w:spacing w:after="0" w:line="20" w:lineRule="exact"/>
              <w:rPr>
                <w:sz w:val="1"/>
                <w:szCs w:val="1"/>
                <w:color w:val="auto"/>
              </w:rPr>
            </w:pPr>
          </w:p>
        </w:tc>
        <w:tc>
          <w:tcPr>
            <w:tcW w:w="626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Related Party Transactions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to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for the Current Quarter and the Prior Year Quarter of $8,000 and $21,000,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 2011, the Company entered into a licensing agent agreement with Adam Dweck (“AD”), son of Jack Dweck, a former director of the Company, pursuant to which he is entitled to a five percent commission on any royalties the Company receives under any new license agreements that he procures for the Company for the initial term of such license agreements. AD earned $7,000 and $6,000 in fees for the Current Quarter and Prior Year Quarter,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160" w:hanging="1030"/>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21, 2015, the Company satisfied $3 million principal amount of the Ripka Seller Notes by issuing 333,334 shares of the Company’s common stock. The original maturity date of the Ripka Seller Notes was March 31, 2019. The carrying value, net of the discount at the time of the redemption of the $3 million Ripka Seller Notes was $2.24 million and as a result, the Company will record a loss on the early extinguishment of debt of $0.76 million in the three and six months ending June 30, 2015.</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On May 14, 2015, the Company entered into a consulting agreement with Jones Texas, Inc., ("JT Inc.") whose controlling shareholder is Edward Jones, a Director of the Company. The agreement expires on July 31, 2015 and provides for fees payable to JT Inc. up to $25,000.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Safe Harbor Statement under the Private Securities Litigation Reform Act of 1995</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2014.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Xcel Brands, Inc. (“Xcel,” the “Company,” “we,” “us” or “our”) is a brand development and media company engaged in the design, licensing, marketing and retail sales of branded apparel, footwear, accessories, jewelry and home goods, and the acquisition of additional high profile consumer lifestyle brands, including the Isaac Mizrahi Brand, certain rights of LCNY, the Ripka Brand, and the H Halston Brands.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for distribution through direct-response television (i.e. QVC and The Shopping Channel);</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to wholesale manufacturers, sourcing and design companies and retailers for promotion and distribution through e-commerce, social commerce and traditional brick-and-mortar retail channels; 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licensors and customers for the following reasons: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 social media;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internet and retail channels.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license our brands to third parties, provide certain design and marketing services and generate royalty design and service fee revenues through licensing and other agreements with wholesale manufacturers, sourcing and design companies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and distribution and enables us to leverage the media reach of our direct-response television partners, including through television and social media, to drive sales of products under our brands across distribution channels.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vision is intended to reimagine shopping, entertainment and social as one. By leveraging social media content across all distribution channels, we seek to drive customer (follower) engagement and generate retail sales across our brands. Our strong relationships with leading retailers and direct-response television companies, such as QVC and The Shopping Channel, enable us to reach consumers in over 300 million homes worldwide.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our business model provides significant competitive advantages as compared to traditional wholesale apparel companies that design, manufacture and distribute products. We remain focused on our core competencies of licensing, design, marketing, brand development and oversight, while outsourcing manufacturing and distribution to best-in-class licensing partners.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and marketing capabilities and retail and licensee relationships.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June 2013 through December 2014, the Company operated its retail business through its wholly-owned subsidiary, IMNY Retail Management, LLC (“Retail Management”). Retail Management launched an e-commerce platform under the Company’s Isaac Mizrahi Brand in May 2014. With the Ripka Brand acquisition, the Company also acquired the rights to the Ripka e-commerce site. The Company opened its first retail store in June 2013 in Southampton, New York (the “Southampton Store”) and opened its second retail store in Atlanta, GA (the “Georgia Store”) in March 2014. In December 2014, the Company decided to discontinue its retail stores. The Company’s retail operation was treated as discontinued operations and prior periods presented have been reclassified to give effect to this change (see Note 8, Discontinued Operations, to the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three months ended March 31, 2015 (the “Current Quarter”) compared to the three months ended March 31, 2014 (the “Prior Year Quarter”).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Quarter total revenues increased approximately $3.05 million to $6.59 million from $3.54 million in the Prior Year Quarter. This increase was primarily related to increases in, net licensing revenues of $2.98 million and net sales revenues (which includes e-commerce revenues) of $0.07 million, partially offset by a decrease in design and service fees of $0.15 million.</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licensing revenues for the Current Quarter increased by $2.98 million, compared to the Prior Year Quarter primarily due to the acquisition of the Ripka Brand, which was purchased in April 2014, the acquisition of the H Halston Brands, which were purchased in December 2014, and the continuing growth of the Isaac Mizrahi Brand. We continue to focus on our international expansion by marketing our Isaac Mizrahi Brand through direct-response television in Canada on The Shopping Channel. In addition, in May 2014, we brought the IsaacMizrahiLIVE brand to the United Kingdom through QVC. The increase in net e-commerce sales of $0.07 million was attributable to the launch of the e-commerce platform in May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Current Quarter was $6.55 million, compared to $3.54 million for the Prior Year Quarter. The increase in gross profit was primarily attributable to the increase in revenues. Gross profit for the Current Quarter included $0.05 million of cost of goods sold related to our e-commerce business, which did not have operations in the Prior Year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totaled $5.65 million for the Current Quarter, compared to $4.62 million for the Prior Year Quarter. The increase of approximately $1.03 million was primarily related to an increase in compensation expense of $1.13 million and an increase in other design and marketing costs and general and administrative expenses of $0.42 million, partially offset by a decrease in stock-based compensation of $0.55 million. The increase in compensation expense was primarily due to the staffing for the Ripka Brand acquired in April 2014 and the H Halston Brands acquired in December 2014. Increases in other design and marketing costs and general and administrative expenses are attributable to the operations of the Ripka Brand, the H Halston Brands and the growth of our existing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expenses of $0.61 million for the Current Quarter represents a loss on extinguishment of debt as a result of the Company satisfying $2.40 million principal amount of Ripka Seller Notes by issuing 266,667 shares of our common stock in March 2015. The maturity date of the Ripka Seller Notes was originally March 31, 2019. The carrying value, net of the discount of the $2.4 million principal amount of Ripka Seller Notes at the redemption date was $1.79 million, resulting in a loss of $0.61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Interest and finance expense for the Current Quarter increased by $0.27 million to $0.51 million, compared to $0.24 million in the Prior Year Quarter. This was primarily due to the higher term debt principal balance from financing a portion of the Ripka Brand acquisition and the H Halston Brands acquisition.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 income tax rate for the Current Quarter was approximately 47% resulting in a $0.11 million income tax benefit. The effective income tax rate for the Prior Year Quarter was 37% which resulted in a $0.49 million income tax benefit.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 from Continuing Operations.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operating income from continuing operations was $0.29 million in the Current Quarter, compared to an operating loss from continuing operations of $1.08 million in the Prior Year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loss from discontinued operations, net, was attributable to the net loss related to our retail operations, as a result of our decision in December 2014 to discontinue our retail stores. The Current Quarter loss from discontinued operations, net, of $0.21 million mainly represents compensation expense, other general and administrative expenses and wind down costs associated with the closing of our retail stores, offset by an income tax benefit of $0.14 million. The Prior Year Quarter loss from discontinued operations, net, of $0.13 million mainly represents compensation expense and other general and administrative expenses, offset by an income tax benefit of $0.08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had a net loss of $0.33 million for the Current Quarter, compared to a net loss of $0.96 million for the Prior Year Quarter. Net loss for the Current Quarter and the Prior Year Quarter include certain non-cash components as described in the following paragraph and detailed later in this section.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non-GAAP net income of $1.65 million, or $0.11 per diluted share (“non-GAAP diluted EPS”) for the Current Quarter, compared to non-GAAP net income of $0.83 million, or non-GAAP diluted EPS of $0.07 for the Prior Year Quarter. Non-GAAP net income is a non-GAAP unaudited term, which we define as non-GAAP net income as net income (loss), exclusive of stock-based compensation, non-cash interest expense from discounted debt related to acquired assets, loss on extinguishment of debt, other non-cash adjustments and loss from discontinued operations, net.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Adjusted EBITDA of $2.20 million for the Current Quarter, compared to Adjusted EBITDA of $0.74 million for the Prior Year Quarter. Adjusted EBITDA is a non-GAAP unaudited term, which we define as net income before interest expense and other financing costs (including gain (loss) on extinguishment of debt), income taxes, other state and local franchise taxes, depreciation and amortization, non-cash compensation, other non-cash income (expenses) and loss on discontinued operations of our retail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Non-GAAP net income, non-GAAP diluted EPS and Adjusted EBITDA are also useful because they provide supplemental information to assist investors in evaluating the Company’s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presentation.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non-GAAP net income:</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5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(955,000)</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83,000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1,565,000</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611,000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131,000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non-cash adjustments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basic and diluted loss per share to non-GAAP diluted EPS: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780" w:type="dxa"/>
            <w:vAlign w:val="bottom"/>
            <w:gridSpan w:val="7"/>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52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 (1)</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non-cash adjustments</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tcBorders>
              <w:bottom w:val="single" w:sz="8" w:color="CCEEFF"/>
            </w:tcBorders>
            <w:shd w:val="clear" w:color="auto" w:fill="CCEEFF"/>
          </w:tcPr>
          <w:p>
            <w:pPr>
              <w:spacing w:after="0"/>
              <w:rPr>
                <w:sz w:val="19"/>
                <w:szCs w:val="19"/>
                <w:color w:val="auto"/>
              </w:rPr>
            </w:pPr>
          </w:p>
        </w:tc>
      </w:tr>
    </w:tbl>
    <w:p>
      <w:pPr>
        <w:sectPr>
          <w:pgSz w:w="11900" w:h="16897" w:orient="portrait"/>
          <w:cols w:equalWidth="0" w:num="1">
            <w:col w:w="11420"/>
          </w:cols>
          <w:pgMar w:left="240" w:top="881" w:right="239" w:bottom="0" w:gutter="0" w:footer="0" w:header="0"/>
        </w:sectPr>
      </w:pPr>
    </w:p>
    <w:bookmarkStart w:id="21" w:name="page22"/>
    <w:bookmarkEnd w:id="21"/>
    <w:p>
      <w:pPr>
        <w:ind w:left="520"/>
        <w:spacing w:after="0"/>
        <w:tabs>
          <w:tab w:leader="none" w:pos="6180" w:val="left"/>
          <w:tab w:leader="none" w:pos="7620" w:val="left"/>
        </w:tabs>
        <w:rPr>
          <w:sz w:val="20"/>
          <w:szCs w:val="20"/>
          <w:color w:val="auto"/>
        </w:rPr>
      </w:pPr>
      <w:r>
        <w:rPr>
          <w:rFonts w:ascii="Arial" w:cs="Arial" w:eastAsia="Arial" w:hAnsi="Arial"/>
          <w:sz w:val="18"/>
          <w:szCs w:val="18"/>
          <w:color w:val="auto"/>
        </w:rPr>
        <w:t>Non-GAAP weighted average diluted shares</w:t>
      </w:r>
      <w:r>
        <w:rPr>
          <w:sz w:val="20"/>
          <w:szCs w:val="20"/>
          <w:color w:val="auto"/>
        </w:rPr>
        <w:tab/>
      </w:r>
      <w:r>
        <w:rPr>
          <w:rFonts w:ascii="Arial" w:cs="Arial" w:eastAsia="Arial" w:hAnsi="Arial"/>
          <w:sz w:val="18"/>
          <w:szCs w:val="18"/>
          <w:color w:val="auto"/>
        </w:rPr>
        <w:t>15,180,888</w:t>
      </w:r>
      <w:r>
        <w:rPr>
          <w:sz w:val="20"/>
          <w:szCs w:val="20"/>
          <w:color w:val="auto"/>
        </w:rPr>
        <w:tab/>
      </w:r>
      <w:r>
        <w:rPr>
          <w:rFonts w:ascii="Arial" w:cs="Arial" w:eastAsia="Arial" w:hAnsi="Arial"/>
          <w:sz w:val="15"/>
          <w:szCs w:val="15"/>
          <w:color w:val="auto"/>
        </w:rPr>
        <w:t>11,427,349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31750</wp:posOffset>
            </wp:positionV>
            <wp:extent cx="172402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4025" cy="2603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-121920</wp:posOffset>
            </wp:positionV>
            <wp:extent cx="1724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2" w:name="page23"/>
    <w:bookmarkEnd w:id="22"/>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unaudited condensed consolidated statements of operations, the Company reports net loss for each period presented and in accordance with GAAP, basic and diluted weighted average shares were 14,069,419 and 10,830,312 for the three months ended March 31,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basic and diluted weighted average shares to non-GAAP weighted average diluted shares: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Basic and diluted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-115570</wp:posOffset>
            </wp:positionV>
            <wp:extent cx="506857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Effect of exercising warrants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Non-GAAP weighted average diluted shares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9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1724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7" w:lineRule="exact"/>
        <w:rPr>
          <w:sz w:val="20"/>
          <w:szCs w:val="20"/>
          <w:color w:val="auto"/>
        </w:rPr>
      </w:pPr>
    </w:p>
    <w:p>
      <w:pPr>
        <w:jc w:val="both"/>
        <w:ind w:left="360"/>
        <w:spacing w:after="0"/>
        <w:tabs>
          <w:tab w:leader="none" w:pos="1760" w:val="left"/>
        </w:tabs>
        <w:rPr>
          <w:sz w:val="20"/>
          <w:szCs w:val="20"/>
          <w:color w:val="auto"/>
        </w:rPr>
      </w:pPr>
      <w:r>
        <w:rPr>
          <w:rFonts w:ascii="Arial" w:cs="Arial" w:eastAsia="Arial" w:hAnsi="Arial"/>
          <w:sz w:val="18"/>
          <w:szCs w:val="18"/>
          <w:color w:val="auto"/>
        </w:rPr>
        <w:t>14,069,419</w:t>
      </w:r>
      <w:r>
        <w:rPr>
          <w:sz w:val="20"/>
          <w:szCs w:val="20"/>
          <w:color w:val="auto"/>
        </w:rPr>
        <w:tab/>
      </w:r>
      <w:r>
        <w:rPr>
          <w:rFonts w:ascii="Arial" w:cs="Arial" w:eastAsia="Arial" w:hAnsi="Arial"/>
          <w:sz w:val="18"/>
          <w:szCs w:val="18"/>
          <w:color w:val="auto"/>
        </w:rPr>
        <w:t>10,830,312</w:t>
      </w:r>
    </w:p>
    <w:p>
      <w:pPr>
        <w:spacing w:after="0" w:line="23" w:lineRule="exact"/>
        <w:rPr>
          <w:sz w:val="20"/>
          <w:szCs w:val="20"/>
          <w:color w:val="auto"/>
        </w:rPr>
      </w:pPr>
    </w:p>
    <w:p>
      <w:pPr>
        <w:jc w:val="both"/>
        <w:ind w:left="580"/>
        <w:spacing w:after="0"/>
        <w:tabs>
          <w:tab w:leader="none" w:pos="2000" w:val="left"/>
        </w:tabs>
        <w:rPr>
          <w:sz w:val="20"/>
          <w:szCs w:val="20"/>
          <w:color w:val="auto"/>
        </w:rPr>
      </w:pPr>
      <w:r>
        <w:rPr>
          <w:rFonts w:ascii="Arial" w:cs="Arial" w:eastAsia="Arial" w:hAnsi="Arial"/>
          <w:sz w:val="18"/>
          <w:szCs w:val="18"/>
          <w:color w:val="auto"/>
        </w:rPr>
        <w:t>971,874</w:t>
      </w:r>
      <w:r>
        <w:rPr>
          <w:sz w:val="20"/>
          <w:szCs w:val="20"/>
          <w:color w:val="auto"/>
        </w:rPr>
        <w:tab/>
      </w:r>
      <w:r>
        <w:rPr>
          <w:rFonts w:ascii="Arial" w:cs="Arial" w:eastAsia="Arial" w:hAnsi="Arial"/>
          <w:sz w:val="18"/>
          <w:szCs w:val="18"/>
          <w:color w:val="auto"/>
        </w:rPr>
        <w:t>581,898</w:t>
      </w:r>
    </w:p>
    <w:p>
      <w:pPr>
        <w:spacing w:after="0" w:line="9" w:lineRule="exact"/>
        <w:rPr>
          <w:sz w:val="20"/>
          <w:szCs w:val="20"/>
          <w:color w:val="auto"/>
        </w:rPr>
      </w:pPr>
    </w:p>
    <w:p>
      <w:pPr>
        <w:jc w:val="both"/>
        <w:ind w:left="580"/>
        <w:spacing w:after="0"/>
        <w:tabs>
          <w:tab w:leader="none" w:pos="2080" w:val="left"/>
        </w:tabs>
        <w:rPr>
          <w:sz w:val="20"/>
          <w:szCs w:val="20"/>
          <w:color w:val="auto"/>
        </w:rPr>
      </w:pPr>
      <w:r>
        <w:rPr>
          <w:rFonts w:ascii="Arial" w:cs="Arial" w:eastAsia="Arial" w:hAnsi="Arial"/>
          <w:sz w:val="18"/>
          <w:szCs w:val="18"/>
          <w:color w:val="auto"/>
        </w:rPr>
        <w:t>139,595</w:t>
      </w:r>
      <w:r>
        <w:rPr>
          <w:sz w:val="20"/>
          <w:szCs w:val="20"/>
          <w:color w:val="auto"/>
        </w:rPr>
        <w:tab/>
      </w:r>
      <w:r>
        <w:rPr>
          <w:rFonts w:ascii="Arial" w:cs="Arial" w:eastAsia="Arial" w:hAnsi="Arial"/>
          <w:sz w:val="18"/>
          <w:szCs w:val="18"/>
          <w:color w:val="auto"/>
        </w:rPr>
        <w:t>15,139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724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5" w:lineRule="exact"/>
        <w:rPr>
          <w:sz w:val="20"/>
          <w:szCs w:val="20"/>
          <w:color w:val="auto"/>
        </w:rPr>
      </w:pPr>
    </w:p>
    <w:p>
      <w:pPr>
        <w:jc w:val="both"/>
        <w:ind w:left="360"/>
        <w:spacing w:after="0"/>
        <w:tabs>
          <w:tab w:leader="none" w:pos="1780" w:val="left"/>
        </w:tabs>
        <w:rPr>
          <w:sz w:val="20"/>
          <w:szCs w:val="20"/>
          <w:color w:val="auto"/>
        </w:rPr>
      </w:pPr>
      <w:r>
        <w:rPr>
          <w:rFonts w:ascii="Arial" w:cs="Arial" w:eastAsia="Arial" w:hAnsi="Arial"/>
          <w:sz w:val="18"/>
          <w:szCs w:val="18"/>
          <w:color w:val="auto"/>
        </w:rPr>
        <w:t>15,180,888</w:t>
      </w:r>
      <w:r>
        <w:rPr>
          <w:sz w:val="20"/>
          <w:szCs w:val="20"/>
          <w:color w:val="auto"/>
        </w:rPr>
        <w:tab/>
      </w:r>
      <w:r>
        <w:rPr>
          <w:rFonts w:ascii="Arial" w:cs="Arial" w:eastAsia="Arial" w:hAnsi="Arial"/>
          <w:sz w:val="18"/>
          <w:szCs w:val="18"/>
          <w:color w:val="auto"/>
        </w:rPr>
        <w:t>11,427,349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72402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402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4380"/>
          </w:cols>
          <w:pgMar w:left="240" w:top="881" w:right="239" w:bottom="1440" w:gutter="0" w:footer="0" w:header="0"/>
          <w:type w:val="continuous"/>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Adjusted EBITDA:</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5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(955,000)</w:t>
            </w:r>
          </w:p>
        </w:tc>
        <w:tc>
          <w:tcPr>
            <w:tcW w:w="60" w:type="dxa"/>
            <w:vAlign w:val="bottom"/>
            <w:gridSpan w:val="2"/>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224,000</w:t>
            </w:r>
          </w:p>
        </w:tc>
        <w:tc>
          <w:tcPr>
            <w:tcW w:w="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238,000</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(106,000)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(494,000)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131,000</w:t>
            </w:r>
          </w:p>
        </w:tc>
        <w:tc>
          <w:tcPr>
            <w:tcW w:w="4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2,203,000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March 31, 2015 and December 31, 2014, our unrestricted cash and cash equivalents were $6.21 million and $8.53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require significant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contingent obligations (see Note 4, Debt in the Unaudited Condensed Consolidated Financial Statements) are payable in stock and/or cash, at the Company’s discretion. Payment of these obligations in stock would not affect the Company’s liquidity.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January 31, 2016 payment under the IM Seller Note (see Note 4, Debt, to the Unaudited Condensed Consolidated Financial Statements) is payable $750,000 in cash subject to BHI approving the cash payment. If BHI does not approve the cash payment, the amount shall be payable in shares of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2015 and December 31, 2014, the adjusted working capital ratio (current assets to current liabilities, excluding current contingent obligations and a $2.2 million and $2.4 million Ripka Seller Note payment in stock (see Note 4, Debt in the Unaudited Condensed Consolidated Financial Statements)) was 1.40 to 1.00 and 1.47 to 1.00, respectively. Contingent obligations are not considered part of working capital because we have the right to pay the obligation in stock. Commentary on components of our cash flows used in continuing operations for the Current Quarter, compared to the Prior Year Quarter is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operating activities from continuing operations was approximately $0.35 million in the Current Quarter, compared to net cash provided by operating activities from continuing operations of approximately $0.00 million in the Prior Year Quarter. The Current Quarter’s cash used in operating activities was primarily due to a net loss of $(0.33) million, offset by a net loss from discontinued operations, net of $0.21 million, the net change in operating assets and liabilities of $(1.97) million and offset by non-cash expenses of $1.76 million. Non-cash expenses mainly consist of $1.01 million of stock-based compensation, a $0.61 million loss on the extinguishment of debt, $0.26 million of depreciation and amortization, $0.19 million of amortization of debt discount and deferred finance costs and $(0.34) million of deferred income tax benefit. The Prior Year Quarter’s cash provided by operating activities was primarily due to net loss of $(0.96) million, offset by a net loss from discontinued operations, net of $0.13 million, the net change in operating assets and liabilities of $(0.56) million and offset by non-cash expenses of $1.38 million. Non-cash expenses mainly consist of $1.56 million of stock-based compensation, $0.22 million of depreciation and amortization, $0.09 million of amortization of debt discount and deferred finance costs and $(0.49) million of deferred income tax benefit.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investing activities from continuing operations for the Current Quarter was approximately $0.04 million, compared to $0.28 million in the Prior Year Quarter. The Current Quarter net cash used in investing activities was attributable to cash consideration paid for the acquisition of the H Halston Brands of $0.01 million and capital expenditures of $0.03 million. In the Prior Year Quarter, $0.11 million of capital expenditures was attributable to property and equipment and $0.17 million was attributable to an advance deposit for the acquisition of the Ripka Brand.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Current Quarter was approximately $1.88 million, primarily attributable to the repayments on our long-term debt of $1.00 million and payment on our installment obligation related to the Ripka Brand of $0.90 million. Net cash used in financing activities for the Prior Year Quarter was approximately $0.41 million, primarily attributable to $0.06 million of repurchased shares of restricted stock that had vested, $0.03 million of deferred financing costs and $0.32 million of contingent obligation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seek to expand and diversify the types of licensed products being produced under the Mizrahi, Ripka and H Halston brands. We will seek to continue to diversify the distribution channels within which licensed products are sold, in an effort to reduce dependence on any particular retailer, consumer or market sector within each of our brands. The Mizrahi Brands, the H Halston Brands and LCNY Brand have a core business in fashion apparel and accessories. The Ripka Brand historically have been focused on fine jewelry, which we believe helps diversify our industry focus while at the same time complements, expands on and grows our overall business relationship with QVC. We also intend to seek new opportunities, including expansion through direct-response television and additional domestic and international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in the Company’s Annual Report on Form 10-K for the year ended December 31, 2014 as filed with the SEC, could adversely affect our licensees’ ability to meet and/or exceed their contractual commitments to us and thereby adversely affect our future operating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2014, filed with the SEC on March 31, 2015, for a discussion of our critical accounting policies. During the three months ended March 31, 2015, there were no material changes to these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2015, the end of the period covered by this report. Based on, and as of the date of such evaluation, the Chief Executive Officer and the Chief Financial Officer have concluded that our disclosure controls and procedures were effective as of March 31, 2015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March 31, 2015 that have materially affected, or are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2014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25, 2015 we issued 266,667 shares of our Common Stock in exchange for the cancellation of $2,400,000 principal amount of a promissory note. The shares were issued under an exception from registration provided by Rule 4(a)(2) of the Securities Act as amended and/or Rule 506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31.1 Rule 13a-14(a)/15d-14(a) Certification (CEO)</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31.2 Rule 13a-14(a)/15d-14(a) Certification (CFO)</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32.1 Section 1350 Certification (CEO)</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32.2 Section 1350 Certification (CFO)</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15, 2015</w:t>
            </w:r>
          </w:p>
        </w:tc>
        <w:tc>
          <w:tcPr>
            <w:tcW w:w="2980" w:type="dxa"/>
            <w:vAlign w:val="bottom"/>
          </w:tcPr>
          <w:p>
            <w:pPr>
              <w:ind w:left="24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980" w:type="dxa"/>
            <w:vAlign w:val="bottom"/>
          </w:tcPr>
          <w:p>
            <w:pPr>
              <w:ind w:left="24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26</w:t>
            </w: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2015</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2015</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2015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2015</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2015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2015</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1"/>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2019-12-29T16:55:33Z</dcterms:created>
  <dcterms:modified xsi:type="dcterms:W3CDTF">2019-12-29T16:55:33Z</dcterms:modified>
</cp:coreProperties>
</file>