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85725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154305</wp:posOffset>
            </wp:positionV>
            <wp:extent cx="64979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pacing w:after="0" w:line="2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27" w:lineRule="exact"/>
        <w:rPr>
          <w:sz w:val="24"/>
          <w:szCs w:val="24"/>
          <w:color w:val="auto"/>
        </w:rPr>
      </w:pPr>
    </w:p>
    <w:p>
      <w:pPr>
        <w:ind w:left="3380" w:right="860" w:hanging="3066"/>
        <w:spacing w:after="0" w:line="286" w:lineRule="auto"/>
        <w:tabs>
          <w:tab w:leader="none" w:pos="57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2025</w:t>
      </w:r>
    </w:p>
    <w:p>
      <w:pPr>
        <w:spacing w:after="0" w:line="155" w:lineRule="exact"/>
        <w:rPr>
          <w:sz w:val="24"/>
          <w:szCs w:val="24"/>
          <w:color w:val="auto"/>
        </w:rPr>
      </w:pPr>
    </w:p>
    <w:p>
      <w:pPr>
        <w:ind w:left="3680" w:right="1140" w:hanging="3366"/>
        <w:spacing w:after="0" w:line="285" w:lineRule="auto"/>
        <w:tabs>
          <w:tab w:leader="none" w:pos="566"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UNDER SECTION 13 OR 15(d) OF THE SECURITIES EXCHANGE ACT OF 1934 Commission File Number: 001-37527</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XCEL BRANDS, INC.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Delaware</w:t>
            </w:r>
          </w:p>
        </w:tc>
        <w:tc>
          <w:tcPr>
            <w:tcW w:w="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5020" w:type="dxa"/>
            <w:vAlign w:val="bottom"/>
            <w:tcBorders>
              <w:bottom w:val="single" w:sz="8" w:color="auto"/>
            </w:tcBorders>
          </w:tcPr>
          <w:p>
            <w:pPr>
              <w:jc w:val="right"/>
              <w:ind w:right="1990"/>
              <w:spacing w:after="0"/>
              <w:rPr>
                <w:sz w:val="20"/>
                <w:szCs w:val="20"/>
                <w:color w:val="auto"/>
              </w:rPr>
            </w:pPr>
            <w:r>
              <w:rPr>
                <w:rFonts w:ascii="Times New Roman" w:cs="Times New Roman" w:eastAsia="Times New Roman" w:hAnsi="Times New Roman"/>
                <w:sz w:val="18"/>
                <w:szCs w:val="18"/>
                <w:color w:val="auto"/>
              </w:rPr>
              <w:t>76-0307819</w:t>
            </w:r>
          </w:p>
        </w:tc>
      </w:tr>
      <w:tr>
        <w:trPr>
          <w:trHeight w:val="228"/>
        </w:trPr>
        <w:tc>
          <w:tcPr>
            <w:tcW w:w="4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300" w:type="dxa"/>
            <w:vAlign w:val="bottom"/>
          </w:tcPr>
          <w:p>
            <w:pPr>
              <w:spacing w:after="0"/>
              <w:rPr>
                <w:sz w:val="19"/>
                <w:szCs w:val="19"/>
                <w:color w:val="auto"/>
              </w:rPr>
            </w:pPr>
          </w:p>
        </w:tc>
        <w:tc>
          <w:tcPr>
            <w:tcW w:w="5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71"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550 Seventh Avenue, 11th Floor, New York, NY 10018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1543685</wp:posOffset>
            </wp:positionH>
            <wp:positionV relativeFrom="paragraph">
              <wp:posOffset>17145</wp:posOffset>
            </wp:positionV>
            <wp:extent cx="32575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57550" cy="8255"/>
                    </a:xfrm>
                    <a:prstGeom prst="rect">
                      <a:avLst/>
                    </a:prstGeom>
                    <a:noFill/>
                  </pic:spPr>
                </pic:pic>
              </a:graphicData>
            </a:graphic>
          </wp:anchor>
        </w:drawing>
      </w:r>
    </w:p>
    <w:p>
      <w:pPr>
        <w:spacing w:after="0" w:line="7" w:lineRule="exact"/>
        <w:rPr>
          <w:sz w:val="24"/>
          <w:szCs w:val="24"/>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(347) 727-2474</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(Issuer’s Telephone Number, Including Area Code)</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Trading Symbol</w:t>
            </w:r>
          </w:p>
        </w:tc>
        <w:tc>
          <w:tcPr>
            <w:tcW w:w="358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 Name of each exchange on which registered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580" w:type="dxa"/>
            <w:vAlign w:val="bottom"/>
            <w:tcBorders>
              <w:top w:val="single" w:sz="8" w:color="auto"/>
            </w:tcBorders>
          </w:tcPr>
          <w:p>
            <w:pPr>
              <w:jc w:val="center"/>
              <w:ind w:right="410"/>
              <w:spacing w:after="0"/>
              <w:rPr>
                <w:sz w:val="20"/>
                <w:szCs w:val="20"/>
                <w:color w:val="auto"/>
              </w:rPr>
            </w:pPr>
            <w:r>
              <w:rPr>
                <w:rFonts w:ascii="Times New Roman" w:cs="Times New Roman" w:eastAsia="Times New Roman" w:hAnsi="Times New Roman"/>
                <w:sz w:val="18"/>
                <w:szCs w:val="18"/>
                <w:color w:val="auto"/>
              </w:rPr>
              <w:t>XELB</w:t>
            </w:r>
          </w:p>
        </w:tc>
        <w:tc>
          <w:tcPr>
            <w:tcW w:w="200" w:type="dxa"/>
            <w:vAlign w:val="bottom"/>
          </w:tcPr>
          <w:p>
            <w:pPr>
              <w:spacing w:after="0"/>
              <w:rPr>
                <w:sz w:val="19"/>
                <w:szCs w:val="19"/>
                <w:color w:val="auto"/>
              </w:rPr>
            </w:pPr>
          </w:p>
        </w:tc>
        <w:tc>
          <w:tcPr>
            <w:tcW w:w="3380" w:type="dxa"/>
            <w:vAlign w:val="bottom"/>
            <w:tcBorders>
              <w:top w:val="single" w:sz="8" w:color="auto"/>
            </w:tcBorders>
            <w:gridSpan w:val="5"/>
          </w:tcPr>
          <w:p>
            <w:pPr>
              <w:ind w:left="740"/>
              <w:spacing w:after="0"/>
              <w:rPr>
                <w:sz w:val="20"/>
                <w:szCs w:val="20"/>
                <w:color w:val="auto"/>
              </w:rPr>
            </w:pPr>
            <w:r>
              <w:rPr>
                <w:rFonts w:ascii="Times New Roman" w:cs="Times New Roman" w:eastAsia="Times New Roman" w:hAnsi="Times New Roman"/>
                <w:sz w:val="18"/>
                <w:szCs w:val="18"/>
                <w:color w:val="auto"/>
              </w:rPr>
              <w:t>NASDAQ Capital Market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7760" w:type="dxa"/>
            <w:vAlign w:val="bottom"/>
            <w:gridSpan w:val="6"/>
          </w:tcPr>
          <w:p>
            <w:pPr>
              <w:jc w:val="center"/>
              <w:ind w:left="2330"/>
              <w:spacing w:after="0"/>
              <w:rPr>
                <w:sz w:val="20"/>
                <w:szCs w:val="20"/>
                <w:color w:val="auto"/>
              </w:rPr>
            </w:pPr>
            <w:r>
              <w:rPr>
                <w:rFonts w:ascii="Times New Roman" w:cs="Times New Roman" w:eastAsia="Times New Roman" w:hAnsi="Times New Roman"/>
                <w:sz w:val="18"/>
                <w:szCs w:val="18"/>
                <w:color w:val="auto"/>
                <w:w w:val="99"/>
              </w:rPr>
              <w:t>Securities registered pursuant to Section 12(g) of the Act: None</w:t>
            </w:r>
          </w:p>
        </w:tc>
        <w:tc>
          <w:tcPr>
            <w:tcW w:w="420" w:type="dxa"/>
            <w:vAlign w:val="bottom"/>
          </w:tcPr>
          <w:p>
            <w:pPr>
              <w:spacing w:after="0"/>
              <w:rPr>
                <w:sz w:val="23"/>
                <w:szCs w:val="23"/>
                <w:color w:val="auto"/>
              </w:rPr>
            </w:pPr>
          </w:p>
        </w:tc>
        <w:tc>
          <w:tcPr>
            <w:tcW w:w="340" w:type="dxa"/>
            <w:vAlign w:val="bottom"/>
            <w:vMerge w:val="restart"/>
          </w:tcPr>
          <w:p>
            <w:pPr>
              <w:ind w:left="40"/>
              <w:spacing w:after="0" w:line="161" w:lineRule="exact"/>
              <w:rPr>
                <w:sz w:val="20"/>
                <w:szCs w:val="20"/>
                <w:color w:val="auto"/>
              </w:rPr>
            </w:pPr>
            <w:r>
              <w:rPr>
                <w:rFonts w:ascii="MS PGothic" w:cs="MS PGothic" w:eastAsia="MS PGothic" w:hAnsi="MS PGothic"/>
                <w:sz w:val="16"/>
                <w:szCs w:val="16"/>
                <w:color w:val="auto"/>
              </w:rPr>
              <w:t>☐</w:t>
            </w:r>
          </w:p>
        </w:tc>
        <w:tc>
          <w:tcPr>
            <w:tcW w:w="380" w:type="dxa"/>
            <w:vAlign w:val="bottom"/>
          </w:tcPr>
          <w:p>
            <w:pPr>
              <w:spacing w:after="0"/>
              <w:rPr>
                <w:sz w:val="23"/>
                <w:szCs w:val="23"/>
                <w:color w:val="auto"/>
              </w:rPr>
            </w:pPr>
          </w:p>
        </w:tc>
        <w:tc>
          <w:tcPr>
            <w:tcW w:w="1300" w:type="dxa"/>
            <w:vAlign w:val="bottom"/>
            <w:vMerge w:val="restart"/>
          </w:tcPr>
          <w:p>
            <w:pPr>
              <w:ind w:left="2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r>
        <w:trPr>
          <w:trHeight w:val="236"/>
        </w:trPr>
        <w:tc>
          <w:tcPr>
            <w:tcW w:w="77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tc>
        <w:tc>
          <w:tcPr>
            <w:tcW w:w="4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Yes</w:t>
            </w:r>
          </w:p>
        </w:tc>
        <w:tc>
          <w:tcPr>
            <w:tcW w:w="3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r>
              <w:rPr>
                <w:rFonts w:ascii="Times New Roman" w:cs="Times New Roman" w:eastAsia="Times New Roman" w:hAnsi="Times New Roman"/>
                <w:sz w:val="16"/>
                <w:szCs w:val="16"/>
                <w:color w:val="auto"/>
              </w:rPr>
              <w:t>No</w:t>
            </w:r>
          </w:p>
        </w:tc>
        <w:tc>
          <w:tcPr>
            <w:tcW w:w="13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7780" w:type="dxa"/>
            <w:vAlign w:val="bottom"/>
            <w:gridSpan w:val="7"/>
          </w:tcPr>
          <w:p>
            <w:pPr>
              <w:spacing w:after="0"/>
              <w:rPr>
                <w:sz w:val="20"/>
                <w:szCs w:val="20"/>
                <w:color w:val="auto"/>
              </w:rPr>
            </w:pPr>
            <w:r>
              <w:rPr>
                <w:rFonts w:ascii="Times New Roman" w:cs="Times New Roman" w:eastAsia="Times New Roman" w:hAnsi="Times New Roman"/>
                <w:sz w:val="16"/>
                <w:szCs w:val="16"/>
                <w:color w:val="auto"/>
              </w:rPr>
              <w:t>Indicate by check mark if the registrant is not required to file reports pursuant to Section 13 or Section 15(d) of the Act.</w:t>
            </w:r>
          </w:p>
        </w:tc>
        <w:tc>
          <w:tcPr>
            <w:tcW w:w="420" w:type="dxa"/>
            <w:vAlign w:val="bottom"/>
          </w:tcPr>
          <w:p>
            <w:pPr>
              <w:ind w:left="160"/>
              <w:spacing w:after="0"/>
              <w:rPr>
                <w:sz w:val="20"/>
                <w:szCs w:val="20"/>
                <w:color w:val="auto"/>
              </w:rPr>
            </w:pPr>
            <w:r>
              <w:rPr>
                <w:rFonts w:ascii="Times New Roman" w:cs="Times New Roman" w:eastAsia="Times New Roman" w:hAnsi="Times New Roman"/>
                <w:sz w:val="16"/>
                <w:szCs w:val="16"/>
                <w:color w:val="auto"/>
                <w:w w:val="96"/>
              </w:rPr>
              <w:t>Yes</w:t>
            </w:r>
          </w:p>
        </w:tc>
        <w:tc>
          <w:tcPr>
            <w:tcW w:w="340" w:type="dxa"/>
            <w:vAlign w:val="bottom"/>
          </w:tcPr>
          <w:p>
            <w:pPr>
              <w:ind w:left="180"/>
              <w:spacing w:after="0" w:line="161" w:lineRule="exact"/>
              <w:rPr>
                <w:sz w:val="20"/>
                <w:szCs w:val="20"/>
                <w:color w:val="auto"/>
              </w:rPr>
            </w:pPr>
            <w:r>
              <w:rPr>
                <w:rFonts w:ascii="MS PGothic" w:cs="MS PGothic" w:eastAsia="MS PGothic" w:hAnsi="MS PGothic"/>
                <w:sz w:val="16"/>
                <w:szCs w:val="16"/>
                <w:color w:val="auto"/>
                <w:w w:val="87"/>
              </w:rPr>
              <w:t>☐</w:t>
            </w:r>
          </w:p>
        </w:tc>
        <w:tc>
          <w:tcPr>
            <w:tcW w:w="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w:t>
            </w:r>
          </w:p>
        </w:tc>
        <w:tc>
          <w:tcPr>
            <w:tcW w:w="1300" w:type="dxa"/>
            <w:vAlign w:val="bottom"/>
          </w:tcPr>
          <w:p>
            <w:pPr>
              <w:ind w:left="180"/>
              <w:spacing w:after="0" w:line="161" w:lineRule="exact"/>
              <w:rPr>
                <w:sz w:val="20"/>
                <w:szCs w:val="20"/>
                <w:color w:val="auto"/>
              </w:rPr>
            </w:pPr>
            <w:r>
              <w:rPr>
                <w:rFonts w:ascii="MS PGothic" w:cs="MS PGothic" w:eastAsia="MS PGothic" w:hAnsi="MS PGothic"/>
                <w:sz w:val="16"/>
                <w:szCs w:val="16"/>
                <w:color w:val="auto"/>
              </w:rPr>
              <w:t>☒</w:t>
            </w:r>
          </w:p>
        </w:tc>
        <w:tc>
          <w:tcPr>
            <w:tcW w:w="0" w:type="dxa"/>
            <w:vAlign w:val="bottom"/>
          </w:tcPr>
          <w:p>
            <w:pPr>
              <w:spacing w:after="0"/>
              <w:rPr>
                <w:sz w:val="1"/>
                <w:szCs w:val="1"/>
                <w:color w:val="auto"/>
              </w:rPr>
            </w:pPr>
          </w:p>
        </w:tc>
      </w:tr>
    </w:tbl>
    <w:p>
      <w:pPr>
        <w:spacing w:after="0" w:line="34"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6"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4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560"/>
              <w:spacing w:after="0" w:line="207" w:lineRule="exact"/>
              <w:rPr>
                <w:sz w:val="20"/>
                <w:szCs w:val="20"/>
                <w:color w:val="auto"/>
              </w:rPr>
            </w:pPr>
            <w:r>
              <w:rPr>
                <w:rFonts w:ascii="Times New Roman" w:cs="Times New Roman" w:eastAsia="Times New Roman" w:hAnsi="Times New Roman"/>
                <w:sz w:val="18"/>
                <w:szCs w:val="18"/>
                <w:color w:val="auto"/>
              </w:rPr>
              <w:t xml:space="preserve">​​​ Accelerated filer  </w:t>
            </w:r>
            <w:r>
              <w:rPr>
                <w:rFonts w:ascii="MS PGothic" w:cs="MS PGothic" w:eastAsia="MS PGothic" w:hAnsi="MS PGothic"/>
                <w:sz w:val="18"/>
                <w:szCs w:val="18"/>
                <w:color w:val="auto"/>
              </w:rPr>
              <w:t>☐</w:t>
            </w:r>
          </w:p>
        </w:tc>
        <w:tc>
          <w:tcPr>
            <w:tcW w:w="260" w:type="dxa"/>
            <w:vAlign w:val="bottom"/>
          </w:tcPr>
          <w:p>
            <w:pPr>
              <w:spacing w:after="0"/>
              <w:rPr>
                <w:sz w:val="22"/>
                <w:szCs w:val="22"/>
                <w:color w:val="auto"/>
              </w:rPr>
            </w:pPr>
          </w:p>
        </w:tc>
      </w:tr>
      <w:tr>
        <w:trPr>
          <w:trHeight w:val="230"/>
        </w:trPr>
        <w:tc>
          <w:tcPr>
            <w:tcW w:w="16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03"/>
        </w:trPr>
        <w:tc>
          <w:tcPr>
            <w:tcW w:w="16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382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Emerging growth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45" w:lineRule="exact"/>
        <w:rPr>
          <w:sz w:val="24"/>
          <w:szCs w:val="24"/>
          <w:color w:val="auto"/>
        </w:rPr>
      </w:pPr>
    </w:p>
    <w:p>
      <w:pPr>
        <w:jc w:val="both"/>
        <w:spacing w:after="0" w:line="233"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2" w:lineRule="exact"/>
        <w:rPr>
          <w:sz w:val="24"/>
          <w:szCs w:val="24"/>
          <w:color w:val="auto"/>
        </w:rPr>
      </w:pPr>
    </w:p>
    <w:p>
      <w:pPr>
        <w:jc w:val="both"/>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24" w:lineRule="exact"/>
        <w:rPr>
          <w:sz w:val="24"/>
          <w:szCs w:val="24"/>
          <w:color w:val="auto"/>
        </w:rPr>
      </w:pPr>
    </w:p>
    <w:p>
      <w:pPr>
        <w:jc w:val="both"/>
        <w:ind w:right="20"/>
        <w:spacing w:after="0" w:line="233"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7"/>
          <w:szCs w:val="17"/>
          <w:color w:val="auto"/>
        </w:rPr>
        <w:t>☐</w:t>
      </w:r>
    </w:p>
    <w:p>
      <w:pPr>
        <w:spacing w:after="0" w:line="35" w:lineRule="exact"/>
        <w:rPr>
          <w:sz w:val="24"/>
          <w:szCs w:val="24"/>
          <w:color w:val="auto"/>
        </w:rPr>
      </w:pPr>
    </w:p>
    <w:p>
      <w:pPr>
        <w:jc w:val="both"/>
        <w:ind w:right="20"/>
        <w:spacing w:after="0" w:line="233"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7"/>
          <w:szCs w:val="17"/>
          <w:color w:val="auto"/>
        </w:rPr>
        <w:t>☐</w:t>
      </w:r>
    </w:p>
    <w:p>
      <w:pPr>
        <w:spacing w:after="0" w:line="196" w:lineRule="exact"/>
        <w:tabs>
          <w:tab w:leader="none" w:pos="7220" w:val="left"/>
          <w:tab w:leader="none" w:pos="7700" w:val="left"/>
          <w:tab w:leader="none" w:pos="8440" w:val="left"/>
        </w:tabs>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Act).</w:t>
        <w:tab/>
        <w:t>Yes</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No</w:t>
      </w:r>
      <w:r>
        <w:rPr>
          <w:sz w:val="20"/>
          <w:szCs w:val="20"/>
          <w:color w:val="auto"/>
        </w:rPr>
        <w:tab/>
      </w:r>
      <w:r>
        <w:rPr>
          <w:rFonts w:ascii="MS PGothic" w:cs="MS PGothic" w:eastAsia="MS PGothic" w:hAnsi="MS PGothic"/>
          <w:sz w:val="16"/>
          <w:szCs w:val="16"/>
          <w:color w:val="auto"/>
        </w:rPr>
        <w:t>☒</w:t>
      </w:r>
    </w:p>
    <w:p>
      <w:pPr>
        <w:spacing w:after="0" w:line="110"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was approximately $1,661,000 based upon the closing price of such common stock on June 30, 2025.</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the issuer’s common stock issued and outstanding as of April 10, 2026 was 5,913,492 shares.</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506730</wp:posOffset>
            </wp:positionV>
            <wp:extent cx="6497955"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97955" cy="2603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78105</wp:posOffset>
            </wp:positionV>
            <wp:extent cx="64979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88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121285</wp:posOffset>
            </wp:positionV>
            <wp:extent cx="649795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1" w:right="83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180" w:type="dxa"/>
            <w:vAlign w:val="bottom"/>
            <w:gridSpan w:val="13"/>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5"/>
              </w:rPr>
              <w:t>PART I</w:t>
            </w:r>
          </w:p>
        </w:tc>
        <w:tc>
          <w:tcPr>
            <w:tcW w:w="120" w:type="dxa"/>
            <w:vAlign w:val="bottom"/>
            <w:gridSpan w:val="2"/>
            <w:vMerge w:val="restart"/>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600" w:type="dxa"/>
            <w:vAlign w:val="bottom"/>
            <w:tcBorders>
              <w:bottom w:val="single" w:sz="8" w:color="0000EE"/>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50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1"/>
                <w:szCs w:val="11"/>
                <w:color w:val="0000EE"/>
                <w:w w:val="71"/>
              </w:rPr>
              <w:t>1</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6"/>
              </w:rPr>
              <w:t>Business</w:t>
            </w:r>
          </w:p>
        </w:tc>
        <w:tc>
          <w:tcPr>
            <w:tcW w:w="6580" w:type="dxa"/>
            <w:vAlign w:val="bottom"/>
            <w:gridSpan w:val="2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1A</w:t>
            </w:r>
          </w:p>
        </w:tc>
        <w:tc>
          <w:tcPr>
            <w:tcW w:w="220" w:type="dxa"/>
            <w:vAlign w:val="bottom"/>
          </w:tcPr>
          <w:p>
            <w:pPr>
              <w:spacing w:after="0"/>
              <w:rPr>
                <w:sz w:val="17"/>
                <w:szCs w:val="17"/>
                <w:color w:val="auto"/>
              </w:rPr>
            </w:pPr>
          </w:p>
        </w:tc>
        <w:tc>
          <w:tcPr>
            <w:tcW w:w="9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7"/>
              </w:rPr>
              <w:t>Risk Factors</w:t>
            </w:r>
          </w:p>
        </w:tc>
        <w:tc>
          <w:tcPr>
            <w:tcW w:w="6320" w:type="dxa"/>
            <w:vAlign w:val="bottom"/>
            <w:gridSpan w:val="1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75"/>
              </w:rPr>
              <w:t>1B</w:t>
            </w:r>
          </w:p>
        </w:tc>
        <w:tc>
          <w:tcPr>
            <w:tcW w:w="260" w:type="dxa"/>
            <w:vAlign w:val="bottom"/>
            <w:gridSpan w:val="2"/>
          </w:tcPr>
          <w:p>
            <w:pPr>
              <w:spacing w:after="0"/>
              <w:rPr>
                <w:sz w:val="17"/>
                <w:szCs w:val="17"/>
                <w:color w:val="auto"/>
              </w:rPr>
            </w:pPr>
          </w:p>
        </w:tc>
        <w:tc>
          <w:tcPr>
            <w:tcW w:w="204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Unresolved Staff Comments</w:t>
            </w:r>
          </w:p>
        </w:tc>
        <w:tc>
          <w:tcPr>
            <w:tcW w:w="5180" w:type="dxa"/>
            <w:vAlign w:val="bottom"/>
            <w:gridSpan w:val="13"/>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0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75"/>
              </w:rPr>
              <w:t>1C</w:t>
            </w:r>
          </w:p>
        </w:tc>
        <w:tc>
          <w:tcPr>
            <w:tcW w:w="260" w:type="dxa"/>
            <w:vAlign w:val="bottom"/>
            <w:gridSpan w:val="2"/>
          </w:tcPr>
          <w:p>
            <w:pPr>
              <w:spacing w:after="0"/>
              <w:rPr>
                <w:sz w:val="17"/>
                <w:szCs w:val="17"/>
                <w:color w:val="auto"/>
              </w:rPr>
            </w:pPr>
          </w:p>
        </w:tc>
        <w:tc>
          <w:tcPr>
            <w:tcW w:w="100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6"/>
              </w:rPr>
              <w:t>Cybersecurity</w:t>
            </w:r>
          </w:p>
        </w:tc>
        <w:tc>
          <w:tcPr>
            <w:tcW w:w="6220" w:type="dxa"/>
            <w:vAlign w:val="bottom"/>
            <w:gridSpan w:val="1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0000EE"/>
                <w:w w:val="71"/>
              </w:rPr>
              <w:t>2</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Properties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0000EE"/>
                <w:w w:val="71"/>
              </w:rPr>
              <w:t>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Legal Proceedings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1"/>
                <w:szCs w:val="11"/>
                <w:color w:val="0000EE"/>
                <w:w w:val="71"/>
              </w:rPr>
              <w:t>4</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Mine Safety Disclosures</w:t>
            </w:r>
          </w:p>
        </w:tc>
        <w:tc>
          <w:tcPr>
            <w:tcW w:w="546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412"/>
        </w:trPr>
        <w:tc>
          <w:tcPr>
            <w:tcW w:w="7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0000EE"/>
              </w:rPr>
              <w:t>PART II</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0000EE"/>
                <w:w w:val="71"/>
              </w:rPr>
              <w:t>5</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Market for Registrant’s Common Equity, Related Stockholder Matters and Issuer Purchases of</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780" w:type="dxa"/>
            <w:vAlign w:val="bottom"/>
            <w:tcBorders>
              <w:top w:val="single" w:sz="8" w:color="0000EE"/>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Equity Securities</w:t>
            </w:r>
          </w:p>
        </w:tc>
        <w:tc>
          <w:tcPr>
            <w:tcW w:w="440" w:type="dxa"/>
            <w:vAlign w:val="bottom"/>
            <w:gridSpan w:val="2"/>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1"/>
                <w:szCs w:val="11"/>
                <w:color w:val="0000EE"/>
                <w:w w:val="71"/>
              </w:rPr>
              <w:t>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6"/>
              </w:rPr>
              <w:t>[Reserved]</w:t>
            </w:r>
          </w:p>
        </w:tc>
        <w:tc>
          <w:tcPr>
            <w:tcW w:w="440" w:type="dxa"/>
            <w:vAlign w:val="bottom"/>
            <w:tcBorders>
              <w:top w:val="single" w:sz="8" w:color="0000EE"/>
            </w:tcBorders>
            <w:gridSpan w:val="3"/>
          </w:tcPr>
          <w:p>
            <w:pPr>
              <w:spacing w:after="0"/>
              <w:rPr>
                <w:sz w:val="17"/>
                <w:szCs w:val="17"/>
                <w:color w:val="auto"/>
              </w:rPr>
            </w:pPr>
          </w:p>
        </w:tc>
        <w:tc>
          <w:tcPr>
            <w:tcW w:w="6000" w:type="dxa"/>
            <w:vAlign w:val="bottom"/>
            <w:gridSpan w:val="17"/>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0000EE"/>
                <w:w w:val="71"/>
              </w:rPr>
              <w:t>7</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7A</w:t>
            </w:r>
          </w:p>
        </w:tc>
        <w:tc>
          <w:tcPr>
            <w:tcW w:w="220" w:type="dxa"/>
            <w:vAlign w:val="bottom"/>
          </w:tcPr>
          <w:p>
            <w:pPr>
              <w:spacing w:after="0"/>
              <w:rPr>
                <w:sz w:val="17"/>
                <w:szCs w:val="17"/>
                <w:color w:val="auto"/>
              </w:rPr>
            </w:pPr>
          </w:p>
        </w:tc>
        <w:tc>
          <w:tcPr>
            <w:tcW w:w="72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1"/>
                <w:szCs w:val="11"/>
                <w:color w:val="0000EE"/>
                <w:w w:val="71"/>
              </w:rPr>
              <w:t>8</w:t>
            </w: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Pr>
          <w:p>
            <w:pPr>
              <w:spacing w:after="0"/>
              <w:rPr>
                <w:sz w:val="17"/>
                <w:szCs w:val="17"/>
                <w:color w:val="auto"/>
              </w:rPr>
            </w:pPr>
          </w:p>
        </w:tc>
        <w:tc>
          <w:tcPr>
            <w:tcW w:w="3320" w:type="dxa"/>
            <w:vAlign w:val="bottom"/>
            <w:tcBorders>
              <w:top w:val="single" w:sz="8" w:color="0000EE"/>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w w:val="99"/>
              </w:rPr>
              <w:t>Financial Statements and Supplementary Data</w:t>
            </w:r>
          </w:p>
        </w:tc>
        <w:tc>
          <w:tcPr>
            <w:tcW w:w="1020" w:type="dxa"/>
            <w:vAlign w:val="bottom"/>
            <w:tcBorders>
              <w:top w:val="single" w:sz="8" w:color="0000EE"/>
            </w:tcBorders>
            <w:gridSpan w:val="2"/>
          </w:tcPr>
          <w:p>
            <w:pPr>
              <w:spacing w:after="0"/>
              <w:rPr>
                <w:sz w:val="17"/>
                <w:szCs w:val="17"/>
                <w:color w:val="auto"/>
              </w:rPr>
            </w:pPr>
          </w:p>
        </w:tc>
        <w:tc>
          <w:tcPr>
            <w:tcW w:w="2880" w:type="dxa"/>
            <w:vAlign w:val="bottom"/>
            <w:gridSpan w:val="8"/>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80" w:type="dxa"/>
            <w:vAlign w:val="bottom"/>
          </w:tcPr>
          <w:p>
            <w:pPr>
              <w:spacing w:after="0"/>
              <w:rPr>
                <w:sz w:val="20"/>
                <w:szCs w:val="20"/>
                <w:color w:val="auto"/>
              </w:rPr>
            </w:pPr>
            <w:r>
              <w:rPr>
                <w:rFonts w:ascii="Times New Roman" w:cs="Times New Roman" w:eastAsia="Times New Roman" w:hAnsi="Times New Roman"/>
                <w:sz w:val="11"/>
                <w:szCs w:val="11"/>
                <w:color w:val="0000EE"/>
                <w:w w:val="71"/>
              </w:rPr>
              <w:t>9</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Changes in and Disagreements with Accountants on Accounting and Financial Disclosure</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50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4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9A</w:t>
            </w:r>
          </w:p>
        </w:tc>
        <w:tc>
          <w:tcPr>
            <w:tcW w:w="220" w:type="dxa"/>
            <w:vAlign w:val="bottom"/>
          </w:tcPr>
          <w:p>
            <w:pPr>
              <w:spacing w:after="0"/>
              <w:rPr>
                <w:sz w:val="17"/>
                <w:szCs w:val="17"/>
                <w:color w:val="auto"/>
              </w:rPr>
            </w:pPr>
          </w:p>
        </w:tc>
        <w:tc>
          <w:tcPr>
            <w:tcW w:w="176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8"/>
              </w:rPr>
              <w:t>Controls and Procedures</w:t>
            </w:r>
          </w:p>
        </w:tc>
        <w:tc>
          <w:tcPr>
            <w:tcW w:w="5460" w:type="dxa"/>
            <w:vAlign w:val="bottom"/>
            <w:gridSpan w:val="15"/>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75"/>
              </w:rPr>
              <w:t>9B</w:t>
            </w:r>
          </w:p>
        </w:tc>
        <w:tc>
          <w:tcPr>
            <w:tcW w:w="260" w:type="dxa"/>
            <w:vAlign w:val="bottom"/>
            <w:gridSpan w:val="2"/>
          </w:tcPr>
          <w:p>
            <w:pPr>
              <w:spacing w:after="0"/>
              <w:rPr>
                <w:sz w:val="17"/>
                <w:szCs w:val="17"/>
                <w:color w:val="auto"/>
              </w:rPr>
            </w:pPr>
          </w:p>
        </w:tc>
        <w:tc>
          <w:tcPr>
            <w:tcW w:w="72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Other Information</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tcBorders>
              <w:left w:val="single" w:sz="8" w:color="0000EE"/>
            </w:tcBorders>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75"/>
              </w:rPr>
              <w:t>9C</w:t>
            </w:r>
          </w:p>
        </w:tc>
        <w:tc>
          <w:tcPr>
            <w:tcW w:w="260" w:type="dxa"/>
            <w:vAlign w:val="bottom"/>
            <w:gridSpan w:val="2"/>
          </w:tcPr>
          <w:p>
            <w:pPr>
              <w:spacing w:after="0"/>
              <w:rPr>
                <w:sz w:val="17"/>
                <w:szCs w:val="17"/>
                <w:color w:val="auto"/>
              </w:rPr>
            </w:pPr>
          </w:p>
        </w:tc>
        <w:tc>
          <w:tcPr>
            <w:tcW w:w="72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Disclosure Regarding Foreign Jurisdictions that Prevent Inspections</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b w:val="1"/>
                <w:bCs w:val="1"/>
                <w:color w:val="0000EE"/>
              </w:rPr>
              <w:t>PART III</w:t>
            </w:r>
          </w:p>
        </w:tc>
        <w:tc>
          <w:tcPr>
            <w:tcW w:w="380" w:type="dxa"/>
            <w:vAlign w:val="bottom"/>
            <w:gridSpan w:val="4"/>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7"/>
              </w:rPr>
              <w:t>10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Directors, Executive Officers and Corporate Governance</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7"/>
              </w:rPr>
              <w:t>11</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2280" w:type="dxa"/>
            <w:vAlign w:val="bottom"/>
            <w:tcBorders>
              <w:top w:val="single" w:sz="8" w:color="0000EE"/>
            </w:tcBorders>
            <w:gridSpan w:val="5"/>
          </w:tcPr>
          <w:p>
            <w:pPr>
              <w:spacing w:after="0"/>
              <w:rPr>
                <w:sz w:val="17"/>
                <w:szCs w:val="17"/>
                <w:color w:val="auto"/>
              </w:rPr>
            </w:pPr>
          </w:p>
        </w:tc>
        <w:tc>
          <w:tcPr>
            <w:tcW w:w="3140" w:type="dxa"/>
            <w:vAlign w:val="bottom"/>
            <w:gridSpan w:val="9"/>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7"/>
              </w:rPr>
              <w:t>12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Security Ownership of Certain Beneficial Owners and Management and Related Stockholder</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680" w:type="dxa"/>
            <w:vAlign w:val="bottom"/>
            <w:tcBorders>
              <w:top w:val="single" w:sz="8" w:color="0000EE"/>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Matters</w:t>
            </w:r>
          </w:p>
        </w:tc>
        <w:tc>
          <w:tcPr>
            <w:tcW w:w="540" w:type="dxa"/>
            <w:vAlign w:val="bottom"/>
            <w:gridSpan w:val="3"/>
          </w:tcPr>
          <w:p>
            <w:pPr>
              <w:spacing w:after="0"/>
              <w:rPr>
                <w:sz w:val="17"/>
                <w:szCs w:val="17"/>
                <w:color w:val="auto"/>
              </w:rPr>
            </w:pPr>
          </w:p>
        </w:tc>
        <w:tc>
          <w:tcPr>
            <w:tcW w:w="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80" w:type="dxa"/>
            <w:vAlign w:val="bottom"/>
            <w:gridSpan w:val="9"/>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60" w:type="dxa"/>
            <w:vAlign w:val="bottom"/>
            <w:gridSpan w:val="5"/>
          </w:tcPr>
          <w:p>
            <w:pPr>
              <w:spacing w:after="0" w:line="20" w:lineRule="exact"/>
              <w:rPr>
                <w:sz w:val="1"/>
                <w:szCs w:val="1"/>
                <w:color w:val="auto"/>
              </w:rPr>
            </w:pPr>
          </w:p>
        </w:tc>
        <w:tc>
          <w:tcPr>
            <w:tcW w:w="1780" w:type="dxa"/>
            <w:vAlign w:val="bottom"/>
            <w:gridSpan w:val="6"/>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20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88"/>
              </w:rPr>
              <w:t>13</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Certain Relationships and Related Transactions, and Director Independence</w:t>
            </w: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top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top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7"/>
              </w:rPr>
              <w:t>14</w:t>
            </w: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40" w:type="dxa"/>
            <w:vAlign w:val="bottom"/>
            <w:tcBorders>
              <w:top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Principal Accountant Fees and Services</w:t>
            </w:r>
          </w:p>
        </w:tc>
        <w:tc>
          <w:tcPr>
            <w:tcW w:w="1780" w:type="dxa"/>
            <w:vAlign w:val="bottom"/>
            <w:gridSpan w:val="6"/>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0000EE"/>
              </w:rPr>
              <w:t>PART IV</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gridSpan w:val="3"/>
            <w:shd w:val="clear" w:color="auto" w:fill="0000EE"/>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2320" w:type="dxa"/>
            <w:vAlign w:val="bottom"/>
            <w:gridSpan w:val="10"/>
          </w:tcPr>
          <w:p>
            <w:pPr>
              <w:spacing w:after="0" w:line="20" w:lineRule="exact"/>
              <w:rPr>
                <w:sz w:val="1"/>
                <w:szCs w:val="1"/>
                <w:color w:val="auto"/>
              </w:rPr>
            </w:pPr>
          </w:p>
        </w:tc>
        <w:tc>
          <w:tcPr>
            <w:tcW w:w="4140" w:type="dxa"/>
            <w:vAlign w:val="bottom"/>
            <w:gridSpan w:val="11"/>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0" w:type="dxa"/>
            <w:vAlign w:val="bottom"/>
          </w:tcPr>
          <w:p>
            <w:pPr>
              <w:spacing w:after="0"/>
              <w:rPr>
                <w:sz w:val="17"/>
                <w:szCs w:val="17"/>
                <w:color w:val="auto"/>
              </w:rPr>
            </w:pPr>
          </w:p>
        </w:tc>
        <w:tc>
          <w:tcPr>
            <w:tcW w:w="3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Item</w:t>
            </w:r>
          </w:p>
        </w:tc>
        <w:tc>
          <w:tcPr>
            <w:tcW w:w="1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77"/>
              </w:rPr>
              <w:t>15</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Exhibit and Financial Statement Schedules</w:t>
            </w:r>
          </w:p>
        </w:tc>
        <w:tc>
          <w:tcPr>
            <w:tcW w:w="4140" w:type="dxa"/>
            <w:vAlign w:val="bottom"/>
            <w:gridSpan w:val="1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196"/>
        </w:trPr>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6460" w:type="dxa"/>
            <w:vAlign w:val="bottom"/>
            <w:gridSpan w:val="21"/>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left="60" w:right="59"/>
        <w:spacing w:after="0" w:line="251" w:lineRule="auto"/>
        <w:rPr>
          <w:sz w:val="20"/>
          <w:szCs w:val="20"/>
          <w:color w:val="auto"/>
        </w:rPr>
      </w:pPr>
      <w:r>
        <w:rPr>
          <w:rFonts w:ascii="Times New Roman" w:cs="Times New Roman" w:eastAsia="Times New Roman" w:hAnsi="Times New Roman"/>
          <w:sz w:val="18"/>
          <w:szCs w:val="18"/>
          <w:color w:val="auto"/>
        </w:rPr>
        <w:t>This Annual Report on Form 10-K contains forward-looking statements within the meaning of Section 27A of the Securities Act of 1933, as amended, and Section 21E of the Securities Exchange Act of 1934, as amended, that involve risks and uncertainties. All statements other than statements of historical fact contained in this Annual Report,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“ongoing,” “could,” “estimates,” “expects,” “intends,” “may,” “appears,” “suggests,” “future,” “likely,” “goal,” “plans,” “potential,” “projects,” “predicts,” “seeks,” “should,” “would,” “guidance,” “confident,” or “will” or the negative of these terms or other comparable terminology. These forward-looking statements include, but are not limited to, statements regarding our anticipated revenue, expenses, profitability, strategic plans, and capital needs. These statements are based on information available to us on the date hereof and our current expectations, estimates, and projections and are not guarantees of future performance. Forward-looking statements involve known and unknown risks, uncertainties, assumptions, and other factors, including, without limitation, the risks outlined under “Risk Factors” or elsewhere in this Annual Report, as well as adverse effects on us, our licensees, and customers due to natural disasters, pandemic disease, and other unexpected events, which may cause our or our industry’s actual results, levels of activity, performance, or achievements to differ materially from those expressed or implied by these forward-looking statements. Moreover, we operate in a very competitive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 You should not place undue reliance on any forward-looking statements. Except as expressly required by the federal securities laws, we undertake no obligation to update any forward-looking statements, whether as a result of new information, future events, changed circumstances, or any other reason.</w:t>
      </w:r>
    </w:p>
    <w:p>
      <w:pPr>
        <w:spacing w:after="0" w:line="196" w:lineRule="exact"/>
        <w:rPr>
          <w:sz w:val="20"/>
          <w:szCs w:val="20"/>
          <w:color w:val="auto"/>
        </w:rPr>
      </w:pPr>
    </w:p>
    <w:p>
      <w:pPr>
        <w:jc w:val="both"/>
        <w:ind w:left="60" w:right="59"/>
        <w:spacing w:after="0" w:line="214" w:lineRule="auto"/>
        <w:rPr>
          <w:sz w:val="20"/>
          <w:szCs w:val="20"/>
          <w:color w:val="auto"/>
        </w:rPr>
      </w:pPr>
      <w:r>
        <w:rPr>
          <w:rFonts w:ascii="Times New Roman" w:cs="Times New Roman" w:eastAsia="Times New Roman" w:hAnsi="Times New Roman"/>
          <w:sz w:val="18"/>
          <w:szCs w:val="18"/>
          <w:color w:val="auto"/>
        </w:rPr>
        <w:t>The "Halston," "Halston Heritage," "H by Halston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"H Halston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"Roy Frowick," "Judith Ripka LTD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"Judith Ripka Collection</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"Judith Ripka Legacy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"Judith Ripka</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"Judith Ripka Sterling</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 Wonder</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 Wonder Limited</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"TowerHill" brands and all related logos and other trademarks or service marks of the Company appearing in this Annual Report are the property of the Company. Brands and all related logos and other trademarks or service marks of other entities (for example, QVC, HSN, JTV, etc.) are the property of those respective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Xcel Brands, Inc. (the “Company,” “Xcel,” “we,” “us,” or “our”) is a media and consumer products company engaged in the design, licensing, marketing, live streaming, and social commerce sales of branded apparel, footwear, accessories, fine jewelry, home goods and other consumer products, and the acquisition of dynamic consumer lifestyle brands. Xcel was founded in 2011 with a vision to reimagine shopping, entertainment, and social media as social commerce.</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Currently, our brand portfolio consists of the following:</w:t>
      </w:r>
    </w:p>
    <w:p>
      <w:pPr>
        <w:spacing w:after="0" w:line="225" w:lineRule="exact"/>
        <w:rPr>
          <w:sz w:val="20"/>
          <w:szCs w:val="20"/>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Halston brands (the "Halston Brand"), the Judith Ripka brands (the "Ripka Brand"), and the C Wonder brands (the "C Wonder Brand"), which are wholly owned by the Company;</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Longaberger by Shannon Doherty brand (the “Longaberger Brand”), which we manage through our 50% ownership interest in Longaberger Licensing, LLC;</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TowerHill by Christie Brinkley brand (the “CB Brand”), which is a co-branded collaboration between Xcel and Christie Brinkley that launched in May 2024;</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Trust-Respect-Love by Cesar Millan brand, which is a new co-branded collaboration between Xcel and Cesar Millan that is planned to launch in Spring 2026;</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GemmaMade by Gemma Stafford brand, which is a new co-branded collaboration between Xcel and baking influencer Gemma Stafford that is planned to launch in Spring 2026;</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Off/Duty by Coco Rocha brand, which is a new co-branded collaboration between Xcel and Coco Rocha, which is planned to launch in Fall 2026;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Mesa Mia by Jenny Martinez, which is a brand owned by Mexican home influencer Jenny Martinez, and for which Xcel holds the television rights through a long-term license agreement and expects to launch in Spring 2026.</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Additionally, through October 1, 2025, we held a noncontrolling interest in the Isaac Mizrahi brands (the “Isaac Mizrahi Brand”). On October 1, 2025, we divested our remaining noncontrolling interest in the Isaac Mizrahi Brand.</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Xcel is pioneering a true omni-channel and social commerce sales strategy which includes the promotion and sale of products under its brands through interactive television, digital live-stream shopping, social commerce, brick-and-mortar retailers, and e-commerce channels.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currently operate under a working-capital light model, with our licensees and/or retail partners responsible for the procurement and sale of inventory. As such, our revenues primarily consist of royalty revenues, and we do not have risk of carrying aged inventory. As a result, fluctuations in product costs and tariffs do not have a direct impact on us, but may impact us indirectly as our royalty revenues are typically based on the net sales and success of our licensees.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objective is to build a diversified portfolio of lifestyle consumer products brands through organic growth and the strategic acquisition of new brands. To grow our brands, we are focused on the following primary strategies:</w:t>
      </w:r>
    </w:p>
    <w:p>
      <w:pPr>
        <w:spacing w:after="0" w:line="162" w:lineRule="exact"/>
        <w:rPr>
          <w:sz w:val="20"/>
          <w:szCs w:val="20"/>
          <w:color w:val="auto"/>
        </w:rPr>
      </w:pPr>
    </w:p>
    <w:p>
      <w:pPr>
        <w:ind w:left="720" w:right="79" w:hanging="319"/>
        <w:spacing w:after="0" w:line="282" w:lineRule="auto"/>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of our brands for sale through interactive television (e.g., QVC, HSN, America’s Collectible Network, Inc. d/b/a JTV (“JTV”), etc.);</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of our brands to retailers that sell to the end consumer;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our brands to manufacturers and retailers for promotion and distribution through e-commerce, social commerce, and brick-and-mortar retail channels;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additional consumer brands and integrating them into our operating platform, and leveraging our operating infrastructure and distribution relationships.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believe that Xcel offers a unique value proposition for the following reasons:</w:t>
      </w:r>
    </w:p>
    <w:p>
      <w:pPr>
        <w:spacing w:after="0" w:line="225" w:lineRule="exact"/>
        <w:rPr>
          <w:sz w:val="20"/>
          <w:szCs w:val="20"/>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including our officers’ and directors’ experience in and relationships within the industry;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deep knowledge, expertise, and proprietary technology in live streaming and social commerce;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design, sales, marketing, and technology platform that enables us to design trend-right product;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media and digital presence.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Company History and Corporate Information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was incorporated on August 31, 1989 in the State of Delaware under the name Houston Operating Company. On April 19, 2005, we changed our name to NetFabric Holdings, Inc. On September 29, 2011, Xcel Brands, Inc., a privately-held Delaware corporation (which we refer to as Old Xcel), Netfabric Acquisition Corp., a Delaware corporation and wholly owned subsidiary of the Company, and certain stockholders of the Company entered into an agreement of merger and plan of reorganization pursuant to which Netfabric Acquisition Corp. was merged with and into Old Xcel, with Old Xcel surviving as a wholly owned subsidiary of the Company. On September 29, 2011, we changed our name to Xcel Brands, Inc.</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March 24, 2025, the Company filed an amendment to its Amended and Restated Certificate of Incorporation to effect a one-for-ten (1:10) reverse stock split of the shares of the Company’s common stock. As a result of this reverse stock split, effective March 24, 2025, every ten (10) shares of our issued and outstanding common stock were automatically combined into one (1) issued and outstanding share of common stock, without any change in the par value per share or number of shares authorized. No fractional shares were issued, and the shares of common stock underlying the Company’s outstanding stock options and warrants were also proportionately adjusted along with corresponding adjustments to their exercise prices. The reverse stock split was primarily intended to bring the Company in compliance with the minimum bid requirement to maintain listing of its common stock on the NASDAQ Capital Market. We have reflected the reverse split on a retroactive basis to all applicable amounts contained in this Annual Report on Form 10-K.</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principal office is currently located at 550 Seventh Avenue, 11th Floor, New York, NY 10018.</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telephone number is (347) 727-2474.</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corporate website is www.xcelbrands.com.</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Our Brand Portfolio</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Halston</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Halston brand was founded by Roy Halston Frowick in the 1960s, and quickly became one of the most important American fashion brands in the world, becoming synonymous with glamour, sophistication, and femininity. Halston’s groundbreaking designs and visionary style still influence designers around the world today. We acquired the H Halston brands in December 2014, and since our acquisition of the Halston Heritage brands in February 2019, we own all Halston labels under our brands. The Halston brand is available across various distribution channels – including premium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better department stores, e-commerce, interactive television, and national specialty retailers – through our long-term master license agreement with G-III Apparel Group.</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Judith Ripka</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Judith Ripka is a luxury jewelry brand founded by Judith Ripka in 1977, which we acquired in in 2014. This brand has become known worldwide for its distinctive designs featuring intricate metalwork, vibrant colors, and distinctive use of texture. The Judith Ripka Fine Jewelry collection consists of pieces in 18 karat gold and sterling silver with precious colored jewels and diamonds, and is currently available through interactive television and e-commerce through our master license agreement with JTV.</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 Wonder</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 Wonder brand was founded by J. Christopher Burch in 2011. This brand is built upon a foundation of bold, vibrant colors and exceptional, eye-catching prints that celebrate the art of everyday dressing. C Wonder offers women’s clothing, footwear, jewelry and accessories, and delightful surprises at every turn. We acquired the C Wonder Brand in 2015, and it is currently available through interactive television and e-commerce through HSN.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Longaberger</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Longaberger is an iconic American heritage home and collectibles brand that began making baskets in 1896 and launched a direct sales company in 1973 by the Longaberger family. The brand is best known for its distinctive handwoven baskets. We acquired a 50% ownership interest in this brand through a business venture with Hilco Global in November 2019, and are actively managing this brand to build on its history and bring it into the future as a digital first live-streaming and social commerce business. We launched our Longaberger e-commerce and live-streaming operations in February 2020; in 2023, we outsourced the operations and management of the brand’s e-commerce business to a third party. In November 2025, we announced a new partnership with Shannon Doherty, creator of At Home with Shannon, to introduce a new collection designed to bring warmth, style, and functionality to every home.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TowerHill by Christie Brinkley</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TowerHill by Christie Brinkley is a co-branded collaboration between Xcel Brands, Inc. and Christie Lee Brinkley, an iconic American supermodel with over one million followers on social media. The brand launched on HSN in May 2024.</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Trust-Respect-Love by Cesar Millan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This brand is a co-branded collaboration between Xcel Brands, Inc. and renowned dog behaviorist Cesar Millan. This innovative brand will offer a range of high-quality pet products, including toys and training tools, aimed at enhancing the relationship between pets and their owners based on the principles of trust, respect, and love. The brand is expected to launch in Spring 2026, featuring availability through various retail and e-commerce channels.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GemmaMade by Gemma Stafford</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This brand is a co-branded collaboration between Xcel Brands, Inc. and chef and baking expert Gemma Stafford. This new kitchen brand is designed to bring stylish, functional, and approachable tools to everyday bakers and home cooks. The brand is expected to launch in Spring 2026.</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Off/Duty by Coco Rocha</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This brand is a co-branded collaboration between Xcel Brands, Inc. and high-fashion model Coco Rocha. This brand aims to offer uncomplicated, high-style, and comfortable wardrobe essentials for a woman on the go. The brand is expected to launch in Fall 2026.</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Mesa Mia by Jenny Martinez</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Mesa Mia is a new brand owned by Mexican home influencer Jenny Martinez, for which Xcel holds the television rights through a long-term license agreement. This brand is a dynamic new food brand inspired by the bold flavors, rich traditions, and spirit of Latin cooking, and will offer a curated line of food products designed to bring delicious, authentic meals to the kitchens of Jenny’s fans with ease and flair. The brand is expected to launch on TSC in Spring 2026.</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Today our brands reach over 46 million people on social media.</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plan to continue to grow our brands and business through three primary strategies:</w:t>
      </w:r>
    </w:p>
    <w:p>
      <w:pPr>
        <w:spacing w:after="0" w:line="225" w:lineRule="exact"/>
        <w:rPr>
          <w:sz w:val="20"/>
          <w:szCs w:val="20"/>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growth in our existing brands;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new brands that are well positioned in social commerce;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of brands and businesses that fit our long-term strategy.</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With respect to organic growth in our existing brands, we have entered into contractual arrangements with best-in-class business partners – including a master license agreement for our Halston Brand with G-III Apparel Group (“G-III”), one of the largest designers and suppliers of wholesale apparel and accessories in the world; a master license agreement for our Judith Ripka Brand with America’s Collectible Network, Inc. d/b/a JTV (“JTV”) which covers both interactive television and e-commerce operations; a licensing arrangement with HSN for our C Wonder Brand, and an outsourcing agreement for the e-commerce operations of the Longaberger Brand. Under these partnerships, the business and corresponding royalty revenues to Xcel for these brands have increased, and we expect that they will continue to increase in 2026 and beyond.</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With respect to developing new brands, we recently developed and successfully launched the TowerHill by Christie Brinkley brand in 2024. While this was a new brand for Xcel, it represents a brand that we co-developed with low up-front costs and for which we were able to leverage our unique experience, relationships, and social commerce knowledge to launch. Based on the performance of the TowerHill brand, we believe this is a viable strategy that will help drive short-term and long-term growth for our company. In 2025, we entered into and announced partnerships with Cesar Millan, Gemma Stafford, Coco Rocha, Shannon Doherty, and Jenny Martinez to develop more new brand collaborations, which are planned to launch in 2026.</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With respect to acquisitions of brands and/or businesses, we have a proven track record of acquiring brands and businesses that are strategically important to and synergistic with our business, and are consistently reviewing potential acquisition targets. Potential acquisitions may include established or newer brands that do or would perform well in live streaming or social commerce, direct-to-consumer brands or platforms with significant consumer following, or established media companies which could benefit from our expertise in direct-response television, live streaming, and social commerce. While our overall long-term business strategy is not dependent on such acquisitions, we carefully consider potential acquisitions as a means to leverage our infrastructure and expertise and accelerate our growth.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Licensing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working-capital-light “licensing plus” business model allows us to focus on our core competencies of design, marketing, and brand management without the investment requirements in inventory associated with traditional consumer product companies.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Qurate Agreements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Qurate Retail Group (“Qurate”) is an important strategic partner in our interactive television business. Qurate’s business model is to promote and sell products through its interactive television programs, reaching more than 200 million homes worldwide via 15 television channels (including QVC and HSN), as well as millions of customers via its QVC+ and HSN+ streaming experience, websites, mobile apps, social pages, print catalogs, and in-store destinations.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Qurate is the largest licensee for our C Wonder and Towerhill by Christie Brinkley brands. We employ and manage on-air spokespersons under each of these brands in order to promote products under our brands on QVC and HSN.</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Through our wholly owned subsidiaries and joint ventures, we have entered into direct-to-retail license agreements with Qurate, collectively referred to as the Qurate Agreements (individually, each a “Qurate Agreement”), pursuant to which we design, and Qurate sources and sells, various products under the C Wonder Brand, the CB Brand, and the Longaberger Brand. Qurate owns the rights to all designs produced under these agreements, and the agreements include the sale of products across various categories through Qurate’s television media and related internet sites.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Pursuant to these agreements, we have granted to Qurate and its affiliates the exclusive, worldwide right to promote our branded products, and the right to use and publish the related trademarks, service marks, copyrights, designs, logos, and other intellectual property rights owned, used, licensed and/or developed by us, for varying terms as set forth below. In connection with the Qurate Agreements and during the same periods, Qurate and its subsidiaries have the exclusive, worldwide right to use the names, likenesses, images, voices, and performances of our spokespersons to promote the respective products.</w:t>
      </w:r>
    </w:p>
    <w:p>
      <w:pPr>
        <w:spacing w:after="0" w:line="19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1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5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 Current Term Expiry</w:t>
            </w:r>
          </w:p>
        </w:tc>
        <w:tc>
          <w:tcPr>
            <w:tcW w:w="180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 Automatic Renewal   ​​​</w:t>
            </w: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Launch</w:t>
            </w:r>
          </w:p>
        </w:tc>
      </w:tr>
      <w:tr>
        <w:trPr>
          <w:trHeight w:val="196"/>
        </w:trPr>
        <w:tc>
          <w:tcPr>
            <w:tcW w:w="4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C Wonder Qurate Agreement (HSN)</w:t>
            </w:r>
          </w:p>
        </w:tc>
        <w:tc>
          <w:tcPr>
            <w:tcW w:w="2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c>
          <w:tcPr>
            <w:tcW w:w="2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two-year period</w:t>
            </w:r>
          </w:p>
        </w:tc>
        <w:tc>
          <w:tcPr>
            <w:tcW w:w="2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March 2023</w:t>
            </w:r>
          </w:p>
        </w:tc>
      </w:tr>
      <w:tr>
        <w:trPr>
          <w:trHeight w:val="203"/>
        </w:trPr>
        <w:tc>
          <w:tcPr>
            <w:tcW w:w="4120" w:type="dxa"/>
            <w:vAlign w:val="bottom"/>
          </w:tcPr>
          <w:p>
            <w:pPr>
              <w:spacing w:after="0"/>
              <w:rPr>
                <w:sz w:val="20"/>
                <w:szCs w:val="20"/>
                <w:color w:val="auto"/>
              </w:rPr>
            </w:pPr>
            <w:r>
              <w:rPr>
                <w:rFonts w:ascii="Times New Roman" w:cs="Times New Roman" w:eastAsia="Times New Roman" w:hAnsi="Times New Roman"/>
                <w:sz w:val="16"/>
                <w:szCs w:val="16"/>
                <w:color w:val="auto"/>
              </w:rPr>
              <w:t>TowerHill by Christie Brinkley Qurate Agreement (HSN)</w:t>
            </w:r>
          </w:p>
        </w:tc>
        <w:tc>
          <w:tcPr>
            <w:tcW w:w="2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30, 2027</w:t>
            </w:r>
          </w:p>
        </w:tc>
        <w:tc>
          <w:tcPr>
            <w:tcW w:w="220" w:type="dxa"/>
            <w:vAlign w:val="bottom"/>
          </w:tcPr>
          <w:p>
            <w:pPr>
              <w:spacing w:after="0"/>
              <w:rPr>
                <w:sz w:val="17"/>
                <w:szCs w:val="17"/>
                <w:color w:val="auto"/>
              </w:rPr>
            </w:pPr>
          </w:p>
        </w:tc>
        <w:tc>
          <w:tcPr>
            <w:tcW w:w="15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color w:val="auto"/>
              </w:rPr>
              <w:t>three-year period</w:t>
            </w:r>
          </w:p>
        </w:tc>
        <w:tc>
          <w:tcPr>
            <w:tcW w:w="1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2024</w:t>
            </w:r>
          </w:p>
        </w:tc>
      </w:tr>
      <w:tr>
        <w:trPr>
          <w:trHeight w:val="203"/>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Longaberger Qurate Agreement (QVC)</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31, 2027</w:t>
            </w:r>
          </w:p>
        </w:tc>
        <w:tc>
          <w:tcPr>
            <w:tcW w:w="22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6"/>
                <w:szCs w:val="16"/>
                <w:color w:val="auto"/>
              </w:rPr>
              <w:t>two-year period</w:t>
            </w:r>
          </w:p>
        </w:tc>
        <w:tc>
          <w:tcPr>
            <w:tcW w:w="1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November 2019</w:t>
            </w: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Under the Qurate Agreements, Qurate is obligated to make payments to us on a quarterly basis, based upon the net retail sales of the specified branded products. Net retail sales are defined as the aggregate amount of all revenue generated through the sale of the specified branded products by Qurate and its subsidiaries under the Qurate Agreements, net of customer returns, and excluding freight, shipping and handling charges, and sales, use, or other taxes.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Qurate Agreements generally prohibit us from selling products under the specified respective brands to a direct competitor of Qurate without Qurate’s consent. Under certain of the Qurate Agreements, we may, with the permission of Qurate, sell the respective branded products via certain specified sales channels in exchange for making reverse royalty payments to Qurate based on the net retail sales of such products through such channels. However, we are generally restricted from selling products under the specified respective brands or trademarks to certain mass merchants.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2025 and 2024, net licensing revenue from Qurate collectively accounted for approximately 20% and 44%, respectively, of the total net revenue of the Company.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Halston Master License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May 15, 2023, the Company, through our wholly owned subsidiaries, H Halston, LLC and H Heritage Licensing, LLC (collectively, the “Licensor”), entered into a master license agreement relating to the Halston Brand (the “Halston Master License”) with G-III (as licensee) for men’s and women’s apparel, men’s and women’s fashion accessories, children’s apparel and accessories, home, airline amenity and amenity kits, and such other product categories as mutually agreed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upon. The Halston Master License provides for an upfront cash payment and royalties payable to the Company (including certain guaranteed minimum royalties), includes significant annual minimum net sales requirements, and has a twenty-five-year term (consisting of an initial five-year period, followed by a twenty-year period), subject to G-III’s right to terminate with at least 120 days’ notice prior to the end of each five-year period during the term. G-III has an option to purchase the Halston Brand for $5.0 million at the end of the twenty-five-year term, which right may be accelerated under certain conditions associated with an uncured material breach of the Halston Master License in accordance with the terms of the Halston Master License. The Licensor granted G-III a security interest in the Halston trademarks to secure the Licensor’s obligations under the Halston Master License, including to honor the obligations under the purchase option.</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a result of the upfront cash payment and guaranteed minimum royalties discussed above, as well as certain other advance payments of royalties received from G-III, the Company recognized deferred revenue contract liabilities on its consolidated balance sheet as of December 31, 2025 and 2024 of $3.09 million and $3.56 million, respectively, at each balance sheet date. These deferred revenue contract liabilities are being recognized ratably as revenue through December 31, 2028.</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2025 and 2024, net licensing revenue from the Halston Master License accounted for approximately 52% and 31%, respectively, of the total net revenue of the Company.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Licensing Agreements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have entered into certain other licensing agreements for sales and distribution through e-commerce and brick-and-mortar retailers. Authorized distribution channels typically include department stores, mass merchant retailers, clubs, and national specialty retailers. Under our other licenses, a supplier is granted rights, typically on an exclusive basis, to a single or small group of related product categories for sale to multiple accounts within an approved channel of distribution and territory. Our other license agreements typically provide the licensee with the exclusive rights for a certain product category in a specified territory and/or distribution channel under a specific brand or brands. Our other license agreements cover various categories, including but not limited to women’s apparel, footwear, and accessories; bath and body; jewelry; home products; men’s apparel and accessories; children’s and infant apparel, footwear, and accessories; and electronics cases and accessories. The terms of the agreements generally range from three to six years with renewal options. We endeavor, where possible, to require licensees to provide guaranteed minimum royalties under their license agreements.</w:t>
      </w:r>
    </w:p>
    <w:p>
      <w:pPr>
        <w:spacing w:after="0" w:line="19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licensees currently sell our branded licensed products through brick-and-mortar retailers, e-commerce, and in certain cases supply products to interactive television companies for sale through their television programs and/or through their internet websites. We generally recognize revenues from our other licenses based on a percentage of the sales of products under our brands, but excluding (i) sales of products to interactive television networks, where we receive a retail royalty directly from the interactive television licensee, and (ii) sales of products through e-commerce sites operated by us. Additionally, based upon guaranteed minimum royalty provisions required under many of the license agreements, we are able to recognize revenue related to certain other licenses based on the greater of the sales-based royalty or the guaranteed minimum royalty.</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Marketing</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Marketing is a critical element to maximize brand value to our licensees and our Company. We employ live streaming, social media, and other marketing and public relations support for our brands.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Given our omni-channel retail sales strategy focusing on the sale of branded products through various distribution channels (including live-streaming, e-commerce, interactive television, and brick-and-mortar sales channels), our marketing efforts currently focus on leveraging micro- and mega-influencers, entertainment tie-ins, PR and editorial, social media campaigns, personal appearances, and digital content in order to drive retail sales of product and consumer awareness across our various sales distribution channels. We seek to create the intersection where shopping, entertainment, and social media meet. As such, our marketing is currently conducted primarily through live-streaming and social media, videos, images, and other digital content that are all updated regularly and are amplified by micro- and mega-influencers and entertainment tie-ins. Our efforts also include promoting namesakes of our brands and our personalities through various media including live-streaming, television, design for performances, and other events. We also work with our retail</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partners to leverage their marketing resources, including e-commerce platforms and related digital marketing campaigns, social media platforms, direct mail pieces, and public relations efforts.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also market the Halston Brand through www.halston.com, the Judith Ripka brand through www.judithripka.com, the C Wonder brand through www.cwonder.com, and the Longaberger brand through www.longaberger.com. Through our websites, we are able to present the products under our brands to customers with branding that reflects each brand’s heritage and unique point of view.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Each of our current brands has and any future acquired brand will likely have many competitors within each of its specific distribution channels that span a broad variety of product categories, including the apparel, footwear, accessories, jewelry, home furnishings and décor, food products, and sporting goods industries. These competitors have the ability to compete with the Company and our licensees in terms of fashion, quality, price, products, and/or marketing, and ultimately retail floor space and consumer spending.</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Because many of our competitors have significantly greater cash, revenues, and resources than we do, we must work to differentiate ourselves from our direct and indirect competitors to successfully compete for market share with the brands we own and for future acquisitions. We believe that the following factors help differentiate our Company in an increasingly crowded competitive landscape:</w:t>
      </w:r>
    </w:p>
    <w:p>
      <w:pPr>
        <w:spacing w:after="0" w:line="180" w:lineRule="exact"/>
        <w:rPr>
          <w:sz w:val="20"/>
          <w:szCs w:val="20"/>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including our officers’ and directors’ historical track records and relationships within the industry;</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brand management platform, which has a strong focus on design, product, marketing, and technology;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strategies of licensing brands with significant media presence and driving sales through our omni-channel retail sales strategy across interactive television, live streaming, and e-commerce distribution channels.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expect our existing and future licenses to relate to products in the apparel, footwear, accessories, jewelry, home goods, and other consumer products industries, in which our licensees face intense competition, including from our other brands and licensees. In general, competitive factors include quality, price, style, name recognition, and service. In addition, various fashion trends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licensing arrangements.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through its wholly owned subsidiaries, owns and exploits the Halston brands, which include the trademarks and brands Halston, Halston Heritage, Roy Frowick, H by Halston, and H Halston; the Ripka brands, which include the trademarks and brands Judith Ripka LTD, Judith Ripka Collection, Judith Ripka Legacy, Judith Ripka, and Judith Ripka Sterling; the C Wonder brands, which include the trademarks and brands C Wonder and C Wonder Limited, the TowerHill brand, the Trust-Love-Respect brand, and the GemmaMade brand. We manage and have a 50% ownership interest in the brands and trademarks of the Longaberger brand through our business venture with Hilco Global.</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Where laws limit our ability to record in our name trademarks that we have purchased, we have obtained by way of license all necessary rights to operate our business. Certain of these trademarks and associated marks are registered or pending registration with the U.S. Patent and Trademark Office in block letter and/or logo formats, as well as in combination with a variety of ancillary designs for use in connection with a variety of product categories, such as apparel, footwear and various other goods and services including, in some cases, home furnishings and decor. The Company intends to renew and maintain registrations as appropriate prior to expiration and it makes efforts to diligently prosecute all pending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applications consistent with the Company’s business goals. In addition, the Company registers its trademarks in certain other countries and regions around the world as it deems appropriate.</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and its licensees do not presently earn a material amount of revenue from either the licensing of our trademarks internationally or the sale of products under our trademarks internationally. However, the Company has registered its trademarks in certain territories where it expects that it may do business in the foreseeable future. If the Company or a licensee intends to make use of the trademarks in international territories, the Company will seek to register its trademarks in such international territories as it deems appropriate based upon factors including the revenue potential, prospective market, and trademark laws in such territory or territories.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Generally, the Company is primarily responsible for monitoring and protecting its trademarks around the world. The Company seeks to require its licensing partners to advise the Company of any violations of its trademark rights of which its licensing partners become aware and relies primarily upon a combination of federal, state, and local laws, as well as contractual restrictions to protect its intellectual property rights both domestically and internationally.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employees’ knowledge, social, and personality attributes enable our company to achieve its goals, develop our business, and remain innovative. As of December 31, 2025, we had 15 employees. We value our employees and are committed to providing a healthy and safe work environment. For certain key employees, including our executives, brand ambassadors, and spokespersons, we typically enter into multi-year employment agreements. Overall, we believe that our relationship with our employees is good. None of our employees are represented by a labor union.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are subject to federal, state, and local laws and regulations affecting our business, including those promulgated under the Occupational Safety and Health Act, the Consumer Product Safety Act, the Flammable Fabrics Act, the Textile Fiber Product Identification Act, the rules and regulations of the Consumer Product Safety Commission, and various environmental laws and regulations. We believe that we are in compliance in all material respects with all applicable governmental regulations.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to the other information contained herein or incorporated herein by reference, the risks and uncertainties and other factors described below could have a material adverse effect on our business, financial condition, results of operations and share price and could also cause our future business, financial condition and results of operations to differ materially from the results contemplated by any forward-looking statement we may make herein, in any other document we file with the Securities and Exchange Commission (“SEC”), or in any press release or other written or oral statement we may make. Please also see “Forward-Looking Statements” on page 3 for additional information regarding Forward-Looking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business is subject to a number of risks, which include, but are not limited to, risks related to:</w:t>
      </w:r>
    </w:p>
    <w:p>
      <w:pPr>
        <w:spacing w:after="0" w:line="225" w:lineRule="exact"/>
        <w:rPr>
          <w:sz w:val="20"/>
          <w:szCs w:val="20"/>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obligations and our limited amount of cash;</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concentration of revenue with a limited number of licensees;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related to certain key licensing agreements;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operational performance and/or strategic initiatives of our licensees;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market acceptance of our brands and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social media and influencers to market brands and products;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execution of our growth strategy, including the acquisition of new brands;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our Chief Executive Officer and other key executives;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intense competition in the apparel, fashion, and jewelry industries, and within our licensees’ markets;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of our trademarks and other intellectual property rights.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An investment in our securities is subject to a number of risks, which include, but are not limited to, risks related to:</w:t>
      </w:r>
    </w:p>
    <w:p>
      <w:pPr>
        <w:spacing w:after="0" w:line="225" w:lineRule="exact"/>
        <w:rPr>
          <w:sz w:val="20"/>
          <w:szCs w:val="20"/>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significant control over matters requiring shareholder approval;</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difficulty in liquidating an investment in shares of our common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SEC “penny stock” rules on trading of our shares of our common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declines of and volatility in the market price of our common stock;</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issuance of a substantial number of shares of common stock upon exercise of warrants and options;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Rule 144 restrictions on our shares of common stock as a former shell company;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intent to not pay any cash dividends for the foreseeable future;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corporate charter documents which could delay or prevent change of control.</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pandemic or outbreak of disease or similar public health threat, or fear of such an event;</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general economic conditions, international trade, or consumer spending levels;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extreme or unseasonable weather conditions;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impairment of our trademarks and other intangible assets under accounting guidelines;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effective tax rates or adverse outcomes resulting from examination of our tax returns;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and security of our information technology systems;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regulations;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effective system of internal control;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liabilities of our directors and executive officers.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225"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a limited amount of cash to grow our operations. If we cannot obtain additional sources of cash, our growth prospects and future profitability will likely be materially adversely affected, and we may not be able to implement our business plan. Such additional financing may not be available on satisfactory terms or it may not be available when needed, or at all.</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2025, we had cash and cash equivalents of approximately $1.3 million, and during the year ended December 31, 2025, we used approximately $7.0 million of cash in operating activities. During the year ended December 31, 2025, we raised approximately $3.8 million of net proceeds through various public and private equity transactions, and received net proceeds of approximately $5.1 million through debt refinancing and delayed draw transactions. In January 2026, we entered into a common stock purchase arrangement with an investor, pursuant to which such investor has committed to purchase up to $15.0 million of our common stock.</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may require significant additional cash to satisfy our working capital requirements, expand our operations, or acquire and develop additional brands. Our inability to finance our growth, either internally through our operations or externally, may limit our growth potential and our ability to execute our business strategy successfully. If we issue additional securities to raise capital to finance operations and/or pay down or restructure our debt, our existing stockholders may experience dilution. In addition, the new securities may have rights senior to those of our common stock.</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financial statements have been prepared assuming that we will continue as a going concern.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audited financial statements for the fiscal year ended December 31, 2025 have been prepared under the assumption that we will continue as a going concern; however, we have incurred significant losses over the past several years and have used a significant amount of cash in operating activities. These factors raise significant uncertainties regarding our ability to meet our financial obligations and financing requirements. As such, there is substantial doubt about our ability to continue as a going concern. Our ability to continue as a going concern is dependent on executing our business plans and meeting our obligations as they come due within the next twelve months from the filing date of this Annual Report on Form 10-K. Accordingly, the accompanying consolidated financial statements do not include any adjustments related to the recoverability and classification of assets or the amounts and calculations of liabilities that might be necessary should the Company be unable to continue as a going concern.</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auditor also included an explanatory paragraph in its report on our financial statements as of and for the year ended December 31, 2025 with respect to this uncertainty. Although we intend to continue exploring strategic financing alternatives and operational efficiencies to improve liquidity, there can be no assurance that funding will be available on acceptable terms on a timely basis, or at all, or otherwise improve our liquidity. The various ways that we could raise capital carry potential risks. Any additional sources of financing will likely involve the issuance of our equity securities, which will have a dilutive effect on our stockholders. Any debt financing, if available, may involve restrictive covenants that may impact our ability to conduct our business. As such, we cannot conclude that such plans will be effectively implemented within one year after the date that the financial statements included in this Annual Report are filed with the SEC and there is uncertainty regarding our ability to maintain liquidity sufficient to operate our business effectively, which raises substantial doubt about our ability to continue as a going concern.</w:t>
      </w:r>
    </w:p>
    <w:p>
      <w:pPr>
        <w:spacing w:after="0" w:line="190"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debt obligations could impair our liquidity and financial condition, and in the event we are unable to meet our debt obligations, we could lose ownership of our trademarks and/or other assets.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December 12, 2024, we and certain of our direct and indirect subsidiaries entered into a loan and security agreement with FEAC Agent, LLC, as administrative agent and collateral agent, and our lenders pursuant to which the lenders made term loans to the Company. On April 21, 2025, we and certain of our direct and indirect subsidiaries entered into an amendment with our lenders and FEAC Agent, LLC, pursuant to which we made a $1.5 million repayment of the Term Loan A made on December 12, 2024 and we borrowed an additional Term Loan B in the amount of $5.12 million. As of December 31, 2025, the outstanding loan balances totaled $13.6 million, consisting of $3.75 million under Term Loan A and $9.83 million under Term Loan B. These term loans are guaranteed by certain direct and indirect subsidiaries of the Company, and are secured by all of the assets of the Company and such subsidiaries.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Principal and accrued and unpaid interest on Term Loan A is payable on the maturity date of September 20, 2027 and principal and accrued and unpaid interest on the Term Loan B is payable on the maturity date of December 12, 2028.</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April 13, 2026, we issued senior secured notes in a principal amount of $3.01 million (the “Senior Notes”), with a maturity date of April 13, 2027. The Senior Notes are guaranteed by certain direct and indirect subsidiaries of the Company, and are secured by all of the assets of the Company and such subsidiaries.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debt obligations:</w:t>
      </w:r>
    </w:p>
    <w:p>
      <w:pPr>
        <w:spacing w:after="0" w:line="225" w:lineRule="exact"/>
        <w:rPr>
          <w:sz w:val="20"/>
          <w:szCs w:val="20"/>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impair our liquidity;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make it more difficult for us to satisfy our other obligations;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to payments on our debt obligations, which reduces the availability of our cash flow to fund working capital, capital expenditures, and other corporate requirements;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impede us from obtaining additional financing in the future;</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restrictions on us with respect to the use of our available cash, including in connection with future transactions;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limit our ability to execute on any potential acquisitions in the future; and</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us more vulnerable in the event of a downturn in our business prospects and could limit our flexibility to plan for, or react to, changes in our sales and licensing channels.</w:t>
      </w:r>
    </w:p>
    <w:p>
      <w:pPr>
        <w:spacing w:after="0" w:line="16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the event that we fail in the future to satisfy other obligations under the agreements governing our indebtedness, including satisfying financial covenants, we would be in default with respect to that indebtedness and the lenders could declare such indebtedness to be immediately due and payable. We cannot assure you that the lenders will amend or grant waivers to the loan agreements to adjust or eliminate covenants or waive our future non-compliance or breach of a financial or other covenant in the future. Failure to maintain our listing on Nasdaq would also result in a default under our term loan debt agreements. A debt default could significantly diminish the market value and marketability of our common stock and could result in the acceleration of the payment obligations under all or a portion of our indebtedness, or a renegotiation of our loan agreement with more onerous terms and/or additional equity dilution. Since our debt obligations are secured by substantially all our assets, upon a default, our lenders may be able to foreclose on our assets. Further, upon an event of default under the Senior Notes, the holders of the Senior Notes (other than IPX) have the right to convert the notes into shares of our common stock (i) initially at a fixed conversion price equal to $1.165 per share and (ii) after May 17, 2026, at a price equal to the lesser of (a) 85% multiplied by the lowest volume weighted average price of the common stock during the 10-trading day period prior to conversion and (b) $1.165. The issuance of shares upon any such conversion will significantly dilute our then-existing stockholders’ percentage ownership of the Company and would likely adversely impact the market price of our common stock.</w:t>
      </w:r>
    </w:p>
    <w:p>
      <w:pPr>
        <w:spacing w:after="0" w:line="19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substantial portion of our revenue is concentrated with a limited number of licensees such that the loss of any of such licensees could decrease our revenue and impair our cash flows.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substantial portion of our revenue is generated from Qurate, through the respective agreements with Qurate through QVC and HSN, and from G-III Apparel Group, through our master license agreement relating to the Halston Brand. During the years ended December 31, 2025 and 2024, Qurate accounted for approximately 20% and 44%, respectively, of our total net revenue, while the Halston Master License represented approximately 52% and 31% of our total net revenue, respectively.</w:t>
      </w:r>
    </w:p>
    <w:p>
      <w:pPr>
        <w:spacing w:after="0" w:line="183"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Because we are dependent on these agreements for a significant portion of our revenues, if Qurate or G-III were to have financial difficulties, and/or if Qurate or G-III decide not to renew or extend their existing agreements with us, our revenue and cash flows could be reduced substantially. Our cash flow would also be significantly impacted if there were significant</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delays in our collection of receivables from these licensees. Additionally, we have limited control over the programming that Qurate devotes to our brands or its promotional sales with our brands. If Qurate reduces or modifies its programming or promotional sales related to our brands, our revenues and cash flows could be reduced substantially. In order to increase sales of a brand through Qurate, we generally require additional television programming time dedicated to the brand by Qurate. Qurate is not required to devote any minimum amount of programming time for any of our brands.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Qurate revenues have declined since 2021, and there can be no guarantee that our Qurate revenues will grow in the future or that they will not decline further. Additionally, there can be no assurance that our other licensees will be able to generate sales of products under our brands or grow their existing sales of products under our brands, and if they do generate sales, there is no guarantee that they will not cause a decline in sales of products being sold through Qurate.</w:t>
      </w:r>
    </w:p>
    <w:p>
      <w:pPr>
        <w:spacing w:after="0" w:line="176"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agreements with Qurate restrict us from selling products under our brands with certain retailers, or branded products we sell on Qurate to any other retailer except certain interactive television channels in other territories approved by Qurate, and provides Qurate with a right to terminate the respective agreement if we breach these provisions.</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Although most of our licenses and our Qurate Agreements prohibit the sale of products under our brands to retailers who are restricted by Qurate, and our license agreements with other interactive television companies prohibit such licensees from selling products to retailers restricted by Qurate under the brands we sell on Qurate outside of certain approved territories, one or more of our licensees could sell to a restricted retailer or territory, putting us in breach of our agreements with Qurate and exposing us to potential termination by Qurate. A breach of any of these agreements could also result in Qurate seeking monetary damages, seeking an injunction against us and our other licensees, reducing the programming time allocated to our brands, and/or terminating the respective agreement, which could have a material adverse effect on our net income and cash flows.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failure of our licensees to adequately produce, market, source, and sell quality products bearing our brand names in their license categories or to pay their obligations under their license agreements could result in a decline in our results of operations.</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Our revenues are dependent on payments made to us under our licensing agreements. Although the licensing agreements for our brands often require the advance payment to us of a portion of the licensing fees and in many cases provide for guaranteed minimum royalty payments to us, the failure of our licensees to satisfy their obligations under these agreements or their inability to operate successfully or at all, could result in their breach and/or the early termination of such agreements, the non-renewal of such agreements, or our decision to amend such agreements to reduce the guaranteed minimums or sales royalties due thereunder, thereby eliminating some or all of that stream of revenue. Moreover, during the terms of the license agreements, we are substantially dependent upon the efforts and abilities of our licensees to maintain the quality and marketability of the products bearing our trademarks, as their failure to do so could materially tarnish our brands, thereby harming our future growth and prospects. In addition, the failure of our licensees to meet their production, manufacturing, sourcing, and distribution requirements or actively market the branded licensed products could cause a decline in their sales and potentially decrease the amount of royalty payments (over and above the guaranteed minimums) due to us. A weak economy or softness in the apparel and retail sectors could exacerbate this risk. This, in turn, could decrease our potential revenues. The concurrent failure by several of our material licensees to meet their financial obligations to us could adversely affect our business, results of operations, and cash flows.</w:t>
      </w:r>
    </w:p>
    <w:p>
      <w:pPr>
        <w:spacing w:after="0" w:line="193" w:lineRule="exact"/>
        <w:rPr>
          <w:sz w:val="20"/>
          <w:szCs w:val="20"/>
          <w:color w:val="auto"/>
        </w:rPr>
      </w:pPr>
    </w:p>
    <w:p>
      <w:pPr>
        <w:ind w:left="60" w:right="23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dependent on continued market acceptance of our brands and any future brands we may acquire, and the products of our licensees.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Although certain of our licensees guarantee minimum net sales and minimum royalties to us, some of our licensees are not yet selling licensed products or currently have limited distribution of licensed products, and a failure of our brands or of products bearing our brands to achieve or maintain broad market acceptance could cause a reduction of our licensing revenues, and could further cause existing licensees not to renew their agreements. Such failure could also cause the devaluation of our trademarks, which are our primary assets, making it more difficult for us to renew our current licenses upon their expiration or enter into new or additional licenses for such trademarks. In addition, if such devaluation of our trademarks were to occur, a material impairment in the carrying value of one or more of our trademarks, which had an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aggregate carrying value of $31.2 million as of December 31, 2025, could also occur and be charged as an expense to our operating results. Continued market acceptance of our brands and our licensees’ products, as well as market acceptance of any future products bearing any future brands we may acquire, is subject to a high degree of uncertainty and constantly changing consumer tastes, preferences, and purchasing patterns. Creating and maintaining market acceptance of our licensees’ products and creating market acceptance of new products and categories of products bearing our marks may require substantial marketing efforts, which may, from time to time, also include our expenditure of significant additional funds to keep pace with changing consumer demands, which funds may or may not be available on a timely basis, on acceptable terms or at all. Additional marketing efforts and expenditures may not, however, result in either increased market acceptance of, or additional licenses for, our trademarks or increased market acceptance, or sales, of our licensees’ products. Furthermore, we do not actually design or manufacture all of the products bearing our marks, and therefore, have less control over such products’ quality and design than a traditional product manufacturer might have. The failure of our licensees to maintain the quality of their products could harm the reputation and marketability of our brands, which would adversely impact our business.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Negative claims or publicity regarding Xcel, our brand co-developers, our brands, or our products could adversely affect our reputation and sales regardless of whether such claims are accurate. Social media, which accelerates the dissemination of information, can increase the challenges of responding to negative claims. In the past, many apparel companies have experienced periods of rapid growth in sales and earnings followed by periods of declining sales and losses. Our businesses may be similarly affected in the future.</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Use of social media and influencers may materially and adversely affect our reputation or subject us to fines or other penalties.</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use third-party social media platforms as, among other things, marketing tools. We also maintain relationships with many social media influencers and engage in sponsorship initiatives. As existing e-commerce and social media platforms continue to rapidly evolve and new platforms develop, we must continue to maintain a presence on these platforms and establish presences on new or emerging popular social media platforms. If we are unable to cost-effectively use social media platforms as marketing tools or if the social media platforms we use change their policies or algorithms, we may not be able to fully optimize such platforms, and our ability to maintain and acquire customers and our financial condition may suffer.</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Furthermore, as laws and regulations and public opinion rapidly evolve to govern the use of these platforms and devices, the failure by us, our employees, our network of social media influencers, our sponsors, or third parties acting at our direction to abide by applicable laws and regulations in the use of these platforms and devices or otherwise could subject us to regulatory investigations, class action lawsuits, liability, fines, or other penalties and have a material adverse effect on our business, financial condition, and operating results.</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an increase in the use of social media for product promotion and marketing may cause an increase in the burden on us to monitor compliance of such materials, and increase the risk that such materials could contain problematic product or marketing claims in violation of applicable regulations. For example, in some cases, the Federal Trade Commission has sought enforcement action where an endorsement has failed to clearly and conspicuously disclose a financial relationship or material connection between an influencer and an advertiser.</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do not prescribe what our influencers post, and if we were held responsible for the content of their posts or their actions, we could be fined or forced to alter our practices, which could have an adverse impact on our business.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Negative commentary regarding us or our products or influencers and other third parties who are affiliated with us may also be posted on social media platforms and may be adverse to our reputation or business. Influencers with whom we maintain relationships could engage in behavior or use their platforms to communicate directly with our customers in a manner that reflects poorly on our brands and may be attributed to us or otherwise adversely affect us. It is not possible to prevent such behavior, and the precautions we take to detect this activity may not be effective in all cases. Our target consumers often value readily available information and often act on such information without further investigation and without regard to its accuracy. The harm may be immediate, without affording us an opportunity for redress or correction.</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anticipate and respond to changing customer preferences and shifts in fashion and industry trends in a timely manner, our business, financial condition, and operating results could be harmed.</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success largely depends on our ability to consistently gauge tastes and trends and provide a diverse and balanced assortment of merchandise that satisfies customer demands in a timely manner. Our ability to accurately forecast demand for our products could be affected by many factors, including an increase or decrease in demand for our products or for products of our competitors, our failure to accurately forecast acceptance of new products, product introductions by competitors, unanticipated changes in general market conditions, and weakening of economic conditions or consumer confidence in future economic conditions. We typically enter into agreements to manufacture and purchase our merchandise in advance of the applicable selling season and our failure to anticipate, identify or react appropriately, or in a timely manner to changes in customer preferences, tastes and trends or economic conditions could lead to, among other things, missed opportunities, excess inventory or inventory shortages, markdowns and write-offs, all of which could negatively impact our profitability and have a material adverse effect on our business, financial condition, and operating results. Failure to respond to changing customer preferences and fashion trends could also negatively impact the image of our brands with our customers and result in diminished brand loyalty.</w:t>
      </w:r>
    </w:p>
    <w:p>
      <w:pPr>
        <w:spacing w:after="0" w:line="186"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major department, mass merchant, and specialty store chains consolidate, continue to close stores, or cease to do business, our business could be negatively affected.</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Certain of our licensees sell our branded products through major department, mass merchant, and specialty store chains. Continued consolidation in the retail industry, as well as store closures or retailers ceasing to do business, could negatively impact our business. Consolidation could also reduce the number of our customers and potential customers who can access our branded products. A store group could decide to close stores, decrease the amount of our branded product purchased from our licensees, modify the amount of floor space allocated to apparel in general or to our brands specifically, or focus on promoting private label products or national brand products for which it has exclusive rights rather than promoting our brands. Customers are also concentrating purchases among a narrowing group of vendors. These types of decisions could adversely affect our business.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to achieve growth based upon our plans to expand our business under our existing brands and brands we may develop independently or through collaborations or acquire. If we fail to manage our expected future growth, our business and operating results could be materially harmed.</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expect to achieve growth in our existing brands and brands we may develop independently or through collaborations or acquire through expansion of our licensing activities and social media e-commerce platforms. We continue to seek new opportunities and international expansion through interactive television and licensing arrangements, as well as joint ventures and collaborations. The success of our company, however, will remain largely dependent on our ability to build and maintain broad market acceptance of our brands and co-developed brands to contract with and retain key licensees and on our licensees’ ability to accurately predict upcoming fashion and design trends within customer bases and fulfill the product requirements of retail channels within the global marketplace.</w:t>
      </w:r>
    </w:p>
    <w:p>
      <w:pPr>
        <w:spacing w:after="0" w:line="189"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17"/>
          <w:szCs w:val="17"/>
          <w:color w:val="auto"/>
        </w:rPr>
        <w:t>Our ability to compete effectively and to manage future growth, if any, will depend on the sufficiency and adequacy of our current resources and our ability to continue to identify, attract, and retain personnel to manage our brands and integrate any brands we may acquire into our operations. There can be no assurance that our personnel, systems, procedures, and controls will be adequate to support our operations and properly oversee our brands. The failure to support our operations effectively and properly oversee our brands could cause harm to our brands and have a material adverse effect on the value of such brands and on our reputation, business, financial condition, and results of operations. In addition, we may be unable to leverage our core competencies in managing apparel and jewelry brands to managing brands in new product categories.</w:t>
      </w:r>
    </w:p>
    <w:p>
      <w:pPr>
        <w:spacing w:after="0" w:line="171"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Also, there can be no assurance that we will be able to achieve and sustain meaningful growth. Our growth may be limited by a number of factors including increased competition among branded products at brick-and-mortar, internet, and interactive retailers, decreased airtime on QVC, HSN, and JTV, competition for retail licenses, brand acquisitions, and collaborations, and insufficient capitalization for future transactions.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are dependent upon our Chief Executive Officer and other key executives. If we lose the services of these individuals, we may not be able to fully implement our business plan and future growth strategy, which would harm our business and prospects.</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success is largely dependent upon the efforts of Robert W. D’Loren, our Chief Executive Officer and Chairman of our board of directors. Our continued success is largely dependent upon his continued efforts and those of our other key executives. Although we have entered into an employment agreement with Mr. D’Loren, as well as employment agreements with other executives and key employees, such persons can terminate their employment with us at their option, and there is no guarantee that we will not lose the services of our executive officers or key employees. To the extent that any of their services become unavailable to us, we will be required to hire other qualified executives, and we may not be successful in finding or hiring adequate replacements. This could impede our ability to fully implement our business plan and future growth strategy, which would harm our business and prospects.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identify and successfully acquire additional trademarks or enter into collaborations for brands, our growth may be limited and, even if additional trademarks are acquired or collaborations are formed, we may not realize anticipated benefits due to integration or licensing difficulties.</w:t>
      </w:r>
    </w:p>
    <w:p>
      <w:pPr>
        <w:spacing w:after="0" w:line="17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While we are focused on growing our existing brands, we intend to selectively seek to acquire additional intellectual property, either directly or through collaborations. However, as our competitors continue to pursue a brand management model, acquisitions and collaborations may become more expensive and suitable candidates could become more difficult to find. In addition, even if we successfully acquire additional intellectual property or the rights to use additional intellectual property, we may not be able to achieve or maintain profitability levels that justify our investment in, or realize planned benefits with respect to, those additional brands.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Although we will seek to temper our acquisition and collaboration risks by following guidelines relating to purchase price and valuation, projected returns, existing strength of the brand, its diversification benefits to us, its potential licensing scale and creditworthiness of licensee base, acquisitions and collaborations, whether they be of additional intellectual property assets or of the companies that own them, entail numerous risks, any of which could detrimentally affect our reputation, our results of operations, and/or the value of our common stock. These risks include, among others:</w:t>
      </w:r>
    </w:p>
    <w:p>
      <w:pPr>
        <w:spacing w:after="0" w:line="183" w:lineRule="exact"/>
        <w:rPr>
          <w:sz w:val="20"/>
          <w:szCs w:val="20"/>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unanticipated costs associated with the target acquisition or collaboration, or its integration with our company;</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identify or consummate additional quality business opportunities, including potential licenses and new product lines and markets;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negative effects on reported results of operations from acquisition related charges and costs, and amortization of acquired intangibles;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management’s attention from other business concerns;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challenges of maintaining focus on, and continuing to execute, core strategies and business plans as our brand and license portfolio grows and becomes more diversified;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on existing licensing and other relationships;</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difficulties associated with the retention of key employees, and difficulties, delays, and unanticipated costs associated with the assimilation of personnel, operations, systems, and cultures, which may be retained by us in connection with or as a result of our acquisitions;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of entering new domestic and international markets (whether it be with respect to new licensed product categories or new licensed product distribution channels) or markets in which we have limited prior experience;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82"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concentration in our revenues with one or more customers in the event that the brand has distribution channels in which we currently distribute products under one or more of our brands.</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When we acquire intellectual property assets or the companies that own them, our due diligence reviews are subject to inherent uncertainties and may not reveal all potential risks. We may therefore fail to discover or inaccurately assess undisclosed or contingent liabilities, including liabilities for which we may have responsibility as a successor to the seller or the target company. As a successor, we may be responsible for any past or continuing violations of law by the seller or the target company. Although we will generally attempt to seek contractual protections through representations, warranties, and indemnities, we cannot be sure that we will obtain such provisions or that such provisions will fully protect us from all unknown, contingent, or other liabilities or costs. Finally, claims against us relating to any acquisition may necessitate our seeking claims against the seller for which the seller may not, or may not be able to, indemnify us or that may exceed the scope, duration, or amount of the seller’s indemnification obligations.</w:t>
      </w:r>
    </w:p>
    <w:p>
      <w:pPr>
        <w:spacing w:after="0" w:line="18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Acquiring additional intellectual property could also have a significant effect on our financial position and could cause substantial fluctuations in our quarterly and yearly operating results. Acquisitions could result in the recording of significant goodwill and intangible assets on our financial statements, the amortization or impairment of which would reduce our reported earnings in subsequent years. No assurance can be given with respect to the timing, likelihood, or financial or business effect of any possible transaction. Moreover, our ability to grow through the acquisition of additional intellectual property will also depend on the availability of capital to complete the necessary acquisition arrangements. In the event that we are unable to obtain debt financing on acceptable terms for a particular transaction, we may elect to pursue the transaction through the issuance by us of shares of our common stock (and, in certain cases, convertible securities) as equity consideration, which could dilute our common stock and reduce our earnings per share, and any such dilution could reduce the market price of our common stock unless and until we were able to achieve revenue growth or cost savings and other business economies sufficient to offset the effect of such an issuance. Acquisitions of additional brands may also involve challenges related to integration into our existing operations, merging diverse cultures, and retaining key employees. Any failure to integrate additional brands successfully in the future may adversely impact our reputation and business.</w:t>
      </w:r>
    </w:p>
    <w:p>
      <w:pPr>
        <w:spacing w:after="0" w:line="19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a result, there is no guarantee that our stockholders will achieve greater returns as a result of any future acquisitions we complete.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Intense competition in the apparel, fashion, and jewelry industries could reduce our sales and profitability.</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a fashion company, we face intense competition from other domestic and foreign apparel, footwear, accessories, and jewelry manufacturers and retailers. Competition has and may continue to result in pricing pressures, reduced profit margins, lost market share, or failure to grow our market share, any of which could substantially harm our business and results of operations. Competition is based on many factors including, without limitation, the following:</w:t>
      </w:r>
    </w:p>
    <w:p>
      <w:pPr>
        <w:spacing w:after="0" w:line="180" w:lineRule="exact"/>
        <w:rPr>
          <w:sz w:val="20"/>
          <w:szCs w:val="20"/>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and maintaining favorable brand recognition;</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products that appeal to consumers;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products appropriately;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and maintaining product quality;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access to sufficient floor space in retail locations;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appropriate services and support to retailers;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growing market share;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maintaining a competitive e-commerce site;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hiring and retaining key employees;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intellectual property.</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Competition in the apparel, fashion and jewelry industries is intense and is dominated by a number of very large brands, many of which have longer operating histories, larger customer bases, more established relationships with a broader set of potential licensees, greater brand recognition, and greater financial, research and development, marketing, distribution, and other resources than we do. These capabilities of our competitors may allow them to better withstand downturns in the economy or apparel, fashion and jewelry industries. Any increased competition, or our failure to adequately address any of these competitive factors which we have seen from time to time, could result in reduced sales, which could adversely affect our business, financial condition, and operating results.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Competition, along with such other factors as consolidation within the retail industry and changes in consumer spending patterns, could also result in significant pricing pressure and cause the sales environment to be more promotional, as it has been in recent years, impacting our financial results. If promotional pressure remains intense, either through actions of our competitors or through customer expectations, this may cause a further reduction in our sales and gross margins and could have a material adverse effect on our business, financial condition, and operating results.</w:t>
      </w:r>
    </w:p>
    <w:p>
      <w:pPr>
        <w:spacing w:after="0" w:line="179"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of the intense competition within our existing and potential licensees’ markets and the strength of some of their competitors, our licensees may not be able to continue to compete successfully.</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expect our existing and future licenses to relate to products in the apparel, footwear, accessories, jewelry, home goods, and other consumer industries, in which our licensees face intense competition, including from our other brands and licensees. In general, competitive factors include quality, price, style, name recognition, and service. In addition, various fashion trends and the limited availability of shelf space could affect competition for our licensees’ products. Many of our licensees’ competitors have greater financial, distribution, marketing, and other resources than our licensees and have achieved significant name recognition for their brand names. Our licensees may be unable to successfully compete in the markets for their products, and we may not be able to continue to compete successfully with respect to our contractual arrangements.</w:t>
      </w:r>
    </w:p>
    <w:p>
      <w:pPr>
        <w:spacing w:after="0" w:line="188" w:lineRule="exact"/>
        <w:rPr>
          <w:sz w:val="20"/>
          <w:szCs w:val="20"/>
          <w:color w:val="auto"/>
        </w:rPr>
      </w:pPr>
    </w:p>
    <w:p>
      <w:pPr>
        <w:jc w:val="both"/>
        <w:ind w:left="60" w:right="23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competition for licenses increases, or any of our current licensees elect not to renew their licenses or renew on terms less favorable than today, our growth plans could be slowed and our business, financial condition and results of operations would be adversely affected.</w:t>
      </w:r>
    </w:p>
    <w:p>
      <w:pPr>
        <w:spacing w:after="0" w:line="17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To the extent we seek to acquire additional brands, we will face competition to retain licenses and to complete such acquisitions. The ownership, licensing, and management of brands is becoming a more widely utilized method of managing consumer brands as production continues to become commoditized and manufacturing capacity increases worldwide. We face competition from numerous direct competitors, both publicly and privately-held, including traditional apparel and consumer brand companies, other brand management companies, and private equity groups. Companies that traditionally focused on wholesale manufacturing and sourcing models are now exploring licensing as a way of growing their businesses through strategic licensing partners and direct-to-retail contractual arrangements. Furthermore, our current or potential licensees may decide to develop or purchase brands rather than renew or enter into contractual agreements with us. In addition, this increased competition could result in lower sales of products offered by our licensees under our brands. If our competition for licenses increases, it may take us longer to procure additional licenses, which could slow our growth rate.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Difficulties with foreign sourcing may adversely affect our business.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licensees work with several manufacturers overseas, primarily located overseas, including in China and Thailand. A manufacturing contractor’s failure to ship products to our licensees in a timely manner or to meet the required quality standards could cause the licensee to miss the delivery date requirements of its customers for those items or not have seasonal product available for a selling season. The failure to make timely deliveries may cause their customers to cancel orders, refuse to accept deliveries or demand reduced prices, any of which could reduce our licensing royalties, which could have a material adverse effect on us.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a result of the magnitude of our licensees’ foreign sourcing, our business is subject to the following risks:</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instability in countries or regions, especially Asia, including heightened terrorism and other security concerns, which could subject imported or exported goods to additional or more frequent inspections, leading to delays win deliveries or impoundment of goods;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regulations, quotas and other trade restrictions relating to imports, including quotas imposed by bilateral textile agreements between the U.S. and foreign countries;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imposition of increased duties, tariffs, taxes, and other charges on imports;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and disease outbreaks such as COVID-19;</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union strikes at ports through which our products enter the U.S.;</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labor shortages in countries where contractors and suppliers are located;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transfer of funds to or from foreign countries;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disease epidemics and health-related concerns, which could result in closed factories, reduced workforces, scarcity of raw materials and scrutiny or embargoing of goods produced in infected areas;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migration and development of manufacturing contractors, which could affect where our brands are or are planned to be produced;</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the costs of fuel, travel and transportation;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violations by foreign contractors of labor and wage standards and resulting adverse publicity.</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If these risks limit or prevent our licensees from manufacturing products in any significant international market, prevent us from acquiring products from foreign suppliers, the production and sale of our brands be seriously disrupted until alternative suppliers are found or alternative markets are developed, which could negatively impact our business.</w:t>
      </w:r>
    </w:p>
    <w:p>
      <w:pPr>
        <w:spacing w:after="0" w:line="172" w:lineRule="exact"/>
        <w:rPr>
          <w:sz w:val="20"/>
          <w:szCs w:val="20"/>
          <w:color w:val="auto"/>
        </w:rPr>
      </w:pPr>
    </w:p>
    <w:p>
      <w:pPr>
        <w:ind w:left="60" w:right="2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protect our proprietary rights could compromise our competitive position and decrease the value of our brands.</w:t>
      </w:r>
    </w:p>
    <w:p>
      <w:pPr>
        <w:spacing w:after="0" w:line="15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own, through our wholly owned subsidiaries, various U.S. federal trademark registrations and foreign trademark registrations for our brands, together with pending applications for registration, which are vital to the success and further growth of our business and which we believe have significant value. We rely primarily upon a combination of trademarks, copyrights, and contractual restrictions to protect and enforce our intellectual property rights domestically and internationally. We believe that such measures afford only limited protection and, accordingly, there can be no assurance that the actions taken by us to establish, protect, and enforce our trademarks and other proprietary rights will prevent infringement of our intellectual property rights by others, or prevent the loss of licensing revenue or other damages caused therefrom.</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instance, despite our efforts to protect and enforce our intellectual property rights, unauthorized parties may attempt to copy aspects of our intellectual property, which could harm the reputation of our brands, decrease their value, and/or cause a decline in our licensees’ sales and thus our revenues. Further, we and our licensees may not be able to detect infringement of our intellectual property rights quickly or at all, and at times, we or our licensees may not be successful in combating counterfeit, infringing, or knockoff products, thereby damaging our competitive position. In addition, we depend upon the laws of the countries where our licensees’ products are sold to protect our intellectual property.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Intellectual property rights may be unavailable or limited in some countries because standards of registration and ownership vary internationally. Consequently, in certain foreign jurisdictions, we have elected or may elect not to apply for trademark registrations.</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While we generally apply for trademarks in most countries where we license or intend to license our trademarks, we may not accurately predict all of the countries where trademark protection will ultimately be desirable. If we fail to timely file a trademark application in any such country, we may be precluded from obtaining a trademark registration in such country at a later date. Failure to adequately pursue and enforce our trademark rights could damage our brands, enable others to compete with our brands and impair our ability to compete effectively.</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in the future, we may be required to assert infringement claims against third parties or more third parties may assert infringement claims against us. Any resulting litigation or proceeding could result in significant expense to us and divert the efforts of our management personnel, whether or not such litigation or proceeding is determined in our favor. To the extent that any of our trademarks were ever deemed to violate the proprietary rights of others in any litigation or proceeding or as a result of any claim, we may be prevented from using them, which could cause a termination of our contractual arrangements, and thus our revenue stream, with respect to those trademarks. Litigation could also result in a judgment or monetary damages being levied against us.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Risks Related to an Investment in Our Securities</w:t>
      </w:r>
    </w:p>
    <w:p>
      <w:pPr>
        <w:spacing w:after="0" w:line="22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Management exercises significant control over matters requiring shareholder approval, which may result in the delay or prevention of a change in our control.</w:t>
      </w:r>
    </w:p>
    <w:p>
      <w:pPr>
        <w:spacing w:after="0" w:line="15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Pursuant to voting agreements, certain shareholders agreed to appoint a person designated by our board of directors as their collective irrevocable proxy and attorney-in-fact with respect to the shares of the common stock received by them. The proxy holder will vote in favor of matters recommended or approved by the board of directors. The board of directors has designated Robert W. D’Loren as proxy. Also, pursuant to separate voting agreements, certain other stockholders have agreed to appoint Mr. D’Loren as their respective irrevocable proxy and attorney-in-fact with respect to the shares of the common stock issued to them by us. The proxy holder shall vote in favor of matters recommended or approved by the board of directors.</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combined voting power of the common stock ownership of our directors and executive officers was approximately 30% of our voting securities as of March 3, 2026. As a result, our management through such stock ownership will exercise significant influence over all matters requiring shareholder approval, including the election of our directors and approval of significant corporate transactions. This concentration of ownership in management may also have the effect of delaying or preventing a change in control of us that may be otherwise viewed as beneficial by stockholders other than management. There is also a risk that our existing management and a limited number of stockholders may have interests which are different from certain stockholders and that they will pursue an agenda which is beneficial to themselves at the expense of other stockholders.</w:t>
      </w:r>
    </w:p>
    <w:p>
      <w:pPr>
        <w:spacing w:after="0" w:line="188"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failure to meet the continued listing requirements of the Nasdaq Capital Market could result in a delisting of our common stock, which could negatively impact the market price and liquidity of our common stock and our ability to access the capital markets.</w:t>
      </w:r>
    </w:p>
    <w:p>
      <w:pPr>
        <w:spacing w:after="0" w:line="17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April 16, 2024, we received a letter from the Listing Qualifications Department of The Nasdaq Stock Market (“Nasdaq”) notifying us that the minimum bid price per share for our common stock fell below $1.00 for a period of 30 consecutive business days. Therefore, the Company did not meet the minimum bid price requirement set forth in the Nasdaq listing rules. On October 15, 2024, Nasdaq notified us that we would be provided an additional 180 days, or until April 14, 2025, to regain compliance with the minimum bid price requirement.</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order to assist in bringing us in compliance with the minimum bid price requirement, we effected a one-for-ten (1:10) reverse stock split of our outstanding shares of common stock effective March 24, 2025. On April 8, 2025, we received a letter from the Listing Qualifications Department of Nasdaq confirming that we had regained compliance with the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applicable listing rules, and this matter was closed. However, there can be no assurance that the minimum bid price for our common stock will continue to stay above $1.00 per share in the future.</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our shares of common stock were to lose their status on Nasdaq, we believe that they would likely be eligible to be quoted on the inter-dealer electronic quotation and trading system operated by OTC Markets Group Inc., commonly referred to as the Pink Open Market and we may also qualify to be traded on their OTCQB market (The Venture Market). These markets are generally not considered to be as efficient as, and not as broad as, Nasdaq. Selling our shares on these markets could be more difficult because smaller quantities of shares would likely be bought and sold, and transactions could be delayed. In addition, in the event our shares are delisted, broker-dealers have certain regulatory burdens imposed upon them, which may discourage broker-dealers from effecting transactions in our common stock or even holding our common stock, further limiting the liquidity of our common stock. These factors could result in lower prices and larger spreads in the bid and ask prices for our common stock.</w:t>
      </w:r>
    </w:p>
    <w:p>
      <w:pPr>
        <w:spacing w:after="0" w:line="184"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subject to the penny stock rules adopted by the SEC that require brokers to provide extensive disclosure to their customers prior to executing trades in penny stocks. These disclosure requirements may cause a reduction in the trading activity of our common stock, which could make it more difficult for our stockholders to sell their securities.</w:t>
      </w:r>
    </w:p>
    <w:p>
      <w:pPr>
        <w:spacing w:after="0" w:line="15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Rule 3a51-1 of the Exchange Act establishes the definition of a “penny stock,” for purposes relevant to us, as any equity security that has a minimum bid price of less than $5.00 per share, subject to a limited number of exceptions, including for having securities registered on certain national securities exchanges. If our common stock were delisted from the NASDAQ, market liquidity for our common stock could be severely and adversely affected.</w:t>
      </w:r>
    </w:p>
    <w:p>
      <w:pPr>
        <w:spacing w:after="0" w:line="13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For any transaction involving a penny stock, unless exempt, the penny stock rules require that a broker or dealer approve a person’s account for transactions in penny stocks and the broker or dealer receive from the investor a written agreement to the transaction setting forth the identity and quantity of the penny stock to be purchased. In order to approve a person’s account for transactions in penny stocks, the broker or dealer must obtain financial information and investment experience and objectives of the person and make a reasonable determination that the transactions in penny stocks are suitable for that person and that that person has sufficient knowledge and experience in financial matters to be capable of evaluating the risks of transactions in penny stocks.</w:t>
      </w:r>
    </w:p>
    <w:p>
      <w:pPr>
        <w:spacing w:after="0" w:line="14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broker or dealer must also deliver, prior to any transaction in a penny stock, a disclosure schedule prepared by the SEC relating to the penny stock market, which, in highlight form, sets forth:</w:t>
      </w:r>
    </w:p>
    <w:p>
      <w:pPr>
        <w:spacing w:after="0" w:line="135" w:lineRule="exact"/>
        <w:rPr>
          <w:sz w:val="20"/>
          <w:szCs w:val="20"/>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on which the broker or dealer made the suitability determination; and</w:t>
      </w:r>
    </w:p>
    <w:p>
      <w:pPr>
        <w:spacing w:after="0" w:line="184"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broker or dealer received a signed, written agreement from the investor prior to the transaction.</w:t>
      </w:r>
    </w:p>
    <w:p>
      <w:pPr>
        <w:spacing w:after="0" w:line="18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Disclosure also has to be made about the risks of investing in penny stocks in both public offerings and in secondary trading and commission payable to both the broker-dealer and the registered representative, current quotations for the securities and the rights and remedies available to an investor in cases of fraud in penny stock transactions. Finally, monthly statements have to be sent disclosing recent price information for the penny stock held in the account and information on the limited market in penny stocks.</w:t>
      </w:r>
    </w:p>
    <w:p>
      <w:pPr>
        <w:spacing w:after="0" w:line="15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Because of these regulations, broker-dealers may not wish to engage in the above-referenced necessary paperwork and disclosures and/or may encounter difficulties in their attempt to sell shares of our common stock, which may affect the ability of selling stockholders or other holders to sell their shares in any secondary market and have the effect of reducing the level of trading activity in any secondary market. These additional sales practices and disclosure requirements could impede the sale of our common stock even if and when our common stock becomes listed on the NASDAQ Capital Market. In addition, the liquidity for our common stock may decrease, with a corresponding decrease in the price of our common stock.</w:t>
      </w:r>
    </w:p>
    <w:p>
      <w:pPr>
        <w:spacing w:after="0" w:line="1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 assurance can be given that our stock will not be subject to these “penny stock” rules in the future.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Investors should be aware that, according to Commission Release No. 34-29093, the market for “penny stocks” has suffered in recent years from patterns of fraud and abuse. Such patterns include: (1) control of the market for the security by one or a few broker-dealers that are often related to the promoter or issuer; (2) manipulation of prices through prearranged matching of purchases and sales and false and misleading press releases; (3) boiler room practices involving high-pressure sales tactics and unrealistic price projections by inexperienced sales persons; (4) excessive and undisclosed bid-ask differential and markups by selling broker-dealers; and (5) the wholesale dumping of the same securities by promoters and broker-dealers after prices have been manipulated to a desired level, along with the resulting inevitable collapse of those prices and with consequent investor losses. The occurrence of these patterns or practices could increase the future volatility of our share price.</w:t>
      </w:r>
    </w:p>
    <w:p>
      <w:pPr>
        <w:spacing w:after="0" w:line="157"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has historically been thinly traded, and you may be unable to sell at or near ask prices or at all if you need to sell or liquidate a substantial number of shares at one time.</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Although our common stock is listed on the NASDAQ Capital Market, our common stock has historically been traded at relatively low volumes. As a result, the number of persons interested in purchasing our common stock at or near bid prices at any given time may be relatively small. This situation is attributable to a number of factors, including that we are currently a small company which is still relatively unknown to securities analysts, stock brokers, institutional investors and others in the investment community that generate or influence sales volume, and that even if we came to the attention of such persons, they tend to be risk-averse and reluctant to follow an unproven company such as ours or purchase or recommend the purchase of our shares until such time as we become more seasoned and viable. As a consequence, there may be periods of several days or more when trading activity in our shares is minimal, as compared to a seasoned issuer which has a large and steady volume of trading activity that will generally support continuous sales without an adverse effect on share price. We cannot provide any assurance that a broader or more active public trading market for our common stock will develop or be sustained, or that trading levels will be sustained.</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price of our common stock has declined over the past several years and may be volatile, which could reduce the market price of our common stock.</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Currently the publicly traded shares of our common stock are not widely held, and do not have significant trading volume, and, therefore, may experience significant price and volume fluctuations. Although our common stock is quoted on the NASDAQ Capital Market, this does not assure that a meaningful, consistent trading market will develop or that the volatility will decline. This market volatility could reduce the market price of the common stock, regardless of our operating performance. In addition, the trading price of the common stock has been volatile over the past several years and could change significantly over short periods of time in response to actual or anticipated variations in our quarterly operating results, announcements by us, our licensees or our respective competitors, factors affecting our licensees’ markets generally and/or changes in national or regional economic conditions, making it more difficult for shares of the common stock to be sold at a favorable price or at all. The market price of the common stock could also be reduced by general market price declines or market volatility in the future or future declines or volatility in the prices of stocks for companies in the trademark licensing business or companies in the industries in which our licensees compete.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may issue a substantial number of shares of common stock upon exercise of outstanding warrants and options.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2025, we had outstanding warrants and options to purchase 4,129,904 shares of our common stock with a weighted average exercise price of $6.41. The holders of warrants and options will likely exercise such securities at a time when the market price of our common stock exceeds the exercise price. Therefore, exercises of warrants and options will result in a decrease in the net tangible book value per share of our common stock and such decrease could be material.</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issuance of shares upon exercise of outstanding warrants and options will dilute our then-existing stockholders’ percentage ownership of our company, and such dilution could be substantial. In addition, our growth strategy includes the acquisition of additional brands, and we may issue shares of our common stock as consideration for acquisitions. Sales or the potential for sale of a substantial number of such shares could adversely affect the market price of our common stock, particularly if our common stock remains thinly traded at such time.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December 31, 2025, we had an aggregate of 191,003 shares of common stock available for grants under our 2021 Equity Incentive Plan (the "2021 Plan") to our directors, executive officers, employees, and consultants. Issuances of common stock pursuant to the exercise of stock options or other stock grants or awards which may be granted under our 2021 Plan will dilute your interest in us.</w:t>
      </w:r>
    </w:p>
    <w:p>
      <w:pPr>
        <w:spacing w:after="0" w:line="176"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our common stock may be subject to restrictions on the use of Rule 144 by shell companies or former shell companies.</w:t>
      </w:r>
    </w:p>
    <w:p>
      <w:pPr>
        <w:spacing w:after="0" w:line="13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Historically, the SEC has taken the position that Rule 144 under the Securities Act of 1933, as amended, or the Securities Act, is not available for the resale of securities initially issued by companies that are, or previously were, shell companies (we were considered a shell company on and prior to September 29, 2011), to their promoters or affiliates despite technical compliance with the requirements of Rule 144. The SEC prohibits the use of Rule 144 for resale of securities issued by shell companies (other than business transaction related shell companies) or issuers that have been at any time previously a shell company. The SEC has provided an important exception to this prohibition, however,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Form 8-K reports; and at least one year has elapsed from the time that the issuer filed current Form 10 type information with the SEC reflecting its status as an entity that is not a shell company. As such, due to the fact that we had been a shell company prior to September 2011, holders of “restricted securities” within the meaning of Rule 144, when reselling their shares pursuant to Rule 144, shall be subject to the conditions set forth herein.</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do not anticipate paying cash dividends on our common stock.</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You should not rely on an investment in our common stock to provide dividend income, as we have not paid dividends on our common stock, and we do not plan to pay any dividends in the foreseeable future. Instead, we plan to retain any earnings to maintain and expand our existing licensing operations, further develop our trademarks, and finance the acquisition of additional trademarks. Accordingly, investors must rely on sales of their common stock after price appreciation, which may never occur, as the only way to realize any return on their investment. In addition, our credit facility limits the amount of cash dividends we may pay while amounts under the credit facility are outstanding.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Provisions of our corporate charter documents could delay or prevent change of control.</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issue up to 1,000,000 shares of preferred stock without stockholder approval, in one or more series, and to fix the dividend rights, terms, conversion rights, voting rights, redemption rights and terms, liquidation preferences, and any other rights, preferences, privileges, and restrictions applicable to each new series of preferred stock. The designation of preferred stock in the future could make it difficult for third parties to gain control of our company, prevent or substantially delay a change in control, discourage bids for the common stock at a premium, or otherwise adversely affect the market price of the common stock.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pandemic outbreak of disease or similar public health threat, or fear of such an event, could have a material adverse impact on the Company's business, operating results and financial condition.</w:t>
      </w:r>
    </w:p>
    <w:p>
      <w:pPr>
        <w:spacing w:after="0" w:line="15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 pandemic or outbreak of disease or similar public health threat, such as the COVID-19 pandemic, or fear of such an event, could have a material adverse impact on our business, operating results, and financial condition.</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impacts of the COVID-19 pandemic (including actions taken by national, state, and local governments in response to COVID-19) negatively impacted the U.S. and global economy, disrupted consumer spending and global supply chains, and created significant volatility and disruption of financial markets. The initial onset of the pandemic in 2020 resulted in a sudden decrease in sales for many of the Company’s products, from which we have yet to fully recover. The global pandemic affected the financial health of certain of our customers, and the bankruptcy of certain other customers; as a</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result, we may be required to make additional adjustments to our allowances for credit losses in future periods, which would increase our operating expenses and negatively impact our operating results.</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addition, the effects of the COVID-19 pandemic on the shipping industry negatively impacted our licensees’ ability to import products in a manner that allowed for timely delivery to customers. Congestion at ports of loading and ports of entry caused significant delays in deliveries and changes to the itineraries of steamship carriers. Truck driver shortages, shortages of truck equipment, and the inability of ports to provide reliable pick up times, also negatively impacted our licensees’ ability to timely receive goods in the past. If our licensees are unable to mitigate any potential future supply chain disruptions, their ability to meet customer expectations, manage inventory and complete sales could be materially adversely affected, which could adversely affect our results of operations.</w:t>
      </w:r>
    </w:p>
    <w:p>
      <w:pPr>
        <w:spacing w:after="0" w:line="18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decline in general economic conditions resulting in a decrease in consumer spending levels and an inability to access capital may adversely affect our business.</w:t>
      </w:r>
    </w:p>
    <w:p>
      <w:pPr>
        <w:spacing w:after="0" w:line="15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success of our operations depends on consumer spending. Consumer spending is impacted by a number of factors which are beyond our control, including actual and perceived economic conditions affecting disposable consumer income (such as unemployment, wages, energy costs, and consumer debt levels), customer traffic within shopping and selling environments, business conditions, interest rates, tax rates, and the availability of credit in the general economy and in the international, regional, and local markets in which our products are sold. Global economic conditions historically included significant recessionary pressures and declines in employment levels, disposable income and actual and/or perceived wealth, and further declines in consumer confidence and economic growth. A depressed economic environment is often characterized by a decline in consumer discretionary spending and has disproportionately affected retailers and sellers of consumer goods, particularly those whose goods are viewed as discretionary or luxury purchases, including fashion apparel and accessories such as ours. Such factors as well as another shift towards recessionary conditions have, in the past, and could in the future, devalue our brands, which could result in an impairment in its carrying value, which could be material, create downward pricing pressure on the products carrying our brands, and adversely impact our revenues and overall profitability. Further, economic and political volatility and declines in the value of foreign currencies could negatively impact the global economy as a whole and have a material adverse effect on the profitability and liquidity of our operations, as well as hinder our ability to grow through expansion in the international markets. In addition, domestic and international political situations also affect consumer confidence, including the threat, outbreak or escalation of terrorism, military conflicts or other hostilities around the world. Furthermore, changes in the credit and capital markets, including market disruptions, limited liquidity, and interest rate fluctuations, may increase the cost of financing or restrict our access to potential sources of capital for future acquisitions.</w:t>
      </w:r>
    </w:p>
    <w:p>
      <w:pPr>
        <w:spacing w:after="0" w:line="19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risks associated with our business are more acute during periods of economic slowdown or recession. Accordingly, any prolonged economic slowdown or a lengthy or severe recession with respect to either the U.S. or the global economy is likely to have a material adverse effect on our results of operations, financial condition, and business prospects.</w:t>
      </w:r>
    </w:p>
    <w:p>
      <w:pPr>
        <w:spacing w:after="0" w:line="1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Macroeconomic conditions and international trade conditions could adversely impact our business and results of operations.</w:t>
      </w:r>
    </w:p>
    <w:p>
      <w:pPr>
        <w:spacing w:after="0" w:line="15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Poor economic and market conditions, including a potential recession, may negatively impact market sentiment, decreasing the demand for apparel, footwear, accessories, fine jewelry, home goods, and other consumer products, which would adversely affect our operating income and results of operations. If we are unable to take effective measures in a timely manner to mitigate the impact of the inflation as well as a potential recession, our business, financial condition, and results of operations could be adversely affected.</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business is also subject to risks associated with U.S. and foreign legislation, regulations and trade agreements (including those resulting from the transition to new political administrations) relating to the products and materials our licensees import, including quotas, duties, tariffs or taxes, and other charges or restrictions on imports on our branded and co-branded products. There continues to exist significant uncertainty about the future relationship between the U.S. and other countries with respect to trade policies, treaties and tariffs. These developments, or the perception that they could occur, may have a material adverse effect on global economic conditions and the stability of global financial markets, and may significantly reduce global trade and, in particular, trade between the impacted countries.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cannot predict whether additional U.S. and foreign customs quotas, duties (including antidumping or countervailing duties), tariffs and any retaliatory counter measures, taxes or other charges or restrictions, requirements as to where raw materials and component parts must be purchased, additional workplace regulations or other restrictions on our imports will be imposed in the future or adversely modified, or what effect such actions would have on our revenues and costs of operations. Recently imposed or future quotas, duties or tariffs and any retaliatory counter measures may have a material adverse effect on the cost of our products and the related components and raw materials and our ability to sell products and services outside the United States. Future trade agreements or modifications to existing trade agreements could also provide our competitors with an advantage over us, which could have a material adverse effect on our business, results of operations, financial condition and cash flows. The ultimate impact of any tariffs and any retaliatory counter measures will depend on various factors, including if any tariffs are ultimately implemented, the timing of implementation, and the amount, scope and nature of the tariffs.</w:t>
      </w:r>
    </w:p>
    <w:p>
      <w:pPr>
        <w:spacing w:after="0" w:line="188"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U.S. and foreign government administrative policy, including the imposition of or increases in tariffs and changes to existing trade agreements could have a material adverse effect on us.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a result of changes to U.S. and foreign government administrative policy, there may be changes to existing trade agreements, greater restrictions on free trade generally, the imposition of or significant increases in tariffs on goods imported into the U.S., including tariffs on products manufactured in China, Canada, or Mexico, and adverse responses by foreign governments to U.S. trade policies, among other possible changes. The U.S. administration has announced it intends to implement or increase tariffs, and it remains unclear what the U.S. administration or foreign governments will or will not do with respect to tariffs or trade agreements and policies. A trade war, other governmental action related to tariffs or trade agreements, changes in U.S. social, political, regulatory and economic conditions or in laws and policies governing foreign trade, manufacturing, development and investment in the territories and countries where the products of our licensees are manufactured may have a negative impact on the wholesale sales of our licensees and retail sales of our retail partners, and any resulting negative sentiments towards the U.S. as a result of such changes, could have a material adverse effect on license revenues, our business, financial condition, results of operations, and cash flows.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Extreme or unseasonable weather conditions could adversely affect our business.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Extreme weather events and changes in weather patterns can influence customer trends and shopping habits. Extended periods of unseasonably warm temperatures during the fall and winter seasons, or cool weather during the summer season, may diminish demand for our seasonal merchandise. Heavy snowfall, hurricanes or other severe weather events in the areas in which our retail stores and the retail stores of our wholesale customers are located may decrease customer traffic in those stores and reduce our sales and profitability. If severe weather events were to force closure of or disrupt operations at the distribution centers we use for our merchandise, we could incur higher costs and experience longer lead times to distribute our products to our retail stores, wholesale customers or digital channel customers. If prolonged, such extreme or unseasonable weather conditions could adversely affect our business, financial condition, and results of operations.</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Our trademarks and other intangible assets are subject to impairment charges under accounting guidelines.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intangible assets including our trademarks had a net carrying value of $31.2 million as of December 31, 2025 and represent a substantial portion of our assets. Under accounting principles generally accepted in the United States of America (“GAAP”), finite-lived intangible assets are amortized over their estimated useful lives, and reviewed for impairment whenever events or changes in circumstances indicate that their carrying value may not be recoverable. Non-renewal of license agreements or other factors affecting our market segments or brands could result in significantly reduced revenue for a brand, which could result in a devaluation of the affected trademark. If such devaluations of our trademarks were to occur, a material impairment in the carrying value of one or more of our trademarks could also occur and be charged as a non-cash expense to our operating results, which could be material. Any write-down of intangible assets resulting from future periodic evaluations would, as applicable, either decrease our net income or increase our net loss and those decreases or increases could be material.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effective tax rates or adverse outcomes resulting from examination of our income or other tax returns could adversely affect our results.</w:t>
      </w:r>
    </w:p>
    <w:p>
      <w:pPr>
        <w:spacing w:after="0" w:line="15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future effective tax rates could be adversely affected by changes in the valuation of our deferred tax assets and liabilities, or by changes in tax laws or by a change in allocation of state and local jurisdictions, or interpretations thereof. The Company currently files U.S. federal tax returns and various state tax returns. Tax years that remain open for assessment for federal and state purposes include the years ended December 31, 2021 through December 31, 2025. We regularly assess the likelihood of recovering the amount of deferred tax assets recorded on the balance sheet and the likelihood of adverse outcomes resulting from examinations by various taxing authorities in order to determine the adequacy of our provision for income taxes. Although under the 2017 Tax Cuts and Jobs Act Federal tax rates are lower, certain expenses will be either reduced or eliminated, causing the Company to have increased taxable income, which may have an adverse effect on our future income tax obligations. We cannot guarantee that the outcomes of these evaluations and continuous examinations will not harm our reported operating results and financial condition.</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We must successfully maintain and/or upgrade our information technology systems.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rely on various information technology systems to manage our operations, which subject us to inherent costs and risks associated with maintaining, upgrading, replacing, and changing these systems, including impairment of our information technology, potential disruption of our internal control systems, substantial capital expenditures, demands on management time, cyber security breaches and other risks of delays or difficulties in upgrading, transitioning to new systems, or of integrating new systems into our current systems.</w:t>
      </w:r>
    </w:p>
    <w:p>
      <w:pPr>
        <w:spacing w:after="0" w:line="179"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System security risk issues as well as other major system failures could disrupt our internal operations or information technology services, and any such disruption could negatively impact our revenues, increase our expenses, and harm our reputation.</w:t>
      </w:r>
    </w:p>
    <w:p>
      <w:pPr>
        <w:spacing w:after="0" w:line="175"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Consumers are increasingly concerned over the security of personal information transmitted over the internet, consumer identity theft, and user privacy, and any compromise of customer information could subject us to customer or government litigation and harm our reputation, which could adversely affect our business and growth. Moreover, we could incur significant expenses or disruptions of our operations in connection with system failures or breaches. In addition, sophisticated hardware and operating system software and applications that we procure from third parties may contain defects in design or manufacture, including “bugs” and other problems that could unexpectedly interfere with the operation of our systems. The costs to us to eliminate or alleviate security problems, viruses, and bugs, or any problems associated with our newly transitioned systems or outsourced services could be significant, and the efforts to address these problems could result in interruptions, delays or cessation of service that may impede our sales, distribution or other critical functions. In addition to taking the necessary precautions ourselves, we require that third-party service providers implement reasonable security measures to protect our customers’ identity and privacy as well as credit card information. We do not, however, control these third-party service providers and cannot guarantee that no electronic or physical computer break-ins and security breaches will occur in the future. We could also incur significant costs in complying with the multitude of state, federal, and foreign laws regarding the use and unauthorized disclosure of personal information, to the extent they are applicable. In the case of a disaster affecting our information technology systems, we may experience delays in recovery of data, inability to perform vital corporate functions, tardiness in required reporting and compliance, failures to adequately support our operations, and other breakdowns in normal communication and operating procedures that could materially and adversely affect our financial condition and results of operations.</w:t>
      </w:r>
    </w:p>
    <w:p>
      <w:pPr>
        <w:spacing w:after="0" w:line="188"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significantly on information technology systems and any failure, inadequacy, interruption, or security lapse of that technology, including any cybersecurity incidents, could harm our ability to operate our business effectively and have a material adverse effect on our business, reputation, financial condition, and results of operations.</w:t>
      </w:r>
    </w:p>
    <w:p>
      <w:pPr>
        <w:spacing w:after="0" w:line="17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rely significantly on our information technology systems to effectively manage and maintain our operations, and internal reports. Any failure, inadequacy, or interruption of that infrastructure or security lapse (whether intentional or inadvertent) of that technology, including cybersecurity incidents or attacks, could harm our ability to operate our business effectively.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addition, our technology systems, including our cloud technologies, continue to increase in multitude and complexity, making them potentially vulnerable to breakdown, cyberattack, and other disruptions. Potential problems and interruptions associated with the implementation of new or upgraded technology systems or with maintenance or adequate support of existing systems could disrupt or reduce the efficiency of our operations and expose us to greater risk of security breaches. Cybersecurity incidents resulting in the failure of our enterprise resource planning system, production management, or other systems to operate effectively or to integrate with other systems, or a breach in security or other unauthorized access or unavailability of these systems or those of any third parties on whom we depend, have occurred in the past and may affect our ability in the future to manage and maintain our operations, internal reports, and result in reduced efficiency of our operations.</w:t>
      </w:r>
    </w:p>
    <w:p>
      <w:pPr>
        <w:spacing w:after="0" w:line="188"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As part of our business, we collect, store, and transmit large amounts of confidential information, proprietary data, intellectual property, and personal data. The information and data processed and stored in our technology systems, and those of our licensees and other third parties on whom we depend to operate our business, may be vulnerable to loss, damage, denial-of-service, unauthorized access, or misappropriation. Data security incidents may be the result of unauthorized or unintended activity (or lack of activity) by our employees, contractors, or others with authorized access to our network or malware, hacking, business email compromise, phishing, ransomware, or other cyberattacks directed by third parties. While we have implemented measures to protect our information and data stored in our technology systems and those of the third parties that we rely on, our efforts may not be successful. In addition, employee error, malfeasance, or other errors in the storage, use, or transmission of any such information could result in a disclosure to third parties outside of our network. As a result, we could incur significant expenses addressing problems created by any such inadvertent disclosure or any security breaches of our network.</w:t>
      </w:r>
    </w:p>
    <w:p>
      <w:pPr>
        <w:spacing w:after="0" w:line="192"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We have experienced and may continue to experience cybersecurity incidents, including an unsuccessful ransomware attack in February 2024, although to our knowledge we have not experienced any material incident or interruption to date. If such a significant event were to occur, it could result in a material disruption of our business and commercial operations, including due to a loss, corruption, or unauthorized disclosure of our trade secrets, personal data, or other proprietary or sensitive information. Further, these cybersecurity incidents can lead to the public disclosure of personal information (including sensitive personal information) of our employees, customers, and others and result in demands for ransom or other forms of blackmail. Such attacks, including phishing attacks and attempts to misappropriate or compromise confidential or proprietary information or sabotage enterprise information technology systems, are of ever-increasing levels of sophistication and are made by groups and individuals with a wide range of motives (including industrial espionage) and expertise, including by organized criminal groups, “hacktivists,” nation states, and others. Moreover, the costs to us to investigate and mitigate cybersecurity incidents could be significant. Any security breach that results in the unauthorized access, use, or disclosure of personal data may require us to notify individuals, governmental authorities, credit reporting agencies, or other parties pursuant to privacy and security laws and regulations or other obligations. Such a security compromise could harm our reputation, erode confidence in our information security measures, and lead to regulatory scrutiny. To the extent that any disruption or security breach resulted in a loss of, or damage to, our data or systems, or inappropriate disclosure of confidential, proprietary, or personal information, we could be exposed to a risk of loss, enforcement measures, penalties, fines, indemnification claims, litigation and potential civil or criminal liability, which could materially adversely affect our business, financial condition and results of operations.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Not all our contracts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Further, the SEC has adopted new rules that require us to provide greater disclosures around proactive security protections that we employ and reactive issues (e.g., security incidents). Any such disclosures, including those under state data breach notification laws, can be costly, and the disclosures we make to comply with, or the failure to comply with, such requirements could lead to adverse consequences.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Changes in laws could make conducting our business more expensive or otherwise change the way we do business.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subject to numerous domestic and international regulations, including labor and employment, customs, truth-in-advertising, consumer protection, data protection, and zoning and occupancy laws and ordinances that regulate retailers generally or govern the importation, promotion and sale of merchandise and the operation of stores and warehouse facilities. If these regulations were to change or were violated by our management, employees, vendors, independent manufacturers or partners, the costs of certain goods could increase, or we could experience delays in shipments of our products, be subject to fines or penalties, or suffer reputational harm, which could reduce demand for our merchandise and hurt our business and results of operations.</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to increased regulatory compliance requirements, changes in laws could make ordinary conduct of business more expensive or require us to change the way we do business. Laws related to employee benefits and treatment of employees, including laws related to limitations on employee hours, supervisory status, leaves of absence, mandated health benefits, overtime pay, unemployment tax rates and citizenship requirements, could negatively impact us, by increasing compensation and benefits costs, which would in turn reduce our profitability.</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Moreover, changes in product safety or other consumer protection laws could lead to increased costs to us for certain merchandise, or additional labor costs associated with readying merchandise for sale. It is often difficult for us to plan and prepare for potential changes to applicable laws and future actions or payments related to such changes could be material to us.</w:t>
      </w:r>
    </w:p>
    <w:p>
      <w:pPr>
        <w:spacing w:after="0" w:line="149"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 we may not be able to report our financial results accurately or in a timely fashion, and we may not be able to prevent fraud. In such case, our stockholders could lose confidence in our financial reporting, which would harm our business and could negatively impact the price of our stock.</w:t>
      </w:r>
    </w:p>
    <w:p>
      <w:pPr>
        <w:spacing w:after="0" w:line="140"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Pursuant to Section 404 of the Sarbanes-Oxley Act of 2002, we are required to include in our Annual Report on Form 10-K our assessment of the effectiveness of our internal control over financial reporting. We have dedicated a significant amount of time and resources to comply with this legislation for the years ended December 31, 2025 and 2024, and will continue to do so for future fiscal periods. However, our management previously concluded that our internal control over financial reporting was not effective as of December 31, 2024 and 2023 due to a material weakness associated with financial information related to an investment in an unconsolidated affiliate. We have remediated this material weakness during 2025. However, we cannot be certain that our internal controls in place and operating as of December 31, 2025 will continue to be effective or that future material changes to our internal control over financial reporting will be effective. If we cannot adequately maintain the effectiveness of our internal control over financial reporting, we may be subject to sanctions or investigation by regulatory authorities, such as the SEC. Any such action could adversely affect our financial results and the market price of our common stock. Moreover, if we discover a material weakness, the disclosure of that fact, even if quickly remedied, could reduce the market’s confidence in our financial statements and harm our stock price.</w:t>
      </w:r>
    </w:p>
    <w:p>
      <w:pPr>
        <w:spacing w:after="0" w:line="14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independent registered public accounting firm will not be required to attest to the effectiveness of our internal control over financial reporting until we are no longer a “smaller reporting company.” At such time that an attestation is required, our independent registered public accounting firm may issue a report that is adverse or qualified in the event that they are not satisfied with the level at which our controls are documented, designed or operating. Our remediation efforts may not enable us to avoid a material weakness or significant deficiency in the future.</w:t>
      </w:r>
    </w:p>
    <w:p>
      <w:pPr>
        <w:spacing w:after="0" w:line="152" w:lineRule="exact"/>
        <w:rPr>
          <w:sz w:val="20"/>
          <w:szCs w:val="20"/>
          <w:color w:val="auto"/>
        </w:rPr>
      </w:pPr>
    </w:p>
    <w:p>
      <w:pPr>
        <w:jc w:val="both"/>
        <w:ind w:left="60" w:right="5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are limitations on the liabilities of our directors and executive officers. Under certain circumstances, we are obligated to indemnify our directors and executive officers against liability and expenses incurred by them in their service to us.</w:t>
      </w:r>
    </w:p>
    <w:p>
      <w:pPr>
        <w:spacing w:after="0" w:line="134"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Pursuant to our amended and restated certificate of incorporation and under Delaware law, our directors are not liable to us or our stockholders for monetary damages for breach of fiduciary duty, except for liability for breach of a director’s duty of loyalty, acts or omissions by a director not in good faith or which involve intentional misconduct or a knowing violation of law, dividend payments or stock repurchases that are unlawful under Delaware law or any transaction in which a director has derived an improper personal benefit. In addition, we have entered into indemnification agreements with each of our directors and executive officers. These agreements, among other things, require us to indemnify each director and executive officer for certain expenses, including attorneys’ fees, judgments, fines and settlement amounts, incurred by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any such person in any action or proceeding, including any action by us or in our right, arising out of the person’s services as one of our directors or executive officers. The costs associated with providing indemnification under these agreements could be harmful to our business and have an adverse effect on results of operations.</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ordinary course of business, we receive, process, use, and store digitally large amounts of data, including customer data as well as confidential, sensitive, proprietary, and personal information. Maintaining the integrity and availability of our information technology systems and this information, as well as appropriate limitations on access and confidentiality of such information, is important to us and our business operations. To this end, we have implemented a program designed to assess, identify, and manage risks from potential unauthorized occurrences on or through our information technology systems that may result in adverse effects on the confidentiality, integrity, and availability of these systems and the data residing in them.</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program is managed by our executive management team, and includes mechanisms, controls, technologies, systems, policies, and other processes designed to prevent or mitigate data loss, theft, misuse, or other security incidents or vulnerabilities affecting the systems and data residing in them. We consult with and rely upon outside advisors and experts to assist us with assessing, identifying, and managing cybersecurity risks.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consider cybersecurity, along with other significant risks that we face, within our overall enterprise risk management framework. Our Board of Directors has oversight for the most significant risks facing us and for our processes to identify, prioritize, assess, manage, and mitigate those risks. The Board of Directors receives periodic updates on cybersecurity and information technology matters and related risk exposures from management.</w:t>
      </w:r>
    </w:p>
    <w:p>
      <w:pPr>
        <w:spacing w:after="0" w:line="176"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2.</w:t>
        <w:tab/>
        <w:t>Properties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currently lease and maintain our corporate offices and operations facility located at 550 Seventh Avenue, 11th floor, New York, New York. We entered into a lease agreement effective February 29, 2024 for such offices of approximately 12,000 square feet of office space. This lease commenced in April 2024 and shall expire in 2031.</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also currently lease approximately 29,600 square feet of office space at 1333 Broadway, 10th floor, New York, New York; this location represented our former corporate offices and operations facility and this lease shall expire on October 30, 2027. We have subleased this office space to a third-party subtenant through October 30, 2027.</w:t>
      </w:r>
    </w:p>
    <w:p>
      <w:pPr>
        <w:spacing w:after="0" w:line="172" w:lineRule="exact"/>
        <w:rPr>
          <w:sz w:val="20"/>
          <w:szCs w:val="20"/>
          <w:color w:val="auto"/>
        </w:rPr>
      </w:pPr>
    </w:p>
    <w:p>
      <w:pPr>
        <w:ind w:left="60"/>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from time to time we become involved in legal claims and litigation. In the opinion of management, based on consultations with legal counsel, the disposition of litigation currently pending against us is unlikely to have, individually or in the aggregate, a materially adverse effect on our business, financial position, results of operations, or cash flows.</w:t>
      </w:r>
    </w:p>
    <w:p>
      <w:pPr>
        <w:spacing w:after="0" w:line="176" w:lineRule="exact"/>
        <w:rPr>
          <w:sz w:val="20"/>
          <w:szCs w:val="20"/>
          <w:color w:val="auto"/>
        </w:rPr>
      </w:pPr>
    </w:p>
    <w:p>
      <w:pPr>
        <w:ind w:left="60"/>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60" w:right="319"/>
        <w:spacing w:after="0" w:line="286" w:lineRule="auto"/>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common stock is listed on the NASDAQ Capital Market, under the trading symbol “XELB.”</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Holders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of December 31, 2025, the number of our stockholders of record was 50 (excluding beneficial owners and any shares held in street name or by nominees).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We expect to retain future earnings to finance our operations and expansion. The payment of cash dividends in the future will be at the discretion of our board of directors and will depend upon our earnings levels, capital requirements, any restrictive loan covenants, and other factors the board of directors considers relevant.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2021 Equity Incentive Plan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2021 Equity Incentive Plan, which we refer to as the 2021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 The following is a description of the 2021 Plan.</w:t>
      </w:r>
    </w:p>
    <w:p>
      <w:pPr>
        <w:spacing w:after="0" w:line="180" w:lineRule="exact"/>
        <w:rPr>
          <w:sz w:val="20"/>
          <w:szCs w:val="20"/>
          <w:color w:val="auto"/>
        </w:rPr>
      </w:pPr>
    </w:p>
    <w:p>
      <w:pPr>
        <w:jc w:val="both"/>
        <w:ind w:left="720" w:right="79" w:hanging="319"/>
        <w:spacing w:after="0" w:line="266"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Plan provides for the grant of stock options, restricted stock, restricted stock units, performance awards, or cash awards (any grant under the 2021 Plan, an “Award”). The stock options may be incentive stock options or non-qualified stock options.</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Originally, a total of 400,000 shares of common stock were eligible for issuance under the 2021 Plan. In 2025, the Company’s stockholders approved an amendment to the 2021 Plan that increased the number of shares authorized from 400,000 to 1,150,000.</w:t>
      </w:r>
    </w:p>
    <w:p>
      <w:pPr>
        <w:spacing w:after="0" w:line="175"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2021 Plan may be administered by the Board of Directors (the “Board”) or a committee consisting of two or more members of the Board of Directors appointed by the Board (for purposes of this description, any such committee, a “Committee”).</w:t>
      </w:r>
    </w:p>
    <w:p>
      <w:pPr>
        <w:spacing w:after="0" w:line="148"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Officers and other employees of our Company or any parent or subsidiary of our Company who are at the time of the grant of an Award employed by us or any parent or subsidiary of our Company are eligible to be granted options or other Awards under the 2021 Plan. In addition, non-qualified stock options and other Awards may be granted under the 2021 Plan to any person, including, but not limited to, directors, independent agents, consultants, and attorneys who the Board or the Committee, as the case may be, believes has contributed or will contribute to our success.</w:t>
      </w:r>
    </w:p>
    <w:p>
      <w:pPr>
        <w:spacing w:after="0" w:line="146"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(each, a “10% Stockholder”), such incentive stock option shall not be exercisable more than 5 years from the date of grant.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720" w:right="79" w:hanging="319"/>
        <w:spacing w:after="0" w:line="26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of a stock option will not be less than the fair market value of the shares underlying the option on the date the option is granted, provided, however, that the exercise price of a stock option granted to a 10% Stockholder may not be less than 110% of such fair market value.</w:t>
      </w:r>
    </w:p>
    <w:p>
      <w:pPr>
        <w:spacing w:after="0" w:line="148"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awards give the recipient the right to receive a specified number of shares of common stock, subject to such terms, conditions and restrictions as the Board or the Committee, as the case may be, deems appropriate. Restrictions may include limitations on the right to transfer the stock until the expiration of a specified period of time and forfeiture of the stock upon the occurrence of certain events such as the termination of employment prior to expiration of a specified period of time.</w:t>
      </w:r>
    </w:p>
    <w:p>
      <w:pPr>
        <w:spacing w:after="0" w:line="142"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awards will be settled in cash or shares of common stock, in an amount based on the fair market value of our common stock on the settlement date. The RSUs will be subject to forfeiture and restrictions on transferability as set forth in the 2021 Plan and the applicable award agreement and as may be otherwise determined by the Board or the Committee. There were no RSUs outstanding as of December 31, 2025.</w:t>
      </w:r>
    </w:p>
    <w:p>
      <w:pPr>
        <w:spacing w:after="0" w:line="139" w:lineRule="exact"/>
        <w:rPr>
          <w:rFonts w:ascii="Times New Roman" w:cs="Times New Roman" w:eastAsia="Times New Roman" w:hAnsi="Times New Roman"/>
          <w:sz w:val="18"/>
          <w:szCs w:val="18"/>
          <w:color w:val="auto"/>
        </w:rPr>
      </w:pPr>
    </w:p>
    <w:p>
      <w:pPr>
        <w:jc w:val="both"/>
        <w:ind w:left="720" w:right="79" w:hanging="319"/>
        <w:spacing w:after="0" w:line="253"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Awards made under the Plan may be granted so that they qualify as “performance-based compensation” (as this term is used in Internal Revenue Code Section 162(m) and the regulations thereunder) and are exempt from the deduction limitation imposed by Code Section 162(m) (these Awards are referred to as “Performance-Based Awards”).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In accordance with the 2017 Tax Cuts and Jobs Act, the tax deductibility for each of these executives will be limited to $1,000,000 of compensation annually, including any performance-based compensation.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62"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stock options and certain stock awards, performance awards, and stock units granted under the Plan, and the compensation attributable to such Awards, are intended to (i) qualify as performance-based awards or (ii) be otherwise exempt from the deduction limitation imposed by Internal Revenue Code Section 162(m).</w:t>
      </w:r>
    </w:p>
    <w:p>
      <w:pPr>
        <w:spacing w:after="0" w:line="135" w:lineRule="exact"/>
        <w:rPr>
          <w:rFonts w:ascii="Times New Roman" w:cs="Times New Roman" w:eastAsia="Times New Roman" w:hAnsi="Times New Roman"/>
          <w:sz w:val="18"/>
          <w:szCs w:val="18"/>
          <w:color w:val="auto"/>
        </w:rPr>
      </w:pPr>
    </w:p>
    <w:p>
      <w:pPr>
        <w:jc w:val="both"/>
        <w:ind w:left="720" w:right="79" w:hanging="319"/>
        <w:spacing w:after="0" w:line="256" w:lineRule="auto"/>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awards may be issued under the 2021 Plan either alone or in addition to or in tandem with other Awards granted under the 2021 Plan or other payments made to a participant not under the 2021 Plan. The Board or Committee shall determine the eligible persons to whom, and the time or times at which, cash awards will be made, the amount that is subject to the cash award, the circumstances and conditions under which such amount shall be paid, in whole or in part, the time of payment, and all other terms and conditions of the Awards. Each cash award shall be confirmed by, and shall be subject to the terms of, an agreement executed</w:t>
      </w:r>
    </w:p>
    <w:p>
      <w:pPr>
        <w:spacing w:after="0" w:line="187"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Awards may be granted on or after the tenth anniversary of the effective date of the 2021 Plan.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2011 Equity Incentive Plan</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key terms and provisions of our Amended and Restated 2011 Equity Incentive Plan, which we refer to as the 2011 Plan, were substantially similar to the 2021 Plan described above, with the major difference being the number of shares of common stock reserved for issuance under the 2011 Plan. Stock-based awards (including options, warrants, and restricted stock) previously granted under the 2011 Plan remain outstanding, and shares of common stock may be issued to satisfy options or warrants previously granted under the 2011 Plan, although no new awards may be granted under the 2011 Plan.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Issuances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From time to time, the Company issues stock-based compensation to its officers, directors, employees, and consultants through its equity compensation plans. The maximum term of options granted is generally five years and generally options vest over a period of six months to two years. However, the Board may approve other vesting schedules. Options may be</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exercised in whole or in part. The exercise price of stock options granted is generally the fair market value of the Company’s common stock on the date of grant.</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fair value of each stock option award is estimated using the Black-Scholes option pricing model based on certain assumptions. The assumption for expected term is based on evaluations of expected future employee exercise behavior. Because of a lack of historical information related to exercise activity, we use the simplified method to determine the expected term. The risk-free interest rate is based on the U.S. Treasury rates at the date of grant with maturity dates approximately equal to the expected term at the grant date. The historical volatility of our common stock is used as the basis for the volatility assumption. The Company has never paid cash dividends, and does not currently intend to pay cash dividends, and thus assumes a 0% dividend yield.</w:t>
      </w:r>
    </w:p>
    <w:p>
      <w:pPr>
        <w:spacing w:after="0" w:line="18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as of December 31, 2025 regarding compensation plans under which our equity securities are authorized for issuance:</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Securities</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 Securities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restart"/>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 be Issued Upon</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jc w:val="center"/>
              <w:ind w:right="4"/>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0" w:type="dxa"/>
            <w:vAlign w:val="bottom"/>
          </w:tcPr>
          <w:p>
            <w:pPr>
              <w:spacing w:after="0"/>
              <w:rPr>
                <w:sz w:val="12"/>
                <w:szCs w:val="12"/>
                <w:color w:val="auto"/>
              </w:rPr>
            </w:pPr>
          </w:p>
        </w:tc>
        <w:tc>
          <w:tcPr>
            <w:tcW w:w="17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 Plans</w:t>
            </w:r>
          </w:p>
        </w:tc>
        <w:tc>
          <w:tcPr>
            <w:tcW w:w="0" w:type="dxa"/>
            <w:vAlign w:val="bottom"/>
          </w:tcPr>
          <w:p>
            <w:pPr>
              <w:spacing w:after="0"/>
              <w:rPr>
                <w:sz w:val="1"/>
                <w:szCs w:val="1"/>
                <w:color w:val="auto"/>
              </w:rPr>
            </w:pPr>
          </w:p>
        </w:tc>
      </w:tr>
      <w:tr>
        <w:trPr>
          <w:trHeight w:val="148"/>
        </w:trPr>
        <w:tc>
          <w:tcPr>
            <w:tcW w:w="4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4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(Excluding Securities</w:t>
            </w:r>
          </w:p>
        </w:tc>
        <w:tc>
          <w:tcPr>
            <w:tcW w:w="0" w:type="dxa"/>
            <w:vAlign w:val="bottom"/>
          </w:tcPr>
          <w:p>
            <w:pPr>
              <w:spacing w:after="0"/>
              <w:rPr>
                <w:sz w:val="1"/>
                <w:szCs w:val="1"/>
                <w:color w:val="auto"/>
              </w:rPr>
            </w:pPr>
          </w:p>
        </w:tc>
      </w:tr>
      <w:tr>
        <w:trPr>
          <w:trHeight w:val="148"/>
        </w:trPr>
        <w:tc>
          <w:tcPr>
            <w:tcW w:w="4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40" w:type="dxa"/>
            <w:vAlign w:val="bottom"/>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40" w:type="dxa"/>
            <w:vAlign w:val="bottom"/>
          </w:tcPr>
          <w:p>
            <w:pPr>
              <w:spacing w:after="0"/>
              <w:rPr>
                <w:sz w:val="12"/>
                <w:szCs w:val="12"/>
                <w:color w:val="auto"/>
              </w:rPr>
            </w:pPr>
          </w:p>
        </w:tc>
        <w:tc>
          <w:tcPr>
            <w:tcW w:w="13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2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Reflected in Column (a))</w:t>
            </w:r>
          </w:p>
        </w:tc>
        <w:tc>
          <w:tcPr>
            <w:tcW w:w="0" w:type="dxa"/>
            <w:vAlign w:val="bottom"/>
          </w:tcPr>
          <w:p>
            <w:pPr>
              <w:spacing w:after="0"/>
              <w:rPr>
                <w:sz w:val="1"/>
                <w:szCs w:val="1"/>
                <w:color w:val="auto"/>
              </w:rPr>
            </w:pPr>
          </w:p>
        </w:tc>
      </w:tr>
      <w:tr>
        <w:trPr>
          <w:trHeight w:val="173"/>
        </w:trPr>
        <w:tc>
          <w:tcPr>
            <w:tcW w:w="4020" w:type="dxa"/>
            <w:vAlign w:val="bottom"/>
            <w:vMerge w:val="continue"/>
          </w:tcPr>
          <w:p>
            <w:pPr>
              <w:spacing w:after="0"/>
              <w:rPr>
                <w:sz w:val="15"/>
                <w:szCs w:val="15"/>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tcPr>
          <w:p>
            <w:pPr>
              <w:jc w:val="center"/>
              <w:ind w:right="4"/>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Pr>
          <w:p>
            <w:pPr>
              <w:jc w:val="center"/>
              <w:ind w:right="24"/>
              <w:spacing w:after="0"/>
              <w:rPr>
                <w:sz w:val="20"/>
                <w:szCs w:val="20"/>
                <w:color w:val="auto"/>
              </w:rPr>
            </w:pPr>
            <w:r>
              <w:rPr>
                <w:rFonts w:ascii="Times New Roman" w:cs="Times New Roman" w:eastAsia="Times New Roman" w:hAnsi="Times New Roman"/>
                <w:sz w:val="14"/>
                <w:szCs w:val="14"/>
                <w:b w:val="1"/>
                <w:bCs w:val="1"/>
                <w:color w:val="auto"/>
              </w:rPr>
              <w:t>(b)</w:t>
            </w:r>
          </w:p>
        </w:tc>
        <w:tc>
          <w:tcPr>
            <w:tcW w:w="220" w:type="dxa"/>
            <w:vAlign w:val="bottom"/>
            <w:gridSpan w:val="2"/>
            <w:vMerge w:val="continue"/>
          </w:tcPr>
          <w:p>
            <w:pPr>
              <w:spacing w:after="0"/>
              <w:rPr>
                <w:sz w:val="15"/>
                <w:szCs w:val="15"/>
                <w:color w:val="auto"/>
              </w:rPr>
            </w:pPr>
          </w:p>
        </w:tc>
        <w:tc>
          <w:tcPr>
            <w:tcW w:w="1680" w:type="dxa"/>
            <w:vAlign w:val="bottom"/>
          </w:tcPr>
          <w:p>
            <w:pPr>
              <w:jc w:val="center"/>
              <w:ind w:right="5"/>
              <w:spacing w:after="0"/>
              <w:rPr>
                <w:sz w:val="20"/>
                <w:szCs w:val="20"/>
                <w:color w:val="auto"/>
              </w:rPr>
            </w:pPr>
            <w:r>
              <w:rPr>
                <w:rFonts w:ascii="Times New Roman" w:cs="Times New Roman" w:eastAsia="Times New Roman" w:hAnsi="Times New Roman"/>
                <w:sz w:val="14"/>
                <w:szCs w:val="14"/>
                <w:b w:val="1"/>
                <w:bCs w:val="1"/>
                <w:color w:val="auto"/>
              </w:rPr>
              <w:t>(c)</w:t>
            </w:r>
          </w:p>
        </w:tc>
        <w:tc>
          <w:tcPr>
            <w:tcW w:w="0" w:type="dxa"/>
            <w:vAlign w:val="bottom"/>
          </w:tcPr>
          <w:p>
            <w:pPr>
              <w:spacing w:after="0"/>
              <w:rPr>
                <w:sz w:val="1"/>
                <w:szCs w:val="1"/>
                <w:color w:val="auto"/>
              </w:rPr>
            </w:pPr>
          </w:p>
        </w:tc>
      </w:tr>
      <w:tr>
        <w:trPr>
          <w:trHeight w:val="210"/>
        </w:trPr>
        <w:tc>
          <w:tcPr>
            <w:tcW w:w="4020" w:type="dxa"/>
            <w:vAlign w:val="bottom"/>
            <w:tcBorders>
              <w:top w:val="single" w:sz="8" w:color="auto"/>
            </w:tcBorders>
            <w:shd w:val="clear" w:color="auto" w:fill="CCEEFF"/>
          </w:tcPr>
          <w:p>
            <w:pPr>
              <w:ind w:left="20"/>
              <w:spacing w:after="0" w:line="210" w:lineRule="exact"/>
              <w:rPr>
                <w:sz w:val="20"/>
                <w:szCs w:val="20"/>
                <w:color w:val="auto"/>
              </w:rPr>
            </w:pPr>
            <w:r>
              <w:rPr>
                <w:rFonts w:ascii="Times New Roman" w:cs="Times New Roman" w:eastAsia="Times New Roman" w:hAnsi="Times New Roman"/>
                <w:sz w:val="17"/>
                <w:szCs w:val="17"/>
                <w:color w:val="auto"/>
              </w:rPr>
              <w:t xml:space="preserve">Equity compensation Plans </w:t>
            </w:r>
            <w:r>
              <w:rPr>
                <w:rFonts w:ascii="Times New Roman" w:cs="Times New Roman" w:eastAsia="Times New Roman" w:hAnsi="Times New Roman"/>
                <w:sz w:val="24"/>
                <w:szCs w:val="24"/>
                <w:color w:val="auto"/>
                <w:vertAlign w:val="superscript"/>
              </w:rPr>
              <w:t>(1)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977,695</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191,003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Pursuant to our 2011 and 2021 Equity Incentive Plans.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 and affiliated purchasers</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following table provides information with respect to restricted stock purchased and retired by the Company during the three months ended December 31, 2025.</w:t>
      </w:r>
    </w:p>
    <w:tbl>
      <w:tblPr>
        <w:tblLayout w:type="fixed"/>
        <w:tblInd w:w="40" w:type="dxa"/>
        <w:tblCellMar>
          <w:top w:w="0" w:type="dxa"/>
          <w:left w:w="0" w:type="dxa"/>
          <w:bottom w:w="0" w:type="dxa"/>
          <w:right w:w="0" w:type="dxa"/>
        </w:tblCellMar>
      </w:tblPr>
      <w:tr>
        <w:trPr>
          <w:trHeight w:val="137"/>
        </w:trPr>
        <w:tc>
          <w:tcPr>
            <w:tcW w:w="224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200" w:type="dxa"/>
            <w:vAlign w:val="bottom"/>
            <w:gridSpan w:val="2"/>
          </w:tcPr>
          <w:p>
            <w:pPr>
              <w:jc w:val="right"/>
              <w:ind w:right="940"/>
              <w:spacing w:after="0" w:line="137" w:lineRule="exact"/>
              <w:rPr>
                <w:sz w:val="20"/>
                <w:szCs w:val="20"/>
                <w:color w:val="auto"/>
              </w:rPr>
            </w:pPr>
            <w:r>
              <w:rPr>
                <w:rFonts w:ascii="Times New Roman" w:cs="Times New Roman" w:eastAsia="Times New Roman" w:hAnsi="Times New Roman"/>
                <w:sz w:val="14"/>
                <w:szCs w:val="14"/>
                <w:color w:val="auto"/>
              </w:rPr>
              <w:t>​​​</w:t>
            </w:r>
          </w:p>
        </w:tc>
        <w:tc>
          <w:tcPr>
            <w:tcW w:w="340" w:type="dxa"/>
            <w:vAlign w:val="bottom"/>
            <w:gridSpan w:val="2"/>
          </w:tcPr>
          <w:p>
            <w:pPr>
              <w:jc w:val="right"/>
              <w:ind w:right="56"/>
              <w:spacing w:after="0" w:line="137"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1"/>
                <w:szCs w:val="11"/>
                <w:color w:val="auto"/>
              </w:rPr>
            </w:pPr>
          </w:p>
        </w:tc>
        <w:tc>
          <w:tcPr>
            <w:tcW w:w="1660" w:type="dxa"/>
            <w:vAlign w:val="bottom"/>
            <w:gridSpan w:val="2"/>
          </w:tcPr>
          <w:p>
            <w:pPr>
              <w:ind w:left="80"/>
              <w:spacing w:after="0" w:line="137" w:lineRule="exact"/>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Total Number of Shares</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 Stock</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restart"/>
          </w:tcPr>
          <w:p>
            <w:pPr>
              <w:jc w:val="center"/>
              <w:ind w:right="9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0" w:type="dxa"/>
            <w:vAlign w:val="bottom"/>
          </w:tcPr>
          <w:p>
            <w:pPr>
              <w:spacing w:after="0"/>
              <w:rPr>
                <w:sz w:val="1"/>
                <w:szCs w:val="1"/>
                <w:color w:val="auto"/>
              </w:rPr>
            </w:pPr>
          </w:p>
        </w:tc>
      </w:tr>
      <w:tr>
        <w:trPr>
          <w:trHeight w:val="149"/>
        </w:trPr>
        <w:tc>
          <w:tcPr>
            <w:tcW w:w="224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 a Publicly</w:t>
            </w:r>
          </w:p>
        </w:tc>
        <w:tc>
          <w:tcPr>
            <w:tcW w:w="0" w:type="dxa"/>
            <w:vAlign w:val="bottom"/>
          </w:tcPr>
          <w:p>
            <w:pPr>
              <w:spacing w:after="0"/>
              <w:rPr>
                <w:sz w:val="1"/>
                <w:szCs w:val="1"/>
                <w:color w:val="auto"/>
              </w:rPr>
            </w:pPr>
          </w:p>
        </w:tc>
      </w:tr>
      <w:tr>
        <w:trPr>
          <w:trHeight w:val="148"/>
        </w:trPr>
        <w:tc>
          <w:tcPr>
            <w:tcW w:w="4780" w:type="dxa"/>
            <w:vAlign w:val="bottom"/>
            <w:gridSpan w:val="2"/>
            <w:vMerge w:val="restart"/>
          </w:tcPr>
          <w:p>
            <w:pPr>
              <w:ind w:left="22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6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Price per</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0" w:type="dxa"/>
            <w:vAlign w:val="bottom"/>
          </w:tcPr>
          <w:p>
            <w:pPr>
              <w:spacing w:after="0"/>
              <w:rPr>
                <w:sz w:val="1"/>
                <w:szCs w:val="1"/>
                <w:color w:val="auto"/>
              </w:rPr>
            </w:pPr>
          </w:p>
        </w:tc>
      </w:tr>
      <w:tr>
        <w:trPr>
          <w:trHeight w:val="173"/>
        </w:trPr>
        <w:tc>
          <w:tcPr>
            <w:tcW w:w="478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60" w:type="dxa"/>
            <w:vAlign w:val="bottom"/>
            <w:tcBorders>
              <w:bottom w:val="single" w:sz="8" w:color="CCEEFF"/>
            </w:tcBorders>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Plan or Program</w:t>
            </w:r>
          </w:p>
        </w:tc>
        <w:tc>
          <w:tcPr>
            <w:tcW w:w="0" w:type="dxa"/>
            <w:vAlign w:val="bottom"/>
          </w:tcPr>
          <w:p>
            <w:pPr>
              <w:spacing w:after="0"/>
              <w:rPr>
                <w:sz w:val="1"/>
                <w:szCs w:val="1"/>
                <w:color w:val="auto"/>
              </w:rPr>
            </w:pPr>
          </w:p>
        </w:tc>
      </w:tr>
      <w:tr>
        <w:trPr>
          <w:trHeight w:val="209"/>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1, 2025 to October 31, 2025 (i)</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November 1, 2025 to November 30, 2025 (i)</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00" w:type="dxa"/>
            <w:vAlign w:val="bottom"/>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1, 2025 to December 31, 2025 (i)</w:t>
            </w:r>
          </w:p>
        </w:tc>
        <w:tc>
          <w:tcPr>
            <w:tcW w:w="1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year ended December 31, 2025</w:t>
            </w:r>
          </w:p>
        </w:tc>
        <w:tc>
          <w:tcPr>
            <w:tcW w:w="16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25,415</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tcPr>
          <w:p>
            <w:pPr>
              <w:spacing w:after="0"/>
              <w:rPr>
                <w:sz w:val="18"/>
                <w:szCs w:val="18"/>
                <w:color w:val="auto"/>
              </w:rPr>
            </w:pPr>
          </w:p>
        </w:tc>
        <w:tc>
          <w:tcPr>
            <w:tcW w:w="1500" w:type="dxa"/>
            <w:vAlign w:val="bottom"/>
            <w:tcBorders>
              <w:top w:val="single" w:sz="8" w:color="auto"/>
              <w:bottom w:val="single" w:sz="8" w:color="auto"/>
            </w:tcBorders>
          </w:tcPr>
          <w:p>
            <w:pPr>
              <w:ind w:left="12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240" w:type="dxa"/>
            <w:vAlign w:val="bottom"/>
            <w:tcBorders>
              <w:bottom w:val="single" w:sz="8" w:color="auto"/>
            </w:tcBorders>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both"/>
        <w:ind w:left="60" w:right="59" w:hanging="10"/>
        <w:spacing w:after="0" w:line="266" w:lineRule="auto"/>
        <w:tabs>
          <w:tab w:leader="none" w:pos="29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were exchanged from employees in connection with the income tax withholding obligations on behalf of such employees from the receipt of stock awards. The 2011 Plan and 2021 Plan allow for award holders to surrender vested shares to cover withholding tax liabilities.</w:t>
      </w:r>
    </w:p>
    <w:p>
      <w:pPr>
        <w:spacing w:after="0" w:line="172"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6.</w:t>
        <w:tab/>
        <w:t>[Reserved]</w:t>
      </w:r>
    </w:p>
    <w:p>
      <w:pPr>
        <w:spacing w:after="0" w:line="225"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discussion and analysis should be read together with our consolidated financial statements and the notes thereto, included in Item 8 of this Annual Report on Form 10-K. This discussion summarizes the significant factors affecting our consolidated operating results, financial condition and liquidity and cash flows for the years ended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December 31, 2025 and 2024. Except for historical information, the matters discussed in this Management’s Discussion and Analysis of Financial Condition and Results of Operations are forward-looking statements that involve risks and uncertainties and are based upon judgments concerning factors that are beyond our control.</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Xcel Brands is a media and consumer products company engaged in the design, licensing, marketing, live streaming, and social commerce sales of branded apparel, footwear, accessories, fine jewelry, home goods and other consumer products, and the acquisition of dynamic consumer lifestyle brands.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Xcel was founded in 2011 with a vision to reimagine shopping, entertainment, and social media as social commerce.</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Currently, our brand portfolio consists of the following:</w:t>
      </w:r>
    </w:p>
    <w:p>
      <w:pPr>
        <w:spacing w:after="0" w:line="207" w:lineRule="exact"/>
        <w:rPr>
          <w:sz w:val="20"/>
          <w:szCs w:val="20"/>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Halston Brand, the Ripka Brand, and the C Wonder Brand, which are wholly owned by the Company;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Longaberger Brand, which we manage through our 50% ownership interest in Longaberger Licensing, LLC;</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TowerHill by Christie Brinkley brand, which is a co-branded collaboration between Xcel and Christie Brinkley that launched in May 2024;</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Trust-Respect-Love by Cesar Millan brand, which is a new co-branded collaboration between Xcel and Cesar Millan, which is planned to launch in Spring 2026;</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GemmaMade by Gemma Stafford brand, which is a new co-branded collaboration between Xcel and Gemma Stafford, which is planned to launch in Spring 2026;</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Off/Duty by Coco Rocha brand, which is a new co-branded collaboration between Xcel and Coco Rocha, which is planned to launch in Fall 2026;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Mesa Mia by Jenny Martinez, which is a brand owned by Mexican home influencer Jenny Martinez, and for which Xcel holds the television rights through a long-term license agreement and expects to launch in Spring 2026.</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brand portfolio also formerly included:</w:t>
      </w:r>
    </w:p>
    <w:p>
      <w:pPr>
        <w:spacing w:after="0" w:line="225" w:lineRule="exact"/>
        <w:rPr>
          <w:sz w:val="20"/>
          <w:szCs w:val="20"/>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LOGO by Lori Goldstein brand as a wholly owned brand from April 1, 2021 through June 30, 2024;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Isaac Mizrahi brand, in which we hold a noncontrolling ownership interest through October 1, 2025.</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Xcel is pioneering a true omni-channel and social commerce sales strategy which includes the promotion and sale of products under its brands through interactive television, digital live-stream shopping, social commerce, brick-and-mortar retailers, and e-commerce channels.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currently operate under a working-capital light model, with our licensees and/or retail partners responsible for the procurement and sale of inventory. As such, our revenues primarily consist of royalty revenues, and we do not have risk of carrying aged inventory. As a result, fluctuations in product costs and tariffs do not have a direct impact on us, but may impact us indirectly as our royalty revenues are typically based on the net sales and success of our licensees.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Our objective is to build a diversified portfolio of lifestyle consumer products brands through organic growth and the strategic acquisition of new brands. To grow our brands, we are focused on the following primary strategies:</w:t>
      </w:r>
    </w:p>
    <w:p>
      <w:pPr>
        <w:spacing w:after="0" w:line="162" w:lineRule="exact"/>
        <w:rPr>
          <w:sz w:val="20"/>
          <w:szCs w:val="20"/>
          <w:color w:val="auto"/>
        </w:rPr>
      </w:pPr>
    </w:p>
    <w:p>
      <w:pPr>
        <w:ind w:left="720" w:hanging="319"/>
        <w:spacing w:after="0"/>
        <w:tabs>
          <w:tab w:leader="none" w:pos="7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of our brands for sale through interactive television (e.g., QVC, HSN, JTV, etc.);</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of our brands to retailers that sell to the end consumer;</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licensing our brands to manufacturers and retailers for promotion and distribution through e-commerce, social commerce, and brick-and-mortar retail channels; and</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acquiring additional consumer brands and integrating them into our operating platform, and leveraging our operating infrastructure and distribution relationships.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We believe that Xcel offers a unique value proposition for the following reasons:</w:t>
      </w:r>
    </w:p>
    <w:p>
      <w:pPr>
        <w:spacing w:after="0" w:line="225"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management team, including our officers’ and directors’ experience in, and relationships within the industry;</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deep knowledge, expertise, and proprietary technology in live streaming and social commerce;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design, sales, marketing, and technology platform that enables us to design trend-right product; and</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significant media and digital presence.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Critical accounting policies are those that are the most important to the portrayal of our financial condition and results of operations, and that require our most difficult, subjective, and complex judgments as a result of the need to make estimates about the effect of matters that are inherently uncertain. Critical accounting estimates are those that involve a significant level of estimation uncertainty and have had or are reasonably likely to have a material impact on our financial condition or results of operations. While our significant accounting policies and estimates are described in more detail in the notes to our consolidated financial statements, our most critical accounting policies and estimates, discussed below, pertain to revenue recognition, trademarks and other intangible assets, investments in unconsolidated affiliates, and income taxes. These include but are not limited to: the estimation of the useful lives of our trademarks, and the estimation of future cash flows related to our trademarks; the valuation and accounting for our investments in unconsolidated affiliates, and judgment as to whether any declines in value are temporary; and the estimation of our future income projections and the likelihood that we will be able to realize our deferred tax assets. In applying such policies, we must use some amounts that are based upon our informed judgments and best estimates. Estimates, by their nature, are based upon judgments and available information. The estimates that we make are based upon historical factors, current circumstances, and the experience and judgment of management. We evaluate our assumptions and estimates on an ongoing basis.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follow Financial Accounting Standards Board (“FASB”) Accounting Standards Codification (“ASC”) 606-10-55-65, by which we recognize licensing revenue at the later of when (1) the subsequent sale or usage occurs or (2) the performance obligation to which some or all of the sales- or usage-based royalty has been allocated is satisfied (in whole or in part). More specifically, we separately identify:</w:t>
      </w:r>
    </w:p>
    <w:p>
      <w:pPr>
        <w:spacing w:after="0" w:line="180" w:lineRule="exact"/>
        <w:rPr>
          <w:sz w:val="20"/>
          <w:szCs w:val="20"/>
          <w:color w:val="auto"/>
        </w:rPr>
      </w:pPr>
    </w:p>
    <w:p>
      <w:pPr>
        <w:jc w:val="both"/>
        <w:ind w:left="440" w:right="59" w:hanging="1"/>
        <w:spacing w:after="0" w:line="258" w:lineRule="auto"/>
        <w:tabs>
          <w:tab w:leader="none" w:pos="77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based on experience, royalties are expected to exceed any applicable minimum guaranteed payments, and to which an output-based measure of progress based on the “right to invoice” practical expedient is applied because the royalties due for each period correlate directly with the value to the customer of our performance in each period (this approach is identified as “View A” by the FASB Revenue Recognition Transition Resource Group, “TRG”); and</w:t>
      </w:r>
    </w:p>
    <w:p>
      <w:pPr>
        <w:spacing w:after="0" w:line="183" w:lineRule="exact"/>
        <w:rPr>
          <w:rFonts w:ascii="Times New Roman" w:cs="Times New Roman" w:eastAsia="Times New Roman" w:hAnsi="Times New Roman"/>
          <w:sz w:val="18"/>
          <w:szCs w:val="18"/>
          <w:color w:val="auto"/>
        </w:rPr>
      </w:pPr>
    </w:p>
    <w:p>
      <w:pPr>
        <w:ind w:left="440" w:right="59" w:hanging="1"/>
        <w:spacing w:after="0" w:line="282" w:lineRule="auto"/>
        <w:tabs>
          <w:tab w:leader="none" w:pos="90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revenue is recognized based on minimum guaranteed payments using an appropriate measure of progress, in which minimum guaranteed payments are straight-lined over the term of the contract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440" w:right="59"/>
        <w:spacing w:after="0" w:line="261" w:lineRule="auto"/>
        <w:rPr>
          <w:sz w:val="20"/>
          <w:szCs w:val="20"/>
          <w:color w:val="auto"/>
        </w:rPr>
      </w:pPr>
      <w:r>
        <w:rPr>
          <w:rFonts w:ascii="Times New Roman" w:cs="Times New Roman" w:eastAsia="Times New Roman" w:hAnsi="Times New Roman"/>
          <w:sz w:val="18"/>
          <w:szCs w:val="18"/>
          <w:color w:val="auto"/>
        </w:rPr>
        <w:t>recognized ratably based on the passage of time, and to which the royalty recognition constraint to the sales-based royalties in excess of minimum guaranteed is applied and such sales-based royalties are recognized to the distinct period only when the minimum guaranteed is exceeded on a cumulative basis (this approach is identified as “View C” by the TRG).</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Trademarks and Other Intangible Assets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finite-lived intangible assets (primarily trademarks, along with other intangible assets) are amortized over their estimated useful lives, which are estimated based principally on our expected use and strategic plans for each asset, our own historical experience with similar assets, and our expectations related to demand, competition, and other economic factors.</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finite-lived intangible assets are reviewed for impairment whenever events or changes in circumstances indicate that their carrying value may not be recoverable. To test our finite-lived intangible assets for impairment, we group assets and liabilities at the lowest level for which identifiable cash flows are largely independent of the cash flows of other assets and liabilities and evaluate the asset group against the sum of undiscounted future cash flows which are based on revenue growth estimates. If the undiscounted cash flows do not indicate the carrying amount of the asset is recoverable, an impairment charge is measured as the amount by which the carrying amount of the asset group exceeds its fair value based on discounted cash flows analysis or appraisals.</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impairment charges recorded for our intangible assets for the years ended December 31, 2025 and 2024.</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account for our investments in entities over which we have the ability to exercise significant influence, but do not control, under the equity method of accounting, and recognize our proportionate share of income or losses from the entity within other operating costs and expenses (income) in our consolidated statements of operations. The proportionate share of income or losses of an equity method investee is generally determined based on the investor’s proportional ownership interest. However, in cases where contractual agreements specify allocation ratios for profits and losses, specified costs and expenses, and/or distributions of cash from operations, that differ from our ownership interest, we use such specified allocation ratios for purposes of determining our share of income or losses from the investee if the agreement is considered substantive. As of December 31, 2025, we no longer have any investments accounted for under the equity method.</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Investments in entities in which we do not have the ability to exercise significant influence nor control, are generally required to be accounted for at fair value, with unrealized holding gains and losses included in earnings. However, we may elect to measure an equity security without a readily determinable fair value at adjusted cost, less impairment, plus or minus observable price changes of an identical or similar investment of the same issue.</w:t>
      </w:r>
    </w:p>
    <w:p>
      <w:pPr>
        <w:spacing w:after="0" w:line="180"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addition, we review our investments in unconsolidated affiliates that are not accounted for at fair value whenever there are indicators that their carrying value may not be recoverable; if a decrease in value of the investment has occurred and such decrease is determined to be other than temporary in nature, we record an impairment charge to reduce the carrying amount of the investment to its fair value.</w:t>
      </w:r>
    </w:p>
    <w:p>
      <w:pPr>
        <w:spacing w:after="0" w:line="18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2025, we recognized a $6.01 million loss related to our investments in unconsolidated affiliates (which was all related to IM Topco, LLC), comprised of a $0.21 million equity method loss, a $5.53 million further other-than-temporary impairment charge, and $0.27 million of other related costs and adjustments. As of and effective April 15, 2025, as a result of a transaction with other investors during which our equity ownership interest in IM Topco, LLC was reduced from 30% to 17.5%, we concluded that we no longer held significant influence over IM Topco, LLC, and discontinued the application of the equity method of accounting. Subsequently, on October 1, 2025, we disposed of all of our remaining equity interests in IM Topco, LLC.</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During the year ended December 31, 2024, we recognized a $11.84 million loss related to our investments in unconsolidated affiliates, comprised of a $1.88 million equity method loss, a $5.75 million other-than-temporary impairment charge, and a $4.21 million non-cash charge to recognize a contingent obligation related to certain contractual</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provisions related to IM Topco, LLC.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remaining carrying value of our investments in unconsolidated affiliates as of December 31, 2025 was zero.</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Income tax expense is the tax payable for the period and the change during the period in deferred tax assets and liabilities. Deferred income taxes are determined based on the temporary difference between the financial reporting and tax bases of assets and liabilities using enacted rates in effect during the year in which the differences are expected to reverse. Valuation allowances are established when necessary to reduce deferred tax assets to the amount expected to be realized. We consider forecasted earnings, future taxable income, and prudent and feasible tax planning strategies in determined the need for these valuation allowances.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With respect to any uncertainties in income taxes recognized in our financial statements, tax positions are initially recognized in the financial statements when it is more likely than not that the position will be sustained upon examination by the tax authorities. Such tax positions are initially and subsequently measured as the largest amount of tax benefit that has a probability of fifty percent or greater of being realized upon ultimate settlement with the tax authority, assuming full knowledge of the position and all relevant facts.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Summary of Operating Results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and related notes included elsewhere in this Form 10-K are as of or for the years ended December 31, 2025 (the “Current Year”), and December 31, 2024 (the “Prior Year”).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Net revenue decreased approximately $3.32 million to $4.94 million for the Current Year, from $8.26 million for the Prior Year.</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This decrease was primarily attributable to declines in licensing revenue of $2.97 million, which was predominantly driven by the June 30, 2024 divestiture of the Lori Goldstein brand and the subsequent loss of the licensing revenues associated with that brand; the remainder of the year-over-year decline in licensing revenue was largely driven by lower sales of branded products by our licensees mainly due to more cautious consumer spending in the current economic environment.</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Also contributing to the decrease in revenue from the Prior Year was the fact that in the Prior Year, we recognized $0.35 million of net product sales from the final sale of certain residual jewelry inventories and the sale of all remaining inventory related to the Longaberger brand, with no net product sales recognized in the Current Year.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Prior Year cost of goods sold was $0.45 million, stemming from the aforementioned final sale of certain residual jewelry inventories and the sale of all remaining inventory related to the Longaberger brand in the Prior Year. There were no comparable amounts recognized in the Current Year as we no longer directly sell any physical products under our current business operating model.</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Direct Operating Costs and Expenses</w:t>
      </w:r>
    </w:p>
    <w:p>
      <w:pPr>
        <w:spacing w:after="0" w:line="229" w:lineRule="exact"/>
        <w:rPr>
          <w:sz w:val="20"/>
          <w:szCs w:val="20"/>
          <w:color w:val="auto"/>
        </w:rPr>
      </w:pPr>
    </w:p>
    <w:p>
      <w:pPr>
        <w:jc w:val="both"/>
        <w:ind w:left="60" w:right="79"/>
        <w:spacing w:after="0" w:line="272" w:lineRule="auto"/>
        <w:rPr>
          <w:sz w:val="20"/>
          <w:szCs w:val="20"/>
          <w:color w:val="auto"/>
        </w:rPr>
      </w:pPr>
      <w:r>
        <w:rPr>
          <w:rFonts w:ascii="Times New Roman" w:cs="Times New Roman" w:eastAsia="Times New Roman" w:hAnsi="Times New Roman"/>
          <w:sz w:val="17"/>
          <w:szCs w:val="17"/>
          <w:color w:val="auto"/>
        </w:rPr>
        <w:t>Direct operating costs and expenses decreased approximately $4.19 million, from $12.76 million in the Prior Year to $8.57 million in the Current Year. This decrease was primarily attributable to (i) the 2023 restructuring and transformation of our business operating model, which included reductions in staffing levels as well as related reductions in other overhead costs,</w:t>
      </w:r>
    </w:p>
    <w:p>
      <w:pPr>
        <w:spacing w:after="0" w:line="2" w:lineRule="exact"/>
        <w:rPr>
          <w:sz w:val="20"/>
          <w:szCs w:val="20"/>
          <w:color w:val="auto"/>
        </w:rPr>
      </w:pPr>
    </w:p>
    <w:p>
      <w:pPr>
        <w:ind w:left="4420" w:right="1039" w:hanging="4370"/>
        <w:spacing w:after="0" w:line="761" w:lineRule="auto"/>
        <w:tabs>
          <w:tab w:leader="none" w:pos="321"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actions taken in 2024 to further optimize our cost structure (including the divestiture of the Lori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57785</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Goldstein Brand, which eliminated certain operating and compensation expenses), and (iii) the impact of the employee retention tax credit recognized in the Current Year.</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Costs and Expenses (Income)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Depreciation and amortization expense decreased approximately $1.36 million, from $4.95 million in the Prior Year to $3.59 million in the Current Year. This decrease was primarily attributable to the June 30, 2024 divestiture of the Lori Goldstein Brand, which included trademarks related to that brand with a net book value of approximately $1.93 million at the time of the divestiture.</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recognized losses related to our equity investments in unconsolidated affiliates of $6.01 million and $11.69 million for the Current Year and Prior Year, respectively. The Current Year loss was composed of (i) $0.21 million of equity method losses, (ii) a $5.53 million non-cash impairment charge related to the disposition of our remaining equity interest in IM Topco, which closed in October 2025, and (iii) $0.27 million of other related costs and expenses. The Prior Year amount was composed of (i) $1.73 million of equity method losses, (ii) a $4.21 million non-cash charge to recognize a contractual contingent obligation related to IM Topco, which was subsequently satisfied and discharged in April 2025, and (iii) a $5.75 million other-than-temporary impairment of our investment in IM Topco, stemming from a decline in the fair value of the investment as a result of decreases in IM Topco’s revenues and cash flows.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the Prior Year, we recognized asset impairment charges of $3.48 million related to our exit from and sublease of our office space at 1333 Broadway, of which approximately $3.1 million related to the operating lease right-of-use asset and approximately $0.4 million related to leasehold improvements at that location. There were no comparable asset impairment charges recognized during the Current Year.</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Also during the Prior Year, we recognized a $3.80 million gain on the divestiture of the Lori Goldstein Brand. The consideration received from this transaction was non-cash in nature, and consisted of approximately $6.08 million of relief from certain accrued earn-out payments and the release of contingent obligations under contractual agreements with the buyer. The net book value of the intangible assets sold was approximately $1.93 million, and we also incurred approximately $0.35 million of legal fees in connection with the sale. There were no comparable amounts recognized in the Current Year.</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and Finance Expense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Interest and finance expense for the Current Year was $4.27 million, compared with $0.93 million for the Prior Year.</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This $3.34 million increase was primarily attributable to the combination of (i) the $1.85 million loss on early extinguishment of debt recognized during the Current Year as a result of the April 2025 refinancing of our term loan debt, which was significantly higher than the $0.29 million loss on early extinguishment of debt recognized during the Prior Year, and (ii) the higher interest rates and higher principal balance on outstanding term loan debt in the Current Year as compared to the Prior Year.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 Provision</w:t>
      </w:r>
    </w:p>
    <w:p>
      <w:pPr>
        <w:spacing w:after="0" w:line="229"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The estimated annual effective income tax rate for the Current Year was less than -1%, resulting in an income tax provision of $0.08 million. During the Current Year, the effective tax rate differed from the federal statutory rate primarily due to the recording of a valuation allowance against the benefit that would have otherwise been recognized for the year, as it was considered not more likely than not that the net operating losses generated during the year will be utilized in future periods.</w:t>
      </w:r>
    </w:p>
    <w:p>
      <w:pPr>
        <w:spacing w:after="0" w:line="16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estimated annual effective income tax rate for the Prior Year was approximately -1%, resulting in an income tax provision of $0.22 million. During the Prior Year, the effective tax rate differed from the federal statutory rate primarily due to the recording of a valuation allowance against the benefit that would have otherwise been recognized for the year, as it was considered not more likely than not that the net operating losses generated during the year will be utilized in future periods.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Net Loss Attributable to Xcel Brands, Inc. Stockholders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had a net loss of approximately $17.5 million for the Current Year, compared with a net loss of approximately $22.4 million for the Prior Year, as a result of the factors discussed above.</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Non-GAAP Net Income, Non-GAAP Diluted EPS, and Adjusted EBITDA</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had a non-GAAP net loss of $5.2 million or $(1.52) per share (“non-GAAP diluted EPS”) based on 3,435,816 weighted average shares outstanding for the Current Year, compared with a non-GAAP net loss of $5.1 million or $(2.23) per share based on 2,275,332 weighted average shares outstanding for the Prior Year. Non-GAAP net income (loss) is a non-GAAP unaudited term, which we define as net income (loss) attributable to Xcel Brands, Inc. stockholders, exclusive of asset impairment charges (if any), amortization of trademarks, income (loss) from equity investments, stock-based compensation and cost of licensee warrants, loss on early extinguishment of debt (if any), gains on sales of assets and investments (if any), and income taxes. Non-GAAP net income (loss) and non-GAAP diluted EPS measures do not include the tax effect of the aforementioned adjusting items, due to the nature of these items and the Company’s tax strategy</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had Adjusted EBITDA of approximately $(2.3) million for the Current Year, compared with Adjusted EBITDA of approximately $(3.5) million for the Prior Year. Adjusted EBITDA is a non-GAAP unaudited measure, which we define as net income (loss) attributable to Xcel Brands, Inc. stockholders before interest and finance expenses (including loss on extinguishment of debt, if any), accretion of lease liability for exited leases, income taxes, other state and local franchise taxes, depreciation and amortization, income (loss) from equity investments, asset impairment charges (if any), stock-based compensation and cost of licensee warrants, gains on sales of assets and investments (if any), and costs associated with restructuring of operations (including operating losses generated by certain of our businesses that have been restructured or discontinued, as well as non-cash charges associated with the restructuring of certain contractual arrangements, and severance payments).</w:t>
      </w:r>
    </w:p>
    <w:p>
      <w:pPr>
        <w:spacing w:after="0" w:line="188"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Management uses non-GAAP net income, non-GAAP diluted EPS, and Adjusted EBITDA as measures of operating performance to assist in comparing performance from period to period on a consistent basis and to identify business trends relating to the Company’s results of operations. Management believes non-GAAP net income, non-GAAP diluted EPS, and Adjusted EBITDA are also useful because these measures adjust for certain costs and other events that management believes are not representative of our core business operating results, and thus these non-GAAP measures provide supplemental information to assist investors in evaluating the Company’s financial results.</w:t>
      </w:r>
    </w:p>
    <w:p>
      <w:pPr>
        <w:spacing w:after="0" w:line="18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Non-GAAP net income, non-GAAP diluted EPS, and Adjusted EBITDA should not be considered in isolation or as alternatives to net income, earnings per share, or any other measure of financial performance calculated and presented in accordance with GAAP. Given that non-GAAP net income, non-GAAP diluted EPS, and Adjusted EBITDA are financial measures not deemed to be in accordance with GAAP and are susceptible to varying calculations, our non-GAAP net income, non-GAAP diluted EPS, and Adjusted EBITDA may not be comparable to similarly titled measures of other companies, including companies in our industry, because other companies may calculate these measures in a different manner than we do.</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evaluating non-GAAP net income, non-GAAP diluted EPS, and Adjusted EBITDA, you should be aware that in the future we may or may not incur expenses similar to some of the adjustments in this report. Our presentation of non-GAAP net income, non-GAAP diluted EPS, and Adjusted EBITDA does not imply that our future results will be unaffected by these expenses or any unusual or non-recurring items. When evaluating our performance, you should consider non-GAAP net income, non-GAAP diluted EPS, and Adjusted EBITDA alongside other financial performance measures, including our net income and other GAAP results, and not rely on any single financial measure.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loss attributable to Xcel Brands, Inc. stockholders (our most directly comparable financial measure presented in accordance with GAAP) to non-GAAP net loss: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1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80" w:type="dxa"/>
            <w:vAlign w:val="bottom"/>
            <w:tcBorders>
              <w:bottom w:val="single" w:sz="8" w:color="auto"/>
            </w:tcBorders>
          </w:tcPr>
          <w:p>
            <w:pPr>
              <w:spacing w:after="0"/>
              <w:rPr>
                <w:sz w:val="15"/>
                <w:szCs w:val="15"/>
                <w:color w:val="auto"/>
              </w:rPr>
            </w:pPr>
          </w:p>
        </w:tc>
        <w:tc>
          <w:tcPr>
            <w:tcW w:w="2500" w:type="dxa"/>
            <w:vAlign w:val="bottom"/>
            <w:tcBorders>
              <w:bottom w:val="single" w:sz="8" w:color="auto"/>
            </w:tcBorders>
            <w:gridSpan w:val="5"/>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12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520" w:type="dxa"/>
            <w:vAlign w:val="bottom"/>
            <w:gridSpan w:val="2"/>
          </w:tcPr>
          <w:p>
            <w:pPr>
              <w:jc w:val="right"/>
              <w:ind w:right="296"/>
              <w:spacing w:after="0" w:line="142" w:lineRule="exact"/>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8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Xcel Brands, Inc. stockholders</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(22,395)</w:t>
            </w: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8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Amortization of trademarks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4,790</w:t>
            </w: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from equity investments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and cost of licensee warrants</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61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w:t>
            </w: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0" w:type="dxa"/>
            <w:vAlign w:val="bottom"/>
          </w:tcPr>
          <w:p>
            <w:pPr>
              <w:spacing w:after="0"/>
              <w:rPr>
                <w:sz w:val="1"/>
                <w:szCs w:val="1"/>
                <w:color w:val="auto"/>
              </w:rPr>
            </w:pPr>
          </w:p>
        </w:tc>
      </w:tr>
      <w:tr>
        <w:trPr>
          <w:trHeight w:val="216"/>
        </w:trPr>
        <w:tc>
          <w:tcPr>
            <w:tcW w:w="6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sales of assets and investments</w:t>
            </w: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w:t>
            </w:r>
          </w:p>
        </w:tc>
        <w:tc>
          <w:tcPr>
            <w:tcW w:w="0" w:type="dxa"/>
            <w:vAlign w:val="bottom"/>
          </w:tcPr>
          <w:p>
            <w:pPr>
              <w:spacing w:after="0"/>
              <w:rPr>
                <w:sz w:val="1"/>
                <w:szCs w:val="1"/>
                <w:color w:val="auto"/>
              </w:rPr>
            </w:pPr>
          </w:p>
        </w:tc>
      </w:tr>
      <w:tr>
        <w:trPr>
          <w:trHeight w:val="216"/>
        </w:trPr>
        <w:tc>
          <w:tcPr>
            <w:tcW w:w="61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0" w:type="dxa"/>
            <w:vAlign w:val="bottom"/>
          </w:tcPr>
          <w:p>
            <w:pPr>
              <w:spacing w:after="0"/>
              <w:rPr>
                <w:sz w:val="1"/>
                <w:szCs w:val="1"/>
                <w:color w:val="auto"/>
              </w:rPr>
            </w:pPr>
          </w:p>
        </w:tc>
      </w:tr>
      <w:tr>
        <w:trPr>
          <w:trHeight w:val="209"/>
        </w:trPr>
        <w:tc>
          <w:tcPr>
            <w:tcW w:w="6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loss</w:t>
            </w: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is a reconciliation of diluted loss per share to non-GAAP diluted EPS: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49" w:lineRule="exact"/>
        <w:rPr>
          <w:sz w:val="20"/>
          <w:szCs w:val="20"/>
          <w:color w:val="auto"/>
        </w:rPr>
      </w:pPr>
    </w:p>
    <w:p>
      <w:pPr>
        <w:ind w:left="60" w:right="360"/>
        <w:spacing w:after="0" w:line="268" w:lineRule="auto"/>
        <w:rPr>
          <w:sz w:val="20"/>
          <w:szCs w:val="20"/>
          <w:color w:val="auto"/>
        </w:rPr>
      </w:pPr>
      <w:r>
        <w:rPr>
          <w:rFonts w:ascii="Times New Roman" w:cs="Times New Roman" w:eastAsia="Times New Roman" w:hAnsi="Times New Roman"/>
          <w:sz w:val="18"/>
          <w:szCs w:val="18"/>
          <w:color w:val="auto"/>
        </w:rPr>
        <w:t>Diluted loss per share attributable to Xcel Brands, Inc. stockholders Asset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-281305</wp:posOffset>
            </wp:positionV>
            <wp:extent cx="564896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48960" cy="14605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1270</wp:posOffset>
            </wp:positionV>
            <wp:extent cx="564896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Amortization of trademarks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Loss from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Stock-based compensation and cost of licensee warrants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Loss on extinguishment of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4896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rPr>
          <w:sz w:val="20"/>
          <w:szCs w:val="20"/>
          <w:color w:val="auto"/>
        </w:rPr>
      </w:pPr>
      <w:r>
        <w:rPr>
          <w:rFonts w:ascii="Times New Roman" w:cs="Times New Roman" w:eastAsia="Times New Roman" w:hAnsi="Times New Roman"/>
          <w:sz w:val="18"/>
          <w:szCs w:val="18"/>
          <w:color w:val="auto"/>
        </w:rPr>
        <w:t>Gains on sales of assets and investments</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Income tax provision</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1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236"/>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r>
      <w:tr>
        <w:trPr>
          <w:trHeight w:val="191"/>
        </w:trPr>
        <w:tc>
          <w:tcPr>
            <w:tcW w:w="120" w:type="dxa"/>
            <w:vAlign w:val="bottom"/>
          </w:tcPr>
          <w:p>
            <w:pPr>
              <w:spacing w:after="0"/>
              <w:rPr>
                <w:sz w:val="16"/>
                <w:szCs w:val="16"/>
                <w:color w:val="auto"/>
              </w:rPr>
            </w:pPr>
          </w:p>
        </w:tc>
        <w:tc>
          <w:tcPr>
            <w:tcW w:w="280" w:type="dxa"/>
            <w:vAlign w:val="bottom"/>
            <w:tcBorders>
              <w:top w:val="single" w:sz="8" w:color="auto"/>
            </w:tcBorders>
          </w:tcPr>
          <w:p>
            <w:pPr>
              <w:jc w:val="right"/>
              <w:ind w:right="11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(5.08)</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Borders>
              <w:top w:val="single" w:sz="8" w:color="auto"/>
            </w:tcBorders>
          </w:tcPr>
          <w:p>
            <w:pPr>
              <w:jc w:val="right"/>
              <w:ind w:right="136"/>
              <w:spacing w:after="0" w:line="191" w:lineRule="exact"/>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(9.84)</w:t>
            </w:r>
          </w:p>
        </w:tc>
        <w:tc>
          <w:tcPr>
            <w:tcW w:w="20" w:type="dxa"/>
            <w:vAlign w:val="bottom"/>
          </w:tcPr>
          <w:p>
            <w:pPr>
              <w:spacing w:after="0"/>
              <w:rPr>
                <w:sz w:val="16"/>
                <w:szCs w:val="16"/>
                <w:color w:val="auto"/>
              </w:rPr>
            </w:pPr>
          </w:p>
        </w:tc>
      </w:tr>
      <w:tr>
        <w:trPr>
          <w:trHeight w:val="216"/>
        </w:trPr>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 w:type="dxa"/>
            <w:vAlign w:val="bottom"/>
          </w:tcPr>
          <w:p>
            <w:pPr>
              <w:spacing w:after="0"/>
              <w:rPr>
                <w:sz w:val="18"/>
                <w:szCs w:val="18"/>
                <w:color w:val="auto"/>
              </w:rPr>
            </w:pPr>
          </w:p>
        </w:tc>
      </w:tr>
      <w:tr>
        <w:trPr>
          <w:trHeight w:val="216"/>
        </w:trPr>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(1.67)</w:t>
            </w:r>
          </w:p>
        </w:tc>
      </w:tr>
      <w:tr>
        <w:trPr>
          <w:trHeight w:val="232"/>
        </w:trPr>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 w:type="dxa"/>
            <w:vAlign w:val="bottom"/>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2">
            <w:col w:w="5280" w:space="720"/>
            <w:col w:w="3019"/>
          </w:cols>
          <w:pgMar w:left="1440" w:top="513" w:right="1440" w:bottom="1440" w:gutter="0" w:footer="0" w:header="0"/>
          <w:type w:val="continuous"/>
        </w:sectPr>
      </w:pPr>
    </w:p>
    <w:tbl>
      <w:tblPr>
        <w:tblLayout w:type="fixed"/>
        <w:tblInd w:w="40" w:type="dxa"/>
        <w:tblCellMar>
          <w:top w:w="0" w:type="dxa"/>
          <w:left w:w="0" w:type="dxa"/>
          <w:bottom w:w="0" w:type="dxa"/>
          <w:right w:w="0" w:type="dxa"/>
        </w:tblCellMar>
      </w:tblPr>
      <w:tr>
        <w:trPr>
          <w:trHeight w:val="212"/>
        </w:trPr>
        <w:tc>
          <w:tcPr>
            <w:tcW w:w="6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diluted EPS</w:t>
            </w:r>
          </w:p>
        </w:tc>
        <w:tc>
          <w:tcPr>
            <w:tcW w:w="300" w:type="dxa"/>
            <w:vAlign w:val="bottom"/>
            <w:tcBorders>
              <w:top w:val="single" w:sz="8" w:color="auto"/>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Diluted weighted average shares outstanding</w:t>
            </w: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8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3,435,816</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2,275,332</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net loss attributable to Xcel Brands, Inc. stockholders (our most directly comparable financial measure presented in accordance with GAAP) to Adjusted EBITDA:</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60" w:type="dxa"/>
            <w:vAlign w:val="bottom"/>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5"/>
                <w:szCs w:val="15"/>
                <w:color w:val="auto"/>
              </w:rPr>
            </w:pPr>
          </w:p>
        </w:tc>
        <w:tc>
          <w:tcPr>
            <w:tcW w:w="2860" w:type="dxa"/>
            <w:vAlign w:val="bottom"/>
            <w:gridSpan w:val="7"/>
          </w:tcPr>
          <w:p>
            <w:pPr>
              <w:ind w:left="34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5480" w:type="dxa"/>
            <w:vAlign w:val="bottom"/>
            <w:vMerge w:val="continue"/>
          </w:tcPr>
          <w:p>
            <w:pPr>
              <w:spacing w:after="0"/>
              <w:rPr>
                <w:sz w:val="12"/>
                <w:szCs w:val="12"/>
                <w:color w:val="auto"/>
              </w:rPr>
            </w:pPr>
          </w:p>
        </w:tc>
        <w:tc>
          <w:tcPr>
            <w:tcW w:w="260" w:type="dxa"/>
            <w:vAlign w:val="bottom"/>
            <w:vMerge w:val="continue"/>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ind w:right="43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jc w:val="right"/>
              <w:ind w:right="276"/>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tcPr>
          <w:p>
            <w:pPr>
              <w:jc w:val="right"/>
              <w:ind w:right="4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 attributable to Xcel Brands, Inc. stockholders</w:t>
            </w:r>
          </w:p>
        </w:tc>
        <w:tc>
          <w:tcPr>
            <w:tcW w:w="2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(17,461)</w:t>
            </w:r>
          </w:p>
        </w:tc>
        <w:tc>
          <w:tcPr>
            <w:tcW w:w="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(22,395)</w:t>
            </w:r>
          </w:p>
        </w:tc>
        <w:tc>
          <w:tcPr>
            <w:tcW w:w="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finance expense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Accretion of lease liability for exited lease</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and local franchise taxes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equity investments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11,836</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impairment charges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3,483</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Stock-based compensation and cost of licensee warrants</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Gains on sales of assets and investments</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(3,801)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associated with restructuring of operations</w:t>
            </w:r>
          </w:p>
        </w:tc>
        <w:tc>
          <w:tcPr>
            <w:tcW w:w="2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(2,256)</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(3,453)</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As of December 31, 2025 and 2024, our unrestricted cash and cash equivalents were approximately $1.2 million and $1.3 million, respectively.</w:t>
      </w:r>
    </w:p>
    <w:p>
      <w:pPr>
        <w:sectPr>
          <w:pgSz w:w="11900" w:h="16838" w:orient="portrait"/>
          <w:cols w:equalWidth="0" w:num="1">
            <w:col w:w="9019"/>
          </w:cols>
          <w:pgMar w:left="1440" w:top="513" w:right="1440" w:bottom="1440" w:gutter="0" w:footer="0" w:header="0"/>
          <w:type w:val="continuous"/>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Restricted cash at December 31, 2025 was approximately $1.7 million, and consisted of (i) $0.7 million of cash deposited as collateral for a standby letter of credit associated with a real estate lease and (ii) $1.0 million of cash deposited in a bank account to satisfy a liquidity covenant in the Company’s term loan debt agreement. Restricted cash at December 31, 2024 consisted of $0.7 million of cash deposited as collateral for a standby letter of credit associated with a real estate lease.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principal capital requirements have generally been to fund working capital needs and acquire new brands. Our current “licensing plus” operating model is a working capital light business model, and generally does not require material capital expenditures. As of December 31, 2025, we have no significant commitments for future capital expenditures. Material cash requirements from known contractual and other obligations are discussed under “Obligations and Commitments” below.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working capital (which we calculate in a non-GAAP manner as current assets less current liabilities, excluding the current portions of lease obligations, deferred revenue, and any contingent obligations payable in shares) surplus/(deficit) was $(0.8) million and $0.8 million as of December 31, 2025 and 2024, respectively. Commentary on components of our cash flows for the Current Year compared with the Prior Year is set forth below.</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Net cash used in operating activities was approximately $7.0 million and $4.7 million in the Current Year and Prior Year, respectively.</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Current Year’s cash used in operating activities was primarily attributable to the combination of the net loss of $(17.6) million and a net change in operating assets and liabilities of approximately $(2.7) million, partially offset by non-cash items of approximately $13.3 million. Non-cash items were primarily comprised of, but not limited to, undistributed losses and other charges related to equity investments totaling $6.0 million, $3.6 million of depreciation and amortization, a $1.9 million loss on the early extinguishment of debt, and $1.2 million of non-cash interest and finance expenses (including paid in-kind interest, amortization of deferred finance costs, and other non-cash interest expense). The net change in operating assets and liabilities was mainly driven by paydown of accounts payable, accrued expenses, and other current operating liabilities, as well as the recognition of previously-deferred revenue amounts.</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Prior Year’s cash used in operating activities was primarily attributable to the combination of the net loss of $(22.6) million, partially offset by non-cash items of approximately $17.3 million and a net change in operating assets and liabilities of approximately $0.6 million. Non-cash items were primarily comprised of, but not limited to, undistributed losses and other charges related to equity investments totaling $11.8 million, $4.9 million of depreciation and amortization, $3.5 million of asset impairment charges, and $0.4 million of stock-based compensation and cost of licensee warrants, partially offset by a $(3.8) million gain on the divestiture of the Lori Goldstein brand. The net change in operating assets and liabilities was less significant, as the positive cash flow impacts from decreases in accounts receivable ($1.2 million) and inventory ($0.5 million) were largely offset by changes in deferred revenue and other current liabilities, along with changes in lease-related assets and liabilities.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Current Year and Prior Year was $0.01 million and $0.11 million, respectively, and was comprised of purchases of property and equipment.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for the Current Year was approximately $7.9 million. This was primarily attributable to the combination of $5.1 million of net proceeds generated from debt financing transactions (including approximately $2.1 million of proceeds received from the delayed draw portion of the Company’s December 2024 term loan agreement, and approximately $3.0 million of proceeds received from the April 2025 refinancing of our term loan debt) and $3.8 million of net proceeds generated from equity financing transactions (including approximately $2.0 million</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from public offering and private placement transactions in August 2025 and approximately $1.8 million from a private investment in public equity transaction in December 2025). Also during the Current Year, we made $0.75 million of principal payments on our term loan debt.</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Net cash provided by financing activities for the Prior Year was approximately $3.8 million. This was primarily attributable to approximately $2.8 million of net cash proceeds generated from the December 2024 refinancing of our term loan debt ($8.0 million of gross cash proceeds, less $4.25 million repayment of our previous term loan debt and the payment of $0.9 million of debt issuance costs) and $1.9 million of net proceeds generated by equity offering transactions undertaken during the first quarter of 2024. Also during the Prior Year, we made $0.75 million of scheduled principal payments on term loan debt.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March 2024 Public Offering and Private Placement Transactions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March 19, 2024, the Company closed on a public offering of 328,427 shares of common stock at an offering price of $6.50 per share and a private placement of 29,462 shares of common stock at an offering price of $9.80 per share. The aggregate number of shares of common stock issued from the public offering and the private placement was 357,889 shares and the total net proceeds received were approximately $1.9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August 2025 Public Offering and Private Placement Transactions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August 4, 2025, the Company closed on a public offering of 2,181,818 shares of common stock at an offering price of $1.10 per share and a private placement of 143,042 shares of common stock at an offering price of $1.38 per share. The aggregate number of shares of common stock issued from the public offering and the private placement was 2,324,860 shares and the total net proceeds received were approximately $2.0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December 2025 Private Investment in Public Equity Transaction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December 18, 2025, the Company closed on a transaction with several institutional and accredited investors for the issuance and sale in a private placement of securities, resulting in the issuance and sale of (i) 896,126 shares of the Company’s common stock, (ii) pre-funded warrants to purchase from the Company a total of 773,929 shares of common stock, at an exercise price per share equal to $0.001, and (iii) warrants to purchase from the Company a total of 835,023 shares of common stock, at an exercise price per share equal to $3.00. The aggregate net proceeds to the Company from the sale of the shares of common stock and pre-funded warrants, after deducting the placement agent fees and other estimated offering expenses payable by the Company, were approximately $1.8 million.</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Transactions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December 12, 2024, the Company and certain of its subsidiaries entered into a new loan and security agreement with FEAC Agent, LLC, as administrative agent and collateral agent, FEF Distributors, LLC, as lead arranger, and Restore Capital, LLC (“Restore”), as agent for certain lenders, pursuant to which the lenders made term loans to the Company and agreed to make additional term loans to the Company upon the satisfaction of a condition precedent described in the loan agreement. The term loans under the loan agreement are as follows: (1) a term loan in the amount of $3.95 million (“Term Loan A”) was made on the closing date, (2) a term loan in the amount of $4.0 million (“Term Loan B”) was made on the closing date, and (3) a term loan in the amount of $2.05 million (“Delayed Draw Term Loan”; Term Loan A, Term Loan B and Delayed Draw Term Loan are referred to as “Term Loans”) was subsequently made in March 2025. The proceeds from Term Loan A and Term Loan B were used to repay the remaining balance of the Company’s October 2023 term loan with IDB, as well as to pay fees, costs, and expenses incurred in connection with entering into the new loan agreement, and the balance may be used for working capital purposes. A portion of the proceeds from the Delayed Draw Term Loan were deposited in a bank account to satisfy a liquidity covenant in the loan agreement.</w:t>
      </w:r>
    </w:p>
    <w:p>
      <w:pPr>
        <w:spacing w:after="0" w:line="19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part of the December 12, 2024 financing transaction, IPX Capital, LLC (“IPX”), a company controlled by Robert W. D’Loren, Chairman and Chief Executive Officer of the Company, purchased a 12.5% undivided, last-out, subordinated participation interest in a portion of Term Loan B debt for a purchase price of $0.5 million, and received a pro rata share of warrants received by the Term Loan B Lenders to purchase shares of the Company’s common stock.</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April 21, 2025, the Company and certain of its subsidiaries and its lenders and FEAC Agent, LLC entered into an amendment of the December 12, 2024 loan and security agreement, which provided for a $1.5 million repayment of the $3.95 million Term Loan A, and an additional Term Loan B in the amount of $5.12 million. The term loans outstanding after giving effect to the April 21, 2025 amendment and the application of the proceeds of the additional Term Loan B were as follows: (1) Term Loan A in the amount of $4.50 million, and (2) Term Loan B in the amount of $9.12 million. The proceeds from the additional Term Loan B were used to repay a portion of Term Loan A, as well as to pay fees, costs, and expenses incurred in connection with entering into the April 21, 2025 amendment, with the balance to be used for working capital purposes.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connection with the April 21, 2025 amendment and refinancing transaction, UTG Capital, Inc., a Delaware corporation (UTG”), purchased a 100% undivided, participation interest in Term Loan B for a purchase price of $9.12 million. Also in connection with the refinancing, the Company issued certain warrants to UTG and Restore, and amended certain warrants that had been previously issued on December 12, 2024.</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Also on April 21, 2025 and in connection with the refinancing of the Company’s term loan debt, IPX’s participation in Term Loan B was repaid and IPX purchased a $0.5 million undivided, last-out, subordinated participation interest in Term Loan A.</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May 15, 2025, the Company repaid $0.5 million of the outstanding principal amount of Term Loan A.</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October 7, 2025, the Company and certain of its subsidiaries and its lenders and FEAC Agent, LLC entered into a further amendment of the December 12, 2024 loan and security agreement, pursuant to which the (i) the agents and lenders (as defined in the loan and security agreement) consented to the transfer and the release of the agents’ liens on the equity interests of IM Topco, LLC; (ii) the liquid asset covenant requirement was reduced to $1.0 million; and (iii) Xcel made a prepayment of $0.25 million against the outstanding principal amount of Term Loan A, of which $0.14 million was paid from the blocked account.</w:t>
      </w:r>
    </w:p>
    <w:p>
      <w:pPr>
        <w:spacing w:after="0" w:line="18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On November 18, 2025, the Company and certain of its subsidiaries and its lenders and FEAC Agent, LLC entered into the fourth amendment of the December 12, 2024 loan and security agreement, pursuant to which (i) the agents and lenders (as defined in the loan and security agreement) provided the Company with a limited waiver with respect to certain specified events of default, and also amended certain financial covenants related to the term loan agreement; (ii) the Company committed to make a prepayment of $3.25 million on Term Loan A by February 20, 2026, along with the payment of an amendment fee of $0.45 million (of which $0.125 million is payable on December 5, 2025 and the remaining $0.325 million would be due only if the $3.25 million principal amount of Term Loan A was not repaid on or prior to February 20, 2026); and (iii) the payment of the remaining principal balance on Term Loan A of $0.5 million was changed to be due on December 31, 2026 which shall be held by IPX. In addition, upon the repayment of the $3.25 million of Term Loan A, the Company will have revised financial covenants. The minimum revenue requirement for the rolling 12 months ending December 31, 2025 will be $3.9 million and $1.7 million for the Included Subsidiaries and Halston, respectively, each as defined in the loan agreements. Further, after the Term Loan A payment is made, the minimum revenue requirement covenants shall remain at these levels for the duration of the loans and the minimum liquidity requirement shall be zero, which includes the lenders’ release of $1.0 million of restricted cash within the blocked account back to the Company.</w:t>
      </w:r>
    </w:p>
    <w:p>
      <w:pPr>
        <w:spacing w:after="0" w:line="19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2025, $3.25 million of the principal amount on Term Loan A was due on February 20, 2026 (subsequently extended through the amendments discussed below), with the remaining $0.50 million of the principal amount on Term Loan A due on December 31, 2026 (subsequently extended to September 20, 2027 through the amendments discussed below). The principal amount on Term Loan B is due at the maturity date of December 12, 2028 along with all accumulated paid in-kind (“PIK”) interest; the total principal amount of Term Loan B plus accumulated PIK interest as of December 31, 2025 was approximately $9.8 million.</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February 20, 2026 and March 20, 2026, we entered into the fifth and sixth amendments to the loan and security agreement with the term loan debt lenders and FEAC Agent, LLC. Pursuant to such amendments, (i) the Company prepaid $500,000 on Term Loan A (paid from the Blocked Account, as defined in the loan and security agreement) in connection with the fifth amendment and irrevocably authorized FAEC Agent, LLC, as the administrative agent to transfer up to</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$500,000 (the “Sixth Amendment Cash Collateral”) from the Blocked Account to an account maintained by the Administrative Agent to be held as cash collateral securing the Obligations (as defined in the loan and security agreement);</w:t>
      </w:r>
    </w:p>
    <w:p>
      <w:pPr>
        <w:jc w:val="both"/>
        <w:ind w:left="60" w:right="59" w:hanging="10"/>
        <w:spacing w:after="0" w:line="252" w:lineRule="auto"/>
        <w:tabs>
          <w:tab w:leader="none" w:pos="3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irrevocably authorized the administrative agent to: (a) apply all or any portion of the Sixth Amendment Cash Collateral to repay the Term Loan A, or (b) return all or any portion of the Sixth Amendment Cash Collateral to the Company, in each case at the lenders’ sole discretion; (iii) the liquid asset covenant requirement was reduced to: (a) at all times prior to the repayment in full of the First Out Obligations (as defined in the loan and security agreement), $500,000 minus that amount of Sixth Amendment Cash Collateral used to repay Term Loan A, and (b) at all times after the repayment in full of the First Out Obligations, $0; and (iv) the transaction closing date was extended to March 24, 2026.</w:t>
      </w:r>
    </w:p>
    <w:p>
      <w:pPr>
        <w:spacing w:after="0" w:line="19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April 13, 2026, we entered into the seventh amendment to the loan and security agreement with the term loan debt lenders and FEAC Agent, LLC, which provided for, among other things: the ability of the Company to consummate the issuance of certain senior secured notes (as described below); the ability for IPX to convert its $500,000 Term Loan A to common shares of the Company at the price per share equal to $1.435, subject to adjustment; modifications to certain payment terms; modifications to certain financial covenants; modifications to certain financial reporting requirements; and the amendment of the FEAC Agent, LLC’s role to include certain limitations. In connection with the seventh amendment, FEAC Agent LLC’s affiliated lenders entered into agreements whereby a $500,000 portion of Term Loan A was sold and assigned to IPX, and the entirety of Term Loan B was sold and assigned to UTG. Additionally, the Company was relieved of its obligation to pay the remaining $325,000 amendment fee as specified in the fourth amendment.</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Also on April 13, 2026, the Company entered into certain agreements with Smithline Family Trust II (“SFT”), Quick Capital, LLC (“Quick”), and IPX (collectively, the “Purchasers”), pursuant to which the Company issued and sold to the Purchasers 12.5% Senior Secured Notes due April 13, 2027 in the original principal amount of $3,005,780 (the “Secured Notes”) and 100,579 shares of the Company’s common stock. The Secured Notes were issued with an original issue discount, such that the cash proceeds received by the Company were $2,600,000. The Company is required to make $100,000 monthly payments on the Secured Notes commencing October 13, 2026, with the balance due at maturity. The Company’s obligations under the Secured Notes are guaranteed by certain direct and indirect subsidiaries of the Company pursuant to a subsidiary guarantee, and are secured by the assets of the Company and the subsidiary guarantors pursuant to a security agreement.</w:t>
      </w:r>
    </w:p>
    <w:p>
      <w:pPr>
        <w:spacing w:after="0" w:line="188"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In the event that we fail in the future to satisfy other obligations under the agreements governing our indebtedness, including satisfying financial covenants, we would be in default with respect to that indebtedness and the lenders could declare such indebtedness to be immediately due and payable. Further, at any time after the occurrence of an event of default under the Secured Notes and for so long as such event of default is continuing, the Secured Notes (other than the Secured Note issued to IPX) are convertible into shares of common stock of the Company (i) initially at a fixed conversion price equal to $1.165 per share and (ii) after May 17, 2026, at a price equal to the lesser of (a) 85% multiplied by the lowest volume weighted average price of the common stock during the 10-trading day period prior to conversion and (b) $1.165. The Secured Note issued to IPX is convertible into shares of common stock of the Company initially at a fixed conversion price equal to $1.35 per share, subject to adjustment as set forth therein. In addition, to the extent that Company is listed on the Nasdaq Capital Market, the aggregate number of shares of common stock issuable to the Purchasers and any subsequent holder of the Secured Note shall not exceed 19.9% of the total number of shares of common stock outstanding or of the voting power of the common stock as of April 13, 2026 less the shares issued pursuant to the securities purchase agreement unless the Company has obtained stockholder approval in compliance with Nasdaq Listing Rule 5635(d) to authorize the issuance of shares of common stock in connection with the conversion or exchange of all Secured Notes. We also granted the Purchasers certain piggyback registration rights with respect to the shares of common stock issuable upon conversion of the Secured Notes.</w:t>
      </w:r>
    </w:p>
    <w:p>
      <w:pPr>
        <w:spacing w:after="0" w:line="19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Fees incurred in connection with the transactions described above were approximately $0.1 million.</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part of the transactions described above, IPX purchased $57,803 original principal amount of the Secured Notes and purchased 1,742 shares of common stock, on the same terms as the other Purchasers, except that the shares of common stock purchased by IPX were priced at current market value.</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net proceeds received from the April 13, 2026 issuance of the Secured Notes and shares as described above were used to repay $2.25 million of the Term Loan A debt, and an additional $1 million of the Term Loan A debt was paid with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Company’s restricted cash. As such, following the funding and completion of the transactions described above, the Company’s debt obligations will be as follows: (1) Senior Secured Notes in the principal amount of $2.6 million, with payments commencing October 13, 2026 and a maturity date of April 13, 2027, (2) Term Loan A in the principal amount of $0.5 million, payable on the maturity date of September 20, 2027, and (3) Term Loan B in the amount of $9.9 million, payable on the maturity date of December 12, 2028.</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Obligations and Commitments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Term Loan Debt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Refer to information outlined above.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Senior Secured Notes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Refer to information outlined above.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Lori Goldstein Earn-Out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the April 1, 2021 purchase of the Lori Goldstein trademarks, we had agreed to pay the seller additional cash consideration (the “Lori Goldstein Earn-Out”) of up to $12.5 million, based on royalties earned during the six calendar year period commencing in 2021. The Lori Goldstein Earn-Out was initially recorded as a liability of $6.6 million, based on the difference between the fair value of the acquired assets of the Lori Goldstein Brand and the total consideration paid. Through January 1, 2024, we paid $0.2 million to the seller, and as of January 1, 2024, the remaining balance of the contingent obligation was $6.4 million, of which approximately $1.03 million had been earned and was payable to the seller.</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2024, we paid approximately $0.3 million to the seller. However, as a result of the June 30, 2024 divestiture of the Lori Goldstein Brand, the seller waived its rights with respect to the Lori Goldstein Earn-Out amounts that had been previously earned and had not yet been paid, and terminated its rights to any future payments under the Lori Goldstein Earn-Out. As a result, we de-recognized approximately $1.03 million of accrued Lori Goldstein Earn-Out payments and the remaining balance of approximately $5.05 million of contingent obligations recorded on the Company’s balance sheet. As of December 31, 2024, there were no liability amounts remaining on the Company’s balance sheet related to the Lori Goldstein Earn-Out.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Isaac Mizrahi Transaction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Under the terms of the May 31, 2022 transaction related to the sale of a majority interest in the Isaac Mizrahi brand (as subsequently amended in 2023 and 2024), the Company had agreed with WHP (the buyer) that, in the event that the aggregate royalties received by IM Topco were less than $13.5 million for the twelve-month period ending March 31, 2025 or less than $18.0 million for the year ending December 31, 2025, Xcel was obligated to transfer equity interests in IM Topco to WHP equal to 12.5% of the total outstanding equity interests of IM Topco, such that Xcel’s ownership interest in IM Topco would decrease from 30% to 17.5%, and WHP’s ownership interest in IM Topco would increase from 70% to 82.5%.</w:t>
      </w:r>
    </w:p>
    <w:p>
      <w:pPr>
        <w:spacing w:after="0" w:line="18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2024, management concluded that, based on current trends in and projections of IM Topco’s royalty revenues as well as the Company’s decision to not make the certain additional royalty payments to IM Topco, it was virtually certain that the Company would be required to make such transfer of equity interests to WHP in 2025. As such, the Company estimated and recorded a contingent obligation of $4.21 million in the accompanying consolidated balance sheets, and recognized a corresponding non-cash charge in the consolidated statements of operations for the Prior Year.</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2025, the Company adjusted the carrying value of the contingent obligation to its estimated fair value of $3.97 million, and recognized a $(0.24) million credit in the consolidated statements of operations. On and effective April 15, 2025, such equity interests were transferred to WHP in full satisfaction and settlement of this contractual obligation, and the previously recorded liability was de-recognized by reducing the value of the asset for the investment in IM Topco.</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Real Estate Leases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currently party to a lease (as lessee) for approximately 29,600 square feet of office space at 1333 Broadway, 10th floor, New York, New York. This location represented our former corporate offices and operations facility, and our lease for this location expires on October 30, 2027. Future payments under this lease are expected to be approximately $1.55 million for the year ending December 31, 2026 and $1.29 million for the year ending December 31, 2027. We have subleased this office space to a third-party subtenant through October 30, 2027, for which we expect to receive cash from the subtenant of $0.86 million for the year ending December 31, 2026 and $0.51 million for the year ending December 31, 2027.</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We are also currently party to a lease (as lessee) for approximately 12,000 square feet of office space at 550 Seventh Avenue, 11th floor, New York, New York. This location represents our current corporate offices and operations facility, and our lease for this location expires in 2032. Future payments under this lease are expected to be approximately $0.51 million for the year ending December 31, 2026, $0.55 million for the year ending December 31, 2027, $0.57 million for the year ending December 31, 2028, $0.58 million for the year ending December 31, 2029, $0.60 million for the year ending December 31, 2030, $0.61 million for the year ending December 31, 2031, and $0.21 million for the year ending December 31, 2032.</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Employment Contracts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entered into contracts with certain executives and key employees. The future minimum compensation payments under these contracts are approximately $2.2 million, of which $2.0 million and $0.2 million is expected to be paid in 2026 and 2027,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material effect on our financial condition, results of operations, or liquidity.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Other Factors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continue to seek to expand and diversify the types of licensed products being produced under our brands. We plan to continue to diversify the distribution channels within which licensed products are sold, in an effort to reduce dependence on any particular retailer, consumer, or market sector within each of our brands. The Halston brand, C Wonder brand, and TowerHill by Christie Brinkley brand have a core business in fashion apparel and accessories. The Ripka brand is a fine jewelry business, and the Longaberger brand focuses on home good products, which we believe helps diversify our industry focus while at the same time complements our business operations and relationships.</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While the 2022 sale of a majority interest in the Isaac Mizrahi brand resulted in a substantial decrease in our licensing revenues, as that brand represented a significant portion of our historical licensing revenues, and the 2024 divestiture of the LOGO by Lori Goldstein brand also resulted in a notable decrease in our licensing revenues, we have taken and continue to take actions to replace those revenues with new strategic business initiatives, as we concentrate our resources on growing our brands, launching new brands, and entering into new business partnerships. We continue to seek new opportunities, including expansion through interactive television, live streaming, and additional domestic and international licensing arrangements, and acquiring and collaborating with additional brands. The successful launch of the TowerHill by Christie Brinkley brand in 2024 is an example of this. In Spring 2026, we plan to launch the Trust-Respect-Love by Cesar Millan brand, which will expand and diversify our licensed products into the pet products sector, and the GemmaMade by Gemma Stafford and Mesa Mia by Jenny Martinez brands, which will expand and diversify our licensed products into baking, cooking, and food-related products sector.</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During 2023 and 2024, we restructured our business by shifting from a wholesale/licensing hybrid model to a “licensing plus” business model, divesting certain brands, and undertaking various cost-cutting measures to more efficiently operate our business and reduce and better manage our exposure to operating risks. During 2025, we continued to implement additional measures to further optimize our cost structure. As a result, we have reduced our direct operating expenses to</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an expected run rate of less than $10 million per annum, which represents approximately $21 million of cost savings on an annualized basis compared to our cost structure in 2022.</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Nonetheless, we continue to face a number of headwinds in the current macroeconomic environment. Poor economic and market conditions, including the cumulative impacts of inflation and rising consumer debt levels, along with the impact of tariffs on goods imported into the U.S., may negatively impact consumer sentiment, decreasing the demand for apparel, footwear, accessories, fine jewelry, home goods, and other consumer products, which would adversely affect our operating income and results of operations. If we are unable to take effective measures in a timely manner to mitigate the impact of these conditions and/or a potential recession, our business, financial condition, and results of operations could be adversely affected.</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Our long-term success, however, will still remain largely dependent on our ability to build and maintain our brands’ awareness and attract customers, and contract with and retain key licensees and business partners, as well as our and our licensees’ ability to accurately predict upcoming fashion and design trends within their respective customer bases and fulfill the product requirements of the particular retail channels within the global marketplace. Unanticipated changes in consumer fashion preferences and purchasing patterns, slowdowns in the U.S. economy, and other factors noted in the section captioned “Risk Factors” could adversely affect our licensees’ ability to meet and/or exceed their contractual commitments to us and thereby adversely affect our future operating results.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774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32"/>
        </w:trPr>
        <w:tc>
          <w:tcPr>
            <w:tcW w:w="77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Not applicable.</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32"/>
        </w:trPr>
        <w:tc>
          <w:tcPr>
            <w:tcW w:w="7740" w:type="dxa"/>
            <w:vAlign w:val="bottom"/>
            <w:gridSpan w:val="8"/>
          </w:tcPr>
          <w:p>
            <w:pPr>
              <w:ind w:left="20"/>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45"/>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18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Page</w:t>
            </w:r>
          </w:p>
        </w:tc>
      </w:tr>
      <w:tr>
        <w:trPr>
          <w:trHeight w:val="385"/>
        </w:trPr>
        <w:tc>
          <w:tcPr>
            <w:tcW w:w="20" w:type="dxa"/>
            <w:vAlign w:val="bottom"/>
          </w:tcPr>
          <w:p>
            <w:pPr>
              <w:spacing w:after="0"/>
              <w:rPr>
                <w:sz w:val="24"/>
                <w:szCs w:val="24"/>
                <w:color w:val="auto"/>
              </w:rPr>
            </w:pPr>
          </w:p>
        </w:tc>
        <w:tc>
          <w:tcPr>
            <w:tcW w:w="77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Report of Independent Registered Public Accounting Firm</w:t>
            </w:r>
            <w:r>
              <w:rPr>
                <w:rFonts w:ascii="Times New Roman" w:cs="Times New Roman" w:eastAsia="Times New Roman" w:hAnsi="Times New Roman"/>
                <w:sz w:val="18"/>
                <w:szCs w:val="18"/>
                <w:color w:val="000000"/>
              </w:rPr>
              <w:t>s (PCAOB ID: 392 and PCAOB ID: 688)</w:t>
            </w:r>
          </w:p>
        </w:tc>
        <w:tc>
          <w:tcPr>
            <w:tcW w:w="640" w:type="dxa"/>
            <w:vAlign w:val="bottom"/>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196"/>
        </w:trPr>
        <w:tc>
          <w:tcPr>
            <w:tcW w:w="20" w:type="dxa"/>
            <w:vAlign w:val="bottom"/>
          </w:tcPr>
          <w:p>
            <w:pPr>
              <w:spacing w:after="0"/>
              <w:rPr>
                <w:sz w:val="17"/>
                <w:szCs w:val="17"/>
                <w:color w:val="auto"/>
              </w:rPr>
            </w:pPr>
          </w:p>
        </w:tc>
        <w:tc>
          <w:tcPr>
            <w:tcW w:w="422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Consolidated Balance Sheets</w:t>
            </w:r>
          </w:p>
        </w:tc>
        <w:tc>
          <w:tcPr>
            <w:tcW w:w="3500" w:type="dxa"/>
            <w:vAlign w:val="bottom"/>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53</w:t>
            </w:r>
          </w:p>
        </w:tc>
      </w:tr>
      <w:tr>
        <w:trPr>
          <w:trHeight w:val="20"/>
        </w:trPr>
        <w:tc>
          <w:tcPr>
            <w:tcW w:w="2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Operations</w:t>
            </w:r>
          </w:p>
        </w:tc>
        <w:tc>
          <w:tcPr>
            <w:tcW w:w="1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54</w:t>
            </w:r>
          </w:p>
        </w:tc>
      </w:tr>
      <w:tr>
        <w:trPr>
          <w:trHeight w:val="20"/>
        </w:trPr>
        <w:tc>
          <w:tcPr>
            <w:tcW w:w="2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8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Stockholders’ Equity</w:t>
            </w:r>
          </w:p>
        </w:tc>
        <w:tc>
          <w:tcPr>
            <w:tcW w:w="1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55</w:t>
            </w:r>
          </w:p>
        </w:tc>
      </w:tr>
      <w:tr>
        <w:trPr>
          <w:trHeight w:val="196"/>
        </w:trPr>
        <w:tc>
          <w:tcPr>
            <w:tcW w:w="20" w:type="dxa"/>
            <w:vAlign w:val="bottom"/>
          </w:tcPr>
          <w:p>
            <w:pPr>
              <w:spacing w:after="0"/>
              <w:rPr>
                <w:sz w:val="17"/>
                <w:szCs w:val="17"/>
                <w:color w:val="auto"/>
              </w:rPr>
            </w:pPr>
          </w:p>
        </w:tc>
        <w:tc>
          <w:tcPr>
            <w:tcW w:w="3540" w:type="dxa"/>
            <w:vAlign w:val="bottom"/>
            <w:tcBorders>
              <w:top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rPr>
              <w:t>Consolidated Statements of Cash Flows</w:t>
            </w:r>
          </w:p>
        </w:tc>
        <w:tc>
          <w:tcPr>
            <w:tcW w:w="4180" w:type="dxa"/>
            <w:vAlign w:val="bottom"/>
            <w:gridSpan w:val="2"/>
          </w:tcPr>
          <w:p>
            <w:pPr>
              <w:spacing w:after="0"/>
              <w:rPr>
                <w:sz w:val="17"/>
                <w:szCs w:val="17"/>
                <w:color w:val="auto"/>
              </w:rPr>
            </w:pPr>
          </w:p>
        </w:tc>
        <w:tc>
          <w:tcPr>
            <w:tcW w:w="1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56</w:t>
            </w:r>
          </w:p>
        </w:tc>
      </w:tr>
      <w:tr>
        <w:trPr>
          <w:trHeight w:val="20"/>
        </w:trPr>
        <w:tc>
          <w:tcPr>
            <w:tcW w:w="2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80" w:type="dxa"/>
            <w:vAlign w:val="bottom"/>
            <w:gridSpan w:val="3"/>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72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11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57</w:t>
            </w:r>
          </w:p>
        </w:tc>
      </w:tr>
      <w:tr>
        <w:trPr>
          <w:trHeight w:val="898"/>
        </w:trPr>
        <w:tc>
          <w:tcPr>
            <w:tcW w:w="20" w:type="dxa"/>
            <w:vAlign w:val="bottom"/>
          </w:tcPr>
          <w:p>
            <w:pPr>
              <w:spacing w:after="0"/>
              <w:rPr>
                <w:sz w:val="24"/>
                <w:szCs w:val="24"/>
                <w:color w:val="auto"/>
              </w:rPr>
            </w:pPr>
          </w:p>
        </w:tc>
        <w:tc>
          <w:tcPr>
            <w:tcW w:w="3140" w:type="dxa"/>
            <w:vAlign w:val="bottom"/>
            <w:tcBorders>
              <w:top w:val="single" w:sz="8" w:color="0000EE"/>
            </w:tcBorders>
            <w:gridSpan w:val="4"/>
          </w:tcPr>
          <w:p>
            <w:pPr>
              <w:spacing w:after="0"/>
              <w:rPr>
                <w:sz w:val="24"/>
                <w:szCs w:val="24"/>
                <w:color w:val="auto"/>
              </w:rPr>
            </w:pPr>
          </w:p>
        </w:tc>
        <w:tc>
          <w:tcPr>
            <w:tcW w:w="4580" w:type="dxa"/>
            <w:vAlign w:val="bottom"/>
            <w:gridSpan w:val="3"/>
          </w:tcPr>
          <w:p>
            <w:pPr>
              <w:jc w:val="right"/>
              <w:ind w:right="3180"/>
              <w:spacing w:after="0"/>
              <w:rPr>
                <w:sz w:val="20"/>
                <w:szCs w:val="20"/>
                <w:color w:val="auto"/>
              </w:rPr>
            </w:pPr>
            <w:r>
              <w:rPr>
                <w:rFonts w:ascii="Times New Roman" w:cs="Times New Roman" w:eastAsia="Times New Roman" w:hAnsi="Times New Roman"/>
                <w:sz w:val="18"/>
                <w:szCs w:val="18"/>
                <w:color w:val="auto"/>
              </w:rPr>
              <w:t>48</w:t>
            </w: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To the Board of Directors and Stockholders of Xcel Brands, Inc. and Subsidiaries</w:t>
      </w:r>
    </w:p>
    <w:p>
      <w:pPr>
        <w:spacing w:after="0" w:line="2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Opinion on the Financial Statements</w:t>
      </w:r>
    </w:p>
    <w:p>
      <w:pPr>
        <w:spacing w:after="0" w:line="225" w:lineRule="exact"/>
        <w:rPr>
          <w:sz w:val="20"/>
          <w:szCs w:val="20"/>
          <w:color w:val="auto"/>
        </w:rPr>
      </w:pPr>
    </w:p>
    <w:p>
      <w:pPr>
        <w:jc w:val="both"/>
        <w:ind w:left="60" w:right="59"/>
        <w:spacing w:after="0" w:line="272" w:lineRule="auto"/>
        <w:rPr>
          <w:sz w:val="20"/>
          <w:szCs w:val="20"/>
          <w:color w:val="auto"/>
        </w:rPr>
      </w:pPr>
      <w:r>
        <w:rPr>
          <w:rFonts w:ascii="Times New Roman" w:cs="Times New Roman" w:eastAsia="Times New Roman" w:hAnsi="Times New Roman"/>
          <w:sz w:val="16"/>
          <w:szCs w:val="16"/>
          <w:color w:val="auto"/>
        </w:rPr>
        <w:t>We have audited the accompanying consolidated balance sheet of Xcel Brands, Inc. and Subsidiaries (the “Company”) as of December 31, 2025, the related consolidated statement of operations, stockholders' equity, and cash flows for the year then ended,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then ended, in conformity with accounting principles generally accepted in the United States of America.</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Explanatory Paragraph – Going Concern</w:t>
      </w:r>
    </w:p>
    <w:p>
      <w:pPr>
        <w:spacing w:after="0" w:line="225" w:lineRule="exact"/>
        <w:rPr>
          <w:sz w:val="20"/>
          <w:szCs w:val="20"/>
          <w:color w:val="auto"/>
        </w:rPr>
      </w:pPr>
    </w:p>
    <w:p>
      <w:pPr>
        <w:jc w:val="both"/>
        <w:ind w:left="60" w:right="59"/>
        <w:spacing w:after="0" w:line="272" w:lineRule="auto"/>
        <w:rPr>
          <w:sz w:val="20"/>
          <w:szCs w:val="20"/>
          <w:color w:val="auto"/>
        </w:rPr>
      </w:pPr>
      <w:r>
        <w:rPr>
          <w:rFonts w:ascii="Times New Roman" w:cs="Times New Roman" w:eastAsia="Times New Roman" w:hAnsi="Times New Roman"/>
          <w:sz w:val="16"/>
          <w:szCs w:val="16"/>
          <w:color w:val="auto"/>
        </w:rPr>
        <w:t>The accompanying financial statements have been prepared assuming that the Company will continue as a going concern. As more fully described in Note 1,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Basis for Opinion</w:t>
      </w:r>
    </w:p>
    <w:p>
      <w:pPr>
        <w:spacing w:after="0" w:line="225" w:lineRule="exact"/>
        <w:rPr>
          <w:sz w:val="20"/>
          <w:szCs w:val="20"/>
          <w:color w:val="auto"/>
        </w:rPr>
      </w:pPr>
    </w:p>
    <w:p>
      <w:pPr>
        <w:jc w:val="both"/>
        <w:ind w:left="60" w:right="59"/>
        <w:spacing w:after="0" w:line="275" w:lineRule="auto"/>
        <w:rPr>
          <w:sz w:val="20"/>
          <w:szCs w:val="20"/>
          <w:color w:val="auto"/>
        </w:rPr>
      </w:pPr>
      <w:r>
        <w:rPr>
          <w:rFonts w:ascii="Times New Roman" w:cs="Times New Roman" w:eastAsia="Times New Roman" w:hAnsi="Times New Roman"/>
          <w:sz w:val="16"/>
          <w:szCs w:val="16"/>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69" w:lineRule="exact"/>
        <w:rPr>
          <w:sz w:val="20"/>
          <w:szCs w:val="20"/>
          <w:color w:val="auto"/>
        </w:rPr>
      </w:pPr>
    </w:p>
    <w:p>
      <w:pPr>
        <w:jc w:val="both"/>
        <w:ind w:left="60" w:right="59"/>
        <w:spacing w:after="0" w:line="272" w:lineRule="auto"/>
        <w:rPr>
          <w:sz w:val="20"/>
          <w:szCs w:val="20"/>
          <w:color w:val="auto"/>
        </w:rPr>
      </w:pPr>
      <w:r>
        <w:rPr>
          <w:rFonts w:ascii="Times New Roman" w:cs="Times New Roman" w:eastAsia="Times New Roman" w:hAnsi="Times New Roman"/>
          <w:sz w:val="16"/>
          <w:szCs w:val="16"/>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2" w:lineRule="exact"/>
        <w:rPr>
          <w:sz w:val="20"/>
          <w:szCs w:val="20"/>
          <w:color w:val="auto"/>
        </w:rPr>
      </w:pPr>
    </w:p>
    <w:p>
      <w:pPr>
        <w:jc w:val="both"/>
        <w:ind w:left="60" w:right="59"/>
        <w:spacing w:after="0" w:line="272" w:lineRule="auto"/>
        <w:rPr>
          <w:sz w:val="20"/>
          <w:szCs w:val="20"/>
          <w:color w:val="auto"/>
        </w:rPr>
      </w:pPr>
      <w:r>
        <w:rPr>
          <w:rFonts w:ascii="Times New Roman" w:cs="Times New Roman" w:eastAsia="Times New Roman" w:hAnsi="Times New Roman"/>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i w:val="1"/>
          <w:iCs w:val="1"/>
          <w:color w:val="auto"/>
        </w:rPr>
        <w:t>Critical Audit Matters</w:t>
      </w:r>
    </w:p>
    <w:p>
      <w:pPr>
        <w:spacing w:after="0" w:line="225"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6"/>
          <w:szCs w:val="16"/>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w:t>
      </w:r>
    </w:p>
    <w:p>
      <w:pPr>
        <w:spacing w:after="0" w:line="16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We have determined that there are no critical audit matters in the current period.</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We have served as the Company's auditor since 2025.</w:t>
      </w:r>
    </w:p>
    <w:p>
      <w:pPr>
        <w:spacing w:after="0" w:line="200" w:lineRule="exact"/>
        <w:rPr>
          <w:sz w:val="20"/>
          <w:szCs w:val="20"/>
          <w:color w:val="auto"/>
        </w:rPr>
      </w:pPr>
    </w:p>
    <w:p>
      <w:pPr>
        <w:spacing w:after="0" w:line="22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/s/ Wolf &amp; Company, P.C.</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Wolf &amp; Company, P.C.</w:t>
      </w:r>
    </w:p>
    <w:p>
      <w:pPr>
        <w:spacing w:after="0" w:line="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Boston, Massachusetts</w:t>
      </w:r>
    </w:p>
    <w:p>
      <w:pPr>
        <w:spacing w:after="0" w:line="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April 14, 2026</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To the Stockholders and Board of Directors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Xcel Brands, Inc. and Subsidiaries</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Opinion on the Financial Statements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 of Xcel Brands, Inc. and Subsidiaries (the “Company”) as of December 31, 2024, the related consolidated statement of operations, stockholders’ equity and cash flows for the year then ended, and the related notes (collectively referred to as the “financial statements”). In our opinion, the financial statements present fairly, in all material respects, the financial position of the Company as of December 31, 2024, and the results of its operations and its cash flows for the year then ended, in conformity with accounting principles generally accepted in the United States of America.</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Explanatory Paragraph – Going Concern</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Basis for Opinion</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3"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Critical Audit Matters</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critical audit matters communicated below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matters below, providing separate opinions on the critical audit matters or on the accounts or disclosures to which they relate.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Finite-Lived Trademarks and Other Intangible Assets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described further in Note 4 to the financial statements, the carrying amount of finite-lived trademarks and other intangible assets was $34.8 million as of December 31, 2024. Under the applicable accounting guidance, these assets shall be tested for recoverability whenever events or changes in circumstances indicate that carrying amounts may not be recoverable. Management has concluded that these assets are not impaired as of December 31, 2024.</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determined the Company’s ability to assess if their trademark and other intangible assets are impaired as a critical audit matter due to the estimation and uncertainty regarding the Company’s ability to generate sufficient undiscounted cash flows to be in excess of the carrying value of the reported value of the assets. The Company evaluates its trademark and other intangible assets for impairment annually or when events are triggered by economic conditions. These events require the management to compare the carrying values to their estimated fair values as of the evaluation date. The Company uses the income approach using an undiscounted cash flow model to value the trademark and other intangible assets. If the carrying value of this asset is considered to be impaired, the impairment to be recognized is measured as the amount by which the carrying amount of the asset exceeds fair value.</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Auditing the Company’s trademark and other intangible asset impairment is complex and subjective due to the significant estimation required to determine the forecasted cash flows used in the Company’s evaluation. Specifically, the forecasted cash flows are sensitive to significant assumptions such as revenue growth rates and expenses over the estimated useful life all of which are affected by expected future market or economic conditions, and other factors.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 the following, among others:</w:t>
      </w:r>
    </w:p>
    <w:p>
      <w:pPr>
        <w:spacing w:after="0" w:line="225" w:lineRule="exact"/>
        <w:rPr>
          <w:sz w:val="20"/>
          <w:szCs w:val="20"/>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assessment of events and changes in circumstances, which required a more detailed evaluation of undiscounted cash flows.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obtained management’s forecasts of undiscounted cash flows, and assumptions utilized in developing such forecasts.</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management’s forecasts and key assumptions utilized to arrive at undiscounted cash flows.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sensitivity analysis of management’s forecasts and key assumptions used to arrive at undiscounted cash flows.</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compared undiscounted cash flows to the carrying amounts of the respective assets and determined in all cases that undiscounted cash flows exceeded the carrying amounts.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Investment in IM Topco, LLC</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Critical Audit Matter Description</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 described further in Note 3 to the financial statements, the Company’s investment in IM Topco, LLC was $10.1 million as of December 31, 2024. The Company’s investment in IM Topco, LLC is reviewed for impairment whenever there are indicators that their carrying value may not be recoverable; if a decrease in value of the investment has occurred and such decrease is determined to be other than temporary in nature, the Company shall record an impairment charge to reduce the carrying amount of the investment to its fair value. During the year ended December 31, 2024, the Company recognized $9.96 million of other non-cash charges related to IM Topco, LLC including (i) a $4.21 million non-cash charge to recognize the estimated value of their contractual obligation to transfer a portion of their equity ownership interests in IM</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Topco, LLC to WHP in 2025, and (ii) a $5.75 million non-cash charge for the other-than-temporary impairment of their investment in IM Topco, LLC.</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How the Critical Audit Matter was Addressed in the Audit</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We determined the Company’s ability to assess if their Investment in IM Topco, LLC is impaired as a critical audit matter due to the estimation and uncertainty regarding the Company’s ability to generate sufficient undiscounted cash flows to be in excess of the carrying value of the reported value of the investment. The Company’s investments in unconsolidated affiliates are reviewed for impairment whenever there are indicators that their carrying value may not be recoverable; if a decrease in value of the investment has occurred and such decrease is determined to be other than temporary in nature, the Company shall record an impairment charge to reduce the carrying amount of the investment to its fair value. These events require the management to compare the carrying values to their estimated fair values as of the evaluation date. The Company uses the income approach using a discounted cash flow model to value the investment. If the carrying value of this investment is considered to be impaired, the impairment to be recognized is measured as the amount by which the carrying amount of the impairment exceeds fair value.</w:t>
      </w:r>
    </w:p>
    <w:p>
      <w:pPr>
        <w:spacing w:after="0" w:line="194"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Auditing the Company’s Investment in IM Topco, LLC impairment is complex and subjective due to the significant estimation required to determine the forecasted cash flows used in the Company’s evaluation. Specifically, the forecasted cash flows are sensitive to significant assumptions such as revenue growth rates, including the terminal growth rates, margins, expenses, and discount rates, all of which are affected by expected future market or economic conditions. In addition, our audit effort involved the use of professionals within our firm with specialized skill and knowledge in valuation methods and models.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 the following, among others:</w:t>
      </w:r>
    </w:p>
    <w:p>
      <w:pPr>
        <w:spacing w:after="0" w:line="225" w:lineRule="exact"/>
        <w:rPr>
          <w:sz w:val="20"/>
          <w:szCs w:val="20"/>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Company’s forecasted revenue</w:t>
      </w:r>
    </w:p>
    <w:p>
      <w:pPr>
        <w:spacing w:after="0" w:line="225"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the guideline companies used that operated in similar industries.</w:t>
      </w:r>
    </w:p>
    <w:p>
      <w:pPr>
        <w:spacing w:after="0" w:line="22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evaluated whether the Company used the appropriate modified capital asset pricing model and a weighted average cost of capital.</w:t>
      </w:r>
    </w:p>
    <w:p>
      <w:pPr>
        <w:spacing w:after="0" w:line="161"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independent calculations to evaluate the sensitivity of the key assumptions used by management.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 Marcum LLP</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Marcum LLP</w:t>
      </w:r>
    </w:p>
    <w:p>
      <w:pPr>
        <w:spacing w:after="0" w:line="200" w:lineRule="exact"/>
        <w:rPr>
          <w:sz w:val="20"/>
          <w:szCs w:val="20"/>
          <w:color w:val="auto"/>
        </w:rPr>
      </w:pPr>
    </w:p>
    <w:p>
      <w:pPr>
        <w:spacing w:after="0" w:line="3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New York, NY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May 27,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780" w:type="dxa"/>
            <w:vAlign w:val="bottom"/>
          </w:tcPr>
          <w:p>
            <w:pPr>
              <w:ind w:left="56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340" w:type="dxa"/>
            <w:vAlign w:val="bottom"/>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13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122"/>
        </w:trPr>
        <w:tc>
          <w:tcPr>
            <w:tcW w:w="5780" w:type="dxa"/>
            <w:vAlign w:val="bottom"/>
            <w:tcBorders>
              <w:top w:val="single" w:sz="8" w:color="CCEEFF"/>
              <w:bottom w:val="single" w:sz="8" w:color="CCEEFF"/>
            </w:tcBorders>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b w:val="1"/>
                <w:bCs w:val="1"/>
                <w:color w:val="auto"/>
              </w:rPr>
              <w:t>Assets</w:t>
            </w: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1340" w:type="dxa"/>
            <w:vAlign w:val="bottom"/>
            <w:tcBorders>
              <w:top w:val="single" w:sz="8" w:color="auto"/>
              <w:bottom w:val="single" w:sz="8" w:color="CCEEFF"/>
            </w:tcBorders>
            <w:shd w:val="clear" w:color="auto" w:fill="CCEEFF"/>
          </w:tcPr>
          <w:p>
            <w:pPr>
              <w:spacing w:after="0"/>
              <w:rPr>
                <w:sz w:val="10"/>
                <w:szCs w:val="10"/>
                <w:color w:val="auto"/>
              </w:rPr>
            </w:pPr>
          </w:p>
        </w:tc>
        <w:tc>
          <w:tcPr>
            <w:tcW w:w="200" w:type="dxa"/>
            <w:vAlign w:val="bottom"/>
            <w:tcBorders>
              <w:top w:val="single" w:sz="8" w:color="CCEEFF"/>
              <w:bottom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top w:val="single" w:sz="8" w:color="auto"/>
              <w:bottom w:val="single" w:sz="8" w:color="CCEEFF"/>
            </w:tcBorders>
            <w:shd w:val="clear" w:color="auto" w:fill="CCEEFF"/>
          </w:tcPr>
          <w:p>
            <w:pPr>
              <w:spacing w:after="0"/>
              <w:rPr>
                <w:sz w:val="10"/>
                <w:szCs w:val="10"/>
                <w:color w:val="auto"/>
              </w:rPr>
            </w:pPr>
          </w:p>
        </w:tc>
        <w:tc>
          <w:tcPr>
            <w:tcW w:w="1340" w:type="dxa"/>
            <w:vAlign w:val="bottom"/>
            <w:tcBorders>
              <w:top w:val="single" w:sz="8" w:color="auto"/>
              <w:bottom w:val="single" w:sz="8" w:color="CCEEFF"/>
            </w:tcBorders>
            <w:shd w:val="clear" w:color="auto" w:fill="CCEEFF"/>
          </w:tcPr>
          <w:p>
            <w:pPr>
              <w:spacing w:after="0"/>
              <w:rPr>
                <w:sz w:val="10"/>
                <w:szCs w:val="10"/>
                <w:color w:val="auto"/>
              </w:rPr>
            </w:pPr>
          </w:p>
        </w:tc>
        <w:tc>
          <w:tcPr>
            <w:tcW w:w="40" w:type="dxa"/>
            <w:vAlign w:val="bottom"/>
          </w:tcPr>
          <w:p>
            <w:pPr>
              <w:spacing w:after="0" w:line="11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 Assets:</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spacing w:after="0"/>
              <w:rPr>
                <w:sz w:val="12"/>
                <w:szCs w:val="12"/>
                <w:color w:val="auto"/>
              </w:rPr>
            </w:pPr>
          </w:p>
        </w:tc>
        <w:tc>
          <w:tcPr>
            <w:tcW w:w="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1,150</w:t>
            </w:r>
          </w:p>
        </w:tc>
        <w:tc>
          <w:tcPr>
            <w:tcW w:w="3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956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1,564</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3,670</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4,043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Non-current Assets:</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3,751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Trademarks and other intangibles, net</w:t>
            </w: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31,229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34,759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Investments in unconsolidated affiliates</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10,110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912</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non-current assets</w:t>
            </w: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35,276</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49,713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Total Assets</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38,946</w:t>
            </w:r>
          </w:p>
        </w:tc>
        <w:tc>
          <w:tcPr>
            <w:tcW w:w="3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53,756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line="20" w:lineRule="exact"/>
              <w:rPr>
                <w:sz w:val="1"/>
                <w:szCs w:val="1"/>
                <w:color w:val="auto"/>
              </w:rPr>
            </w:pPr>
          </w:p>
        </w:tc>
      </w:tr>
      <w:tr>
        <w:trPr>
          <w:trHeight w:val="129"/>
        </w:trPr>
        <w:tc>
          <w:tcPr>
            <w:tcW w:w="5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80" w:type="dxa"/>
            <w:vAlign w:val="bottom"/>
            <w:tcBorders>
              <w:bottom w:val="single" w:sz="8" w:color="CCEEFF"/>
            </w:tcBorders>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20" w:type="dxa"/>
            <w:vAlign w:val="bottom"/>
            <w:tcBorders>
              <w:bottom w:val="single" w:sz="8" w:color="CCEEFF"/>
            </w:tcBorders>
            <w:shd w:val="clear" w:color="auto" w:fill="CCEEFF"/>
          </w:tcPr>
          <w:p>
            <w:pPr>
              <w:spacing w:after="0"/>
              <w:rPr>
                <w:sz w:val="11"/>
                <w:szCs w:val="11"/>
                <w:color w:val="auto"/>
              </w:rPr>
            </w:pPr>
          </w:p>
        </w:tc>
        <w:tc>
          <w:tcPr>
            <w:tcW w:w="1340" w:type="dxa"/>
            <w:vAlign w:val="bottom"/>
            <w:tcBorders>
              <w:bottom w:val="single" w:sz="8" w:color="CCEEFF"/>
            </w:tcBorders>
            <w:shd w:val="clear" w:color="auto" w:fill="CCEEFF"/>
          </w:tcPr>
          <w:p>
            <w:pPr>
              <w:spacing w:after="0"/>
              <w:rPr>
                <w:sz w:val="11"/>
                <w:szCs w:val="11"/>
                <w:color w:val="auto"/>
              </w:rPr>
            </w:pPr>
          </w:p>
        </w:tc>
        <w:tc>
          <w:tcPr>
            <w:tcW w:w="320" w:type="dxa"/>
            <w:vAlign w:val="bottom"/>
            <w:tcBorders>
              <w:bottom w:val="single" w:sz="8" w:color="CCEEFF"/>
            </w:tcBorders>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CCEEFF"/>
            </w:tcBorders>
            <w:shd w:val="clear" w:color="auto" w:fill="CCEEFF"/>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Current Liabilities:</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spacing w:after="0"/>
              <w:rPr>
                <w:sz w:val="12"/>
                <w:szCs w:val="12"/>
                <w:color w:val="auto"/>
              </w:rPr>
            </w:pPr>
          </w:p>
        </w:tc>
        <w:tc>
          <w:tcPr>
            <w:tcW w:w="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Accounts payable, accrued expenses and other current liabilities</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1,136</w:t>
            </w:r>
          </w:p>
        </w:tc>
        <w:tc>
          <w:tcPr>
            <w:tcW w:w="3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1,330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Accrued income taxes payable</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operating lease obligations</w:t>
            </w: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1,687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Contingent obligation</w:t>
            </w: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7,488</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10,394</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578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Long-Term Liabilities:</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1,778</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Long-term portion of operating lease obligations</w:t>
            </w: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3,678</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5,297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Long-term debt, net, less current portion</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9,456</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long-term liabilities</w:t>
            </w: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722</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long-term liabilities</w:t>
            </w: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15,634</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14,964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23,122</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25,358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7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 Equity:</w:t>
            </w: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3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Preferred stock, $.001 par value, 1,000,000 shares authorized, none issued and outstanding</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5780" w:type="dxa"/>
            <w:vAlign w:val="bottom"/>
          </w:tcPr>
          <w:p>
            <w:pPr>
              <w:ind w:left="120"/>
              <w:spacing w:after="0" w:line="122" w:lineRule="exact"/>
              <w:rPr>
                <w:sz w:val="20"/>
                <w:szCs w:val="20"/>
                <w:color w:val="auto"/>
              </w:rPr>
            </w:pPr>
            <w:r>
              <w:rPr>
                <w:rFonts w:ascii="Times New Roman" w:cs="Times New Roman" w:eastAsia="Times New Roman" w:hAnsi="Times New Roman"/>
                <w:sz w:val="14"/>
                <w:szCs w:val="14"/>
                <w:color w:val="auto"/>
              </w:rPr>
              <w:t>Common stock, $.001 par value, 50,000,000 shares authorized, and 5,880,757 and 2,368,072</w:t>
            </w:r>
          </w:p>
        </w:tc>
        <w:tc>
          <w:tcPr>
            <w:tcW w:w="12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5780" w:type="dxa"/>
            <w:vAlign w:val="bottom"/>
          </w:tcPr>
          <w:p>
            <w:pPr>
              <w:ind w:left="120"/>
              <w:spacing w:after="0" w:line="176" w:lineRule="exact"/>
              <w:rPr>
                <w:sz w:val="20"/>
                <w:szCs w:val="20"/>
                <w:color w:val="auto"/>
              </w:rPr>
            </w:pPr>
            <w:r>
              <w:rPr>
                <w:rFonts w:ascii="Times New Roman" w:cs="Times New Roman" w:eastAsia="Times New Roman" w:hAnsi="Times New Roman"/>
                <w:sz w:val="14"/>
                <w:szCs w:val="14"/>
                <w:color w:val="auto"/>
              </w:rPr>
              <w:t xml:space="preserve">shares issued and outstanding at December 31, 2025 and 2024, respectively </w:t>
            </w:r>
            <w:r>
              <w:rPr>
                <w:rFonts w:ascii="Times New Roman" w:cs="Times New Roman" w:eastAsia="Times New Roman" w:hAnsi="Times New Roman"/>
                <w:sz w:val="20"/>
                <w:szCs w:val="20"/>
                <w:color w:val="auto"/>
                <w:vertAlign w:val="superscript"/>
              </w:rPr>
              <w:t>(1)</w:t>
            </w:r>
          </w:p>
        </w:tc>
        <w:tc>
          <w:tcPr>
            <w:tcW w:w="1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78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2"/>
                <w:szCs w:val="12"/>
                <w:color w:val="auto"/>
              </w:rPr>
              <w:t xml:space="preserve">Paid-in capital </w:t>
            </w:r>
            <w:r>
              <w:rPr>
                <w:rFonts w:ascii="Times New Roman" w:cs="Times New Roman" w:eastAsia="Times New Roman" w:hAnsi="Times New Roman"/>
                <w:sz w:val="17"/>
                <w:szCs w:val="17"/>
                <w:color w:val="auto"/>
                <w:vertAlign w:val="superscript"/>
              </w:rPr>
              <w:t>(1)</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111,660</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106,666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Accumulated deficit</w:t>
            </w: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(93,705)</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(76,244)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Xcel Brands, Inc. stockholders' equity</w:t>
            </w: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17,961</w:t>
            </w: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30,424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tcBorders>
              <w:bottom w:val="single" w:sz="8" w:color="CCEEFF"/>
            </w:tcBorders>
          </w:tcPr>
          <w:p>
            <w:pPr>
              <w:ind w:left="120"/>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(2,137)</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(2,026)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15,824</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3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28,398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8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Total Liabilities and Stockholders' Equity</w:t>
            </w:r>
          </w:p>
        </w:tc>
        <w:tc>
          <w:tcPr>
            <w:tcW w:w="1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38,946</w:t>
            </w:r>
          </w:p>
        </w:tc>
        <w:tc>
          <w:tcPr>
            <w:tcW w:w="320" w:type="dxa"/>
            <w:vAlign w:val="bottom"/>
            <w:gridSpan w:val="2"/>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3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53,756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80" w:right="199" w:hanging="330"/>
        <w:spacing w:after="0" w:line="261" w:lineRule="auto"/>
        <w:tabs>
          <w:tab w:leader="none" w:pos="38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values of Common stock and Paid-in capital, as well as the number of shares issued and outstanding, have been retroactively adjusted in order to give effect to the Company’s 1-for-10 reverse stock split. See Note 2 and Note 7.</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564896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Net licensing revenue</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Net revenue</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49530</wp:posOffset>
            </wp:positionV>
            <wp:extent cx="564896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Direct operating costs and expenses</w:t>
      </w:r>
    </w:p>
    <w:p>
      <w:pPr>
        <w:spacing w:after="0" w:line="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Salaries, benefits and employment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Other selling, general and administrative expenses</w:t>
      </w:r>
    </w:p>
    <w:p>
      <w:pPr>
        <w:spacing w:after="0" w:line="5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4"/>
          <w:szCs w:val="14"/>
          <w:color w:val="auto"/>
        </w:rPr>
        <w:t>Total direct operating costs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Operating loss before other operating costs and expenses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Other operating costs and expenses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564896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left="880"/>
        <w:spacing w:after="0"/>
        <w:rPr>
          <w:sz w:val="20"/>
          <w:szCs w:val="20"/>
          <w:color w:val="auto"/>
        </w:rPr>
      </w:pPr>
      <w:r>
        <w:rPr>
          <w:rFonts w:ascii="Times New Roman" w:cs="Times New Roman" w:eastAsia="Times New Roman" w:hAnsi="Times New Roman"/>
          <w:sz w:val="14"/>
          <w:szCs w:val="14"/>
          <w:b w:val="1"/>
          <w:bCs w:val="1"/>
          <w:color w:val="auto"/>
        </w:rPr>
        <w:t>For the Year Ended</w:t>
      </w:r>
    </w:p>
    <w:p>
      <w:pPr>
        <w:ind w:left="1040"/>
        <w:spacing w:after="0"/>
        <w:rPr>
          <w:sz w:val="20"/>
          <w:szCs w:val="20"/>
          <w:color w:val="auto"/>
        </w:rPr>
      </w:pPr>
      <w:r>
        <w:rPr>
          <w:rFonts w:ascii="Times New Roman" w:cs="Times New Roman" w:eastAsia="Times New Roman" w:hAnsi="Times New Roman"/>
          <w:sz w:val="14"/>
          <w:szCs w:val="14"/>
          <w:b w:val="1"/>
          <w:bCs w:val="1"/>
          <w:color w:val="auto"/>
        </w:rPr>
        <w:t>December 31,</w:t>
      </w:r>
    </w:p>
    <w:tbl>
      <w:tblPr>
        <w:tblLayout w:type="fixed"/>
        <w:tblInd w:w="0" w:type="dxa"/>
        <w:tblCellMar>
          <w:top w:w="0" w:type="dxa"/>
          <w:left w:w="0" w:type="dxa"/>
          <w:bottom w:w="0" w:type="dxa"/>
          <w:right w:w="0" w:type="dxa"/>
        </w:tblCellMar>
      </w:tblPr>
      <w:tr>
        <w:trPr>
          <w:trHeight w:val="142"/>
        </w:trPr>
        <w:tc>
          <w:tcPr>
            <w:tcW w:w="18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8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40" w:type="dxa"/>
            <w:vAlign w:val="bottom"/>
            <w:tcBorders>
              <w:top w:val="single" w:sz="8" w:color="auto"/>
            </w:tcBorders>
          </w:tcPr>
          <w:p>
            <w:pPr>
              <w:ind w:left="60"/>
              <w:spacing w:after="0" w:line="142"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40" w:type="dxa"/>
            <w:vAlign w:val="bottom"/>
          </w:tcPr>
          <w:p>
            <w:pPr>
              <w:spacing w:after="0"/>
              <w:rPr>
                <w:sz w:val="12"/>
                <w:szCs w:val="12"/>
                <w:color w:val="auto"/>
              </w:rPr>
            </w:pPr>
          </w:p>
        </w:tc>
      </w:tr>
      <w:tr>
        <w:trPr>
          <w:trHeight w:val="213"/>
        </w:trPr>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18"/>
                <w:szCs w:val="18"/>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4,939</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7,912</w:t>
            </w:r>
          </w:p>
        </w:tc>
        <w:tc>
          <w:tcPr>
            <w:tcW w:w="40" w:type="dxa"/>
            <w:vAlign w:val="bottom"/>
          </w:tcPr>
          <w:p>
            <w:pPr>
              <w:spacing w:after="0"/>
              <w:rPr>
                <w:sz w:val="18"/>
                <w:szCs w:val="18"/>
                <w:color w:val="auto"/>
              </w:rPr>
            </w:pPr>
          </w:p>
        </w:tc>
      </w:tr>
      <w:tr>
        <w:trPr>
          <w:trHeight w:val="199"/>
        </w:trPr>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347</w:t>
            </w:r>
          </w:p>
        </w:tc>
        <w:tc>
          <w:tcPr>
            <w:tcW w:w="40" w:type="dxa"/>
            <w:vAlign w:val="bottom"/>
          </w:tcPr>
          <w:p>
            <w:pPr>
              <w:spacing w:after="0"/>
              <w:rPr>
                <w:sz w:val="17"/>
                <w:szCs w:val="17"/>
                <w:color w:val="auto"/>
              </w:rPr>
            </w:pPr>
          </w:p>
        </w:tc>
      </w:tr>
      <w:tr>
        <w:trPr>
          <w:trHeight w:val="213"/>
        </w:trPr>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4,939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8,259</w:t>
            </w:r>
          </w:p>
        </w:tc>
        <w:tc>
          <w:tcPr>
            <w:tcW w:w="40" w:type="dxa"/>
            <w:vAlign w:val="bottom"/>
          </w:tcPr>
          <w:p>
            <w:pPr>
              <w:spacing w:after="0"/>
              <w:rPr>
                <w:sz w:val="18"/>
                <w:szCs w:val="18"/>
                <w:color w:val="auto"/>
              </w:rPr>
            </w:pPr>
          </w:p>
        </w:tc>
      </w:tr>
      <w:tr>
        <w:trPr>
          <w:trHeight w:val="199"/>
        </w:trPr>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4,939</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7,814</w:t>
            </w:r>
          </w:p>
        </w:tc>
        <w:tc>
          <w:tcPr>
            <w:tcW w:w="40" w:type="dxa"/>
            <w:vAlign w:val="bottom"/>
          </w:tcPr>
          <w:p>
            <w:pPr>
              <w:spacing w:after="0"/>
              <w:rPr>
                <w:sz w:val="17"/>
                <w:szCs w:val="17"/>
                <w:color w:val="auto"/>
              </w:rPr>
            </w:pPr>
          </w:p>
        </w:tc>
      </w:tr>
      <w:tr>
        <w:trPr>
          <w:trHeight w:val="429"/>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spacing w:after="0"/>
              <w:rPr>
                <w:sz w:val="24"/>
                <w:szCs w:val="24"/>
                <w:color w:val="auto"/>
              </w:rPr>
            </w:pPr>
          </w:p>
        </w:tc>
        <w:tc>
          <w:tcPr>
            <w:tcW w:w="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3,920</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5,916</w:t>
            </w:r>
          </w:p>
        </w:tc>
        <w:tc>
          <w:tcPr>
            <w:tcW w:w="40" w:type="dxa"/>
            <w:vAlign w:val="bottom"/>
          </w:tcPr>
          <w:p>
            <w:pPr>
              <w:spacing w:after="0"/>
              <w:rPr>
                <w:sz w:val="18"/>
                <w:szCs w:val="18"/>
                <w:color w:val="auto"/>
              </w:rPr>
            </w:pPr>
          </w:p>
        </w:tc>
      </w:tr>
      <w:tr>
        <w:trPr>
          <w:trHeight w:val="199"/>
        </w:trPr>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4,647</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6,842</w:t>
            </w:r>
          </w:p>
        </w:tc>
        <w:tc>
          <w:tcPr>
            <w:tcW w:w="40" w:type="dxa"/>
            <w:vAlign w:val="bottom"/>
          </w:tcPr>
          <w:p>
            <w:pPr>
              <w:spacing w:after="0"/>
              <w:rPr>
                <w:sz w:val="17"/>
                <w:szCs w:val="17"/>
                <w:color w:val="auto"/>
              </w:rPr>
            </w:pPr>
          </w:p>
        </w:tc>
      </w:tr>
      <w:tr>
        <w:trPr>
          <w:trHeight w:val="196"/>
        </w:trPr>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8,567</w:t>
            </w:r>
          </w:p>
        </w:tc>
        <w:tc>
          <w:tcPr>
            <w:tcW w:w="24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12,758</w:t>
            </w:r>
          </w:p>
        </w:tc>
        <w:tc>
          <w:tcPr>
            <w:tcW w:w="40" w:type="dxa"/>
            <w:vAlign w:val="bottom"/>
          </w:tcPr>
          <w:p>
            <w:pPr>
              <w:spacing w:after="0"/>
              <w:rPr>
                <w:sz w:val="17"/>
                <w:szCs w:val="17"/>
                <w:color w:val="auto"/>
              </w:rPr>
            </w:pPr>
          </w:p>
        </w:tc>
      </w:tr>
      <w:tr>
        <w:trPr>
          <w:trHeight w:val="429"/>
        </w:trPr>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(3,628)</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(4,944)</w:t>
            </w:r>
          </w:p>
        </w:tc>
      </w:tr>
    </w:tbl>
    <w:p>
      <w:pPr>
        <w:spacing w:after="0" w:line="392" w:lineRule="exact"/>
        <w:rPr>
          <w:sz w:val="20"/>
          <w:szCs w:val="20"/>
          <w:color w:val="auto"/>
        </w:rPr>
      </w:pPr>
    </w:p>
    <w:p>
      <w:pPr>
        <w:sectPr>
          <w:pgSz w:w="11900" w:h="16838" w:orient="portrait"/>
          <w:cols w:equalWidth="0" w:num="2">
            <w:col w:w="5200" w:space="720"/>
            <w:col w:w="3099"/>
          </w:cols>
          <w:pgMar w:left="1440" w:top="513" w:right="1440" w:bottom="1440" w:gutter="0" w:footer="0" w:header="0"/>
          <w:type w:val="continuous"/>
        </w:sectPr>
      </w:pPr>
    </w:p>
    <w:p>
      <w:pPr>
        <w:ind w:left="160"/>
        <w:spacing w:after="0"/>
        <w:rPr>
          <w:sz w:val="20"/>
          <w:szCs w:val="20"/>
          <w:color w:val="auto"/>
        </w:rPr>
      </w:pPr>
      <w:r>
        <w:rPr>
          <w:rFonts w:ascii="Times New Roman" w:cs="Times New Roman" w:eastAsia="Times New Roman" w:hAnsi="Times New Roman"/>
          <w:sz w:val="14"/>
          <w:szCs w:val="14"/>
          <w:color w:val="auto"/>
        </w:rPr>
        <w:t>Depreciation and amortization</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Asset 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Loss from equity investments</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Gain on divestiture of Lori Goldstein Brand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5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Interest and finance expense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564896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Interest expense</w:t>
      </w:r>
    </w:p>
    <w:p>
      <w:pPr>
        <w:spacing w:after="0" w:line="5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Other finance charges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Loss on early extinguishment of debt</w:t>
      </w:r>
    </w:p>
    <w:p>
      <w:pPr>
        <w:spacing w:after="0" w:line="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Interest and finance expense (income),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Loss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564896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Income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4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564896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3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Net loss attributable to noncontrolling interest</w:t>
      </w:r>
    </w:p>
    <w:p>
      <w:pPr>
        <w:spacing w:after="0" w:line="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b w:val="1"/>
          <w:bCs w:val="1"/>
          <w:color w:val="auto"/>
        </w:rPr>
        <w:t>Net loss attributable to Xcel Brands, Inc.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-85725</wp:posOffset>
            </wp:positionV>
            <wp:extent cx="5648960"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4"/>
          <w:szCs w:val="14"/>
          <w:color w:val="auto"/>
        </w:rPr>
        <w:t>Loss per common share attributable to Xcel Brands, Inc.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-86995</wp:posOffset>
            </wp:positionV>
            <wp:extent cx="564896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2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Basic and diluted net loss per share </w:t>
      </w:r>
      <w:r>
        <w:rPr>
          <w:rFonts w:ascii="Times New Roman" w:cs="Times New Roman" w:eastAsia="Times New Roman" w:hAnsi="Times New Roman"/>
          <w:sz w:val="21"/>
          <w:szCs w:val="21"/>
          <w:color w:val="auto"/>
          <w:vertAlign w:val="superscript"/>
        </w:rPr>
        <w:t>(1)</w:t>
      </w:r>
    </w:p>
    <w:p>
      <w:pPr>
        <w:ind w:left="60"/>
        <w:spacing w:after="0"/>
        <w:rPr>
          <w:sz w:val="20"/>
          <w:szCs w:val="20"/>
          <w:color w:val="auto"/>
        </w:rPr>
      </w:pPr>
      <w:r>
        <w:rPr>
          <w:rFonts w:ascii="Times New Roman" w:cs="Times New Roman" w:eastAsia="Times New Roman" w:hAnsi="Times New Roman"/>
          <w:sz w:val="14"/>
          <w:szCs w:val="14"/>
          <w:color w:val="auto"/>
        </w:rPr>
        <w:t>Weighted average number of common shares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-97155</wp:posOffset>
            </wp:positionV>
            <wp:extent cx="564896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4"/>
          <w:szCs w:val="14"/>
          <w:color w:val="auto"/>
        </w:rPr>
        <w:t xml:space="preserve">Basic and diluted weighted average common shares outstanding </w:t>
      </w:r>
      <w:r>
        <w:rPr>
          <w:rFonts w:ascii="Times New Roman" w:cs="Times New Roman" w:eastAsia="Times New Roman" w:hAnsi="Times New Roman"/>
          <w:sz w:val="21"/>
          <w:szCs w:val="21"/>
          <w:color w:val="auto"/>
          <w:vertAlign w:val="superscript"/>
        </w:rPr>
        <w:t>(1)</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8"/>
        </w:trPr>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4,947</w:t>
            </w:r>
          </w:p>
        </w:tc>
        <w:tc>
          <w:tcPr>
            <w:tcW w:w="40" w:type="dxa"/>
            <w:vAlign w:val="bottom"/>
          </w:tcPr>
          <w:p>
            <w:pPr>
              <w:spacing w:after="0"/>
              <w:rPr>
                <w:sz w:val="16"/>
                <w:szCs w:val="16"/>
                <w:color w:val="auto"/>
              </w:rPr>
            </w:pPr>
          </w:p>
        </w:tc>
      </w:tr>
      <w:tr>
        <w:trPr>
          <w:trHeight w:val="216"/>
        </w:trPr>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3,483</w:t>
            </w:r>
          </w:p>
        </w:tc>
        <w:tc>
          <w:tcPr>
            <w:tcW w:w="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6,010</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11,836</w:t>
            </w:r>
          </w:p>
        </w:tc>
        <w:tc>
          <w:tcPr>
            <w:tcW w:w="40" w:type="dxa"/>
            <w:vAlign w:val="bottom"/>
          </w:tcPr>
          <w:p>
            <w:pPr>
              <w:spacing w:after="0"/>
              <w:rPr>
                <w:sz w:val="18"/>
                <w:szCs w:val="18"/>
                <w:color w:val="auto"/>
              </w:rPr>
            </w:pPr>
          </w:p>
        </w:tc>
      </w:tr>
      <w:tr>
        <w:trPr>
          <w:trHeight w:val="199"/>
        </w:trPr>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(3,801)</w:t>
            </w:r>
          </w:p>
        </w:tc>
        <w:tc>
          <w:tcPr>
            <w:tcW w:w="40" w:type="dxa"/>
            <w:vAlign w:val="bottom"/>
          </w:tcPr>
          <w:p>
            <w:pPr>
              <w:spacing w:after="0"/>
              <w:rPr>
                <w:sz w:val="17"/>
                <w:szCs w:val="17"/>
                <w:color w:val="auto"/>
              </w:rPr>
            </w:pPr>
          </w:p>
        </w:tc>
      </w:tr>
      <w:tr>
        <w:trPr>
          <w:trHeight w:val="429"/>
        </w:trPr>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(13,231)</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(21,409)</w:t>
            </w:r>
          </w:p>
        </w:tc>
        <w:tc>
          <w:tcPr>
            <w:tcW w:w="40" w:type="dxa"/>
            <w:vAlign w:val="bottom"/>
          </w:tcPr>
          <w:p>
            <w:pPr>
              <w:spacing w:after="0"/>
              <w:rPr>
                <w:sz w:val="24"/>
                <w:szCs w:val="24"/>
                <w:color w:val="auto"/>
              </w:rPr>
            </w:pPr>
          </w:p>
        </w:tc>
      </w:tr>
      <w:tr>
        <w:trPr>
          <w:trHeight w:val="432"/>
        </w:trPr>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618</w:t>
            </w:r>
          </w:p>
        </w:tc>
        <w:tc>
          <w:tcPr>
            <w:tcW w:w="40" w:type="dxa"/>
            <w:vAlign w:val="bottom"/>
          </w:tcPr>
          <w:p>
            <w:pPr>
              <w:spacing w:after="0"/>
              <w:rPr>
                <w:sz w:val="18"/>
                <w:szCs w:val="18"/>
                <w:color w:val="auto"/>
              </w:rPr>
            </w:pPr>
          </w:p>
        </w:tc>
      </w:tr>
      <w:tr>
        <w:trPr>
          <w:trHeight w:val="216"/>
        </w:trPr>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338</w:t>
            </w: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40" w:type="dxa"/>
            <w:vAlign w:val="bottom"/>
          </w:tcPr>
          <w:p>
            <w:pPr>
              <w:spacing w:after="0"/>
              <w:rPr>
                <w:sz w:val="18"/>
                <w:szCs w:val="18"/>
                <w:color w:val="auto"/>
              </w:rPr>
            </w:pPr>
          </w:p>
        </w:tc>
      </w:tr>
      <w:tr>
        <w:trPr>
          <w:trHeight w:val="199"/>
        </w:trPr>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1,850</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287</w:t>
            </w:r>
          </w:p>
        </w:tc>
        <w:tc>
          <w:tcPr>
            <w:tcW w:w="40" w:type="dxa"/>
            <w:vAlign w:val="bottom"/>
          </w:tcPr>
          <w:p>
            <w:pPr>
              <w:spacing w:after="0"/>
              <w:rPr>
                <w:sz w:val="17"/>
                <w:szCs w:val="17"/>
                <w:color w:val="auto"/>
              </w:rPr>
            </w:pPr>
          </w:p>
        </w:tc>
      </w:tr>
      <w:tr>
        <w:trPr>
          <w:trHeight w:val="196"/>
        </w:trPr>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4,266</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931</w:t>
            </w:r>
          </w:p>
        </w:tc>
        <w:tc>
          <w:tcPr>
            <w:tcW w:w="40" w:type="dxa"/>
            <w:vAlign w:val="bottom"/>
          </w:tcPr>
          <w:p>
            <w:pPr>
              <w:spacing w:after="0"/>
              <w:rPr>
                <w:sz w:val="17"/>
                <w:szCs w:val="17"/>
                <w:color w:val="auto"/>
              </w:rPr>
            </w:pPr>
          </w:p>
        </w:tc>
      </w:tr>
      <w:tr>
        <w:trPr>
          <w:trHeight w:val="429"/>
        </w:trPr>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(17,497)</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(22,340)</w:t>
            </w:r>
          </w:p>
        </w:tc>
        <w:tc>
          <w:tcPr>
            <w:tcW w:w="40" w:type="dxa"/>
            <w:vAlign w:val="bottom"/>
          </w:tcPr>
          <w:p>
            <w:pPr>
              <w:spacing w:after="0"/>
              <w:rPr>
                <w:sz w:val="24"/>
                <w:szCs w:val="24"/>
                <w:color w:val="auto"/>
              </w:rPr>
            </w:pPr>
          </w:p>
        </w:tc>
      </w:tr>
      <w:tr>
        <w:trPr>
          <w:trHeight w:val="415"/>
        </w:trPr>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w:t>
            </w:r>
          </w:p>
        </w:tc>
        <w:tc>
          <w:tcPr>
            <w:tcW w:w="40" w:type="dxa"/>
            <w:vAlign w:val="bottom"/>
          </w:tcPr>
          <w:p>
            <w:pPr>
              <w:spacing w:after="0"/>
              <w:rPr>
                <w:sz w:val="24"/>
                <w:szCs w:val="24"/>
                <w:color w:val="auto"/>
              </w:rPr>
            </w:pPr>
          </w:p>
        </w:tc>
      </w:tr>
      <w:tr>
        <w:trPr>
          <w:trHeight w:val="429"/>
        </w:trPr>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(17,572)</w:t>
            </w: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(22,560)</w:t>
            </w:r>
          </w:p>
        </w:tc>
        <w:tc>
          <w:tcPr>
            <w:tcW w:w="40" w:type="dxa"/>
            <w:vAlign w:val="bottom"/>
          </w:tcPr>
          <w:p>
            <w:pPr>
              <w:spacing w:after="0"/>
              <w:rPr>
                <w:sz w:val="24"/>
                <w:szCs w:val="24"/>
                <w:color w:val="auto"/>
              </w:rPr>
            </w:pPr>
          </w:p>
        </w:tc>
      </w:tr>
      <w:tr>
        <w:trPr>
          <w:trHeight w:val="199"/>
        </w:trPr>
        <w:tc>
          <w:tcPr>
            <w:tcW w:w="3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40" w:type="dxa"/>
            <w:vAlign w:val="bottom"/>
          </w:tcPr>
          <w:p>
            <w:pPr>
              <w:spacing w:after="0"/>
              <w:rPr>
                <w:sz w:val="17"/>
                <w:szCs w:val="17"/>
                <w:color w:val="auto"/>
              </w:rPr>
            </w:pPr>
          </w:p>
        </w:tc>
      </w:tr>
      <w:tr>
        <w:trPr>
          <w:trHeight w:val="183"/>
        </w:trPr>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(17,461)</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(22,395)</w:t>
            </w:r>
          </w:p>
        </w:tc>
        <w:tc>
          <w:tcPr>
            <w:tcW w:w="40" w:type="dxa"/>
            <w:vAlign w:val="bottom"/>
          </w:tcPr>
          <w:p>
            <w:pPr>
              <w:spacing w:after="0"/>
              <w:rPr>
                <w:sz w:val="15"/>
                <w:szCs w:val="15"/>
                <w:color w:val="auto"/>
              </w:rPr>
            </w:pP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03"/>
        </w:trPr>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24"/>
                <w:szCs w:val="24"/>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w:t>
            </w:r>
          </w:p>
        </w:tc>
        <w:tc>
          <w:tcPr>
            <w:tcW w:w="56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(9.84)</w:t>
            </w:r>
          </w:p>
        </w:tc>
        <w:tc>
          <w:tcPr>
            <w:tcW w:w="40" w:type="dxa"/>
            <w:vAlign w:val="bottom"/>
          </w:tcPr>
          <w:p>
            <w:pPr>
              <w:spacing w:after="0"/>
              <w:rPr>
                <w:sz w:val="16"/>
                <w:szCs w:val="16"/>
                <w:color w:val="auto"/>
              </w:rPr>
            </w:pPr>
          </w:p>
        </w:tc>
      </w:tr>
      <w:tr>
        <w:trPr>
          <w:trHeight w:val="20"/>
        </w:trPr>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87"/>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spacing w:after="0"/>
              <w:rPr>
                <w:sz w:val="16"/>
                <w:szCs w:val="16"/>
                <w:color w:val="auto"/>
              </w:rPr>
            </w:pPr>
          </w:p>
        </w:tc>
        <w:tc>
          <w:tcPr>
            <w:tcW w:w="40" w:type="dxa"/>
            <w:vAlign w:val="bottom"/>
          </w:tcPr>
          <w:p>
            <w:pPr>
              <w:spacing w:after="0"/>
              <w:rPr>
                <w:sz w:val="20"/>
                <w:szCs w:val="20"/>
                <w:color w:val="auto"/>
              </w:rPr>
            </w:pPr>
            <w:r>
              <w:rPr>
                <w:rFonts w:ascii="Times New Roman" w:cs="Times New Roman" w:eastAsia="Times New Roman" w:hAnsi="Times New Roman"/>
                <w:sz w:val="14"/>
                <w:szCs w:val="14"/>
                <w:color w:val="auto"/>
              </w:rPr>
              <w:t>​</w:t>
            </w:r>
          </w:p>
        </w:tc>
      </w:tr>
      <w:tr>
        <w:trPr>
          <w:trHeight w:val="185"/>
        </w:trPr>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3,435,816</w:t>
            </w: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2,275,332</w:t>
            </w:r>
          </w:p>
        </w:tc>
        <w:tc>
          <w:tcPr>
            <w:tcW w:w="40" w:type="dxa"/>
            <w:vAlign w:val="bottom"/>
          </w:tcPr>
          <w:p>
            <w:pPr>
              <w:spacing w:after="0"/>
              <w:rPr>
                <w:sz w:val="16"/>
                <w:szCs w:val="16"/>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5380" w:space="720"/>
            <w:col w:w="2919"/>
          </w:cols>
          <w:pgMar w:left="1440" w:top="513" w:right="1440" w:bottom="1440" w:gutter="0" w:footer="0" w:header="0"/>
          <w:type w:val="continuous"/>
        </w:sectPr>
      </w:pPr>
    </w:p>
    <w:p>
      <w:pPr>
        <w:ind w:left="380" w:right="259" w:hanging="330"/>
        <w:spacing w:after="0" w:line="261" w:lineRule="auto"/>
        <w:tabs>
          <w:tab w:leader="none" w:pos="38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Weighted average shares outstanding and per share information have been retroactively adjusted in order to give effect to the Company’s 1-for-10 reverse stock split. See Note 2 and Note 7.</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ectPr>
          <w:pgSz w:w="11900" w:h="16838" w:orient="portrait"/>
          <w:cols w:equalWidth="0" w:num="1">
            <w:col w:w="9019"/>
          </w:cols>
          <w:pgMar w:left="1440" w:top="513"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21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Xcel Brands, Inc. Stockholders</w:t>
      </w:r>
    </w:p>
    <w:p>
      <w:pPr>
        <w:spacing w:after="0" w:line="31" w:lineRule="exact"/>
        <w:rPr>
          <w:sz w:val="20"/>
          <w:szCs w:val="20"/>
          <w:color w:val="auto"/>
        </w:rPr>
      </w:pPr>
    </w:p>
    <w:tbl>
      <w:tblPr>
        <w:tblLayout w:type="fixed"/>
        <w:tblInd w:w="40" w:type="dxa"/>
        <w:tblCellMar>
          <w:top w:w="0" w:type="dxa"/>
          <w:left w:w="0" w:type="dxa"/>
          <w:bottom w:w="0" w:type="dxa"/>
          <w:right w:w="0" w:type="dxa"/>
        </w:tblCellMar>
      </w:tblPr>
      <w:tr>
        <w:trPr>
          <w:trHeight w:val="135"/>
        </w:trPr>
        <w:tc>
          <w:tcPr>
            <w:tcW w:w="3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tcBorders>
              <w:top w:val="single" w:sz="8" w:color="auto"/>
              <w:bottom w:val="single" w:sz="8" w:color="auto"/>
            </w:tcBorders>
            <w:gridSpan w:val="4"/>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Borders>
              <w:top w:val="single" w:sz="8" w:color="auto"/>
              <w:bottom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2"/>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3"/>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Noncontrolling</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80"/>
              <w:spacing w:after="0" w:line="149" w:lineRule="exact"/>
              <w:rPr>
                <w:sz w:val="20"/>
                <w:szCs w:val="20"/>
                <w:color w:val="auto"/>
              </w:rPr>
            </w:pP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b w:val="1"/>
                <w:bCs w:val="1"/>
                <w:color w:val="auto"/>
              </w:rPr>
              <w:t>Shares</w:t>
            </w:r>
            <w:r>
              <w:rPr>
                <w:rFonts w:ascii="Times New Roman" w:cs="Times New Roman" w:eastAsia="Times New Roman" w:hAnsi="Times New Roman"/>
                <w:sz w:val="17"/>
                <w:szCs w:val="17"/>
                <w:b w:val="1"/>
                <w:bCs w:val="1"/>
                <w:color w:val="auto"/>
                <w:vertAlign w:val="superscript"/>
              </w:rPr>
              <w:t>(1)</w:t>
            </w:r>
          </w:p>
        </w:tc>
        <w:tc>
          <w:tcPr>
            <w:tcW w:w="720" w:type="dxa"/>
            <w:vAlign w:val="bottom"/>
            <w:gridSpan w:val="3"/>
          </w:tcPr>
          <w:p>
            <w:pPr>
              <w:jc w:val="right"/>
              <w:spacing w:after="0" w:line="149"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Amount</w:t>
            </w:r>
            <w:r>
              <w:rPr>
                <w:rFonts w:ascii="Times New Roman" w:cs="Times New Roman" w:eastAsia="Times New Roman" w:hAnsi="Times New Roman"/>
                <w:sz w:val="17"/>
                <w:szCs w:val="17"/>
                <w:b w:val="1"/>
                <w:bCs w:val="1"/>
                <w:color w:val="auto"/>
                <w:vertAlign w:val="superscript"/>
              </w:rPr>
              <w:t>(1)</w:t>
            </w:r>
          </w:p>
        </w:tc>
        <w:tc>
          <w:tcPr>
            <w:tcW w:w="6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b w:val="1"/>
                <w:bCs w:val="1"/>
                <w:color w:val="auto"/>
              </w:rPr>
              <w:t>Capital</w:t>
            </w:r>
            <w:r>
              <w:rPr>
                <w:rFonts w:ascii="Times New Roman" w:cs="Times New Roman" w:eastAsia="Times New Roman" w:hAnsi="Times New Roman"/>
                <w:sz w:val="17"/>
                <w:szCs w:val="17"/>
                <w:b w:val="1"/>
                <w:bCs w:val="1"/>
                <w:color w:val="auto"/>
                <w:vertAlign w:val="superscript"/>
              </w:rPr>
              <w:t>(1)</w:t>
            </w:r>
          </w:p>
        </w:tc>
        <w:tc>
          <w:tcPr>
            <w:tcW w:w="280" w:type="dxa"/>
            <w:vAlign w:val="bottom"/>
            <w:gridSpan w:val="2"/>
          </w:tcPr>
          <w:p>
            <w:pPr>
              <w:jc w:val="right"/>
              <w:ind w:right="39"/>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6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Interest</w:t>
            </w:r>
          </w:p>
        </w:tc>
        <w:tc>
          <w:tcPr>
            <w:tcW w:w="2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500" w:type="dxa"/>
            <w:vAlign w:val="bottom"/>
            <w:gridSpan w:val="2"/>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84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as of January 1, 2024</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1,979,413</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27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$ 103,879</w:t>
            </w: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(53,849)</w:t>
            </w:r>
          </w:p>
        </w:tc>
        <w:tc>
          <w:tcPr>
            <w:tcW w:w="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(1,861)</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48,171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expense related to stock options and restricted stock</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Contra-revenue related to warrants held by licensee</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to directors in connection with restricted stock grants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to consultant in connection with stock grants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to employee in connection with stock grant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8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Shares issued to executives for pro rata portion of base salaries, net of</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withholding taxes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17,502</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8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Shares issued in connection with public offering and private</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placement transactions, net of transaction costs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357,889</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Warrants issued in connection with refinancing of term loan debt</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for the year ended December 31, 2024</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(22,395)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(165)</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(22,560)</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as of December 31, 2024</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2,368,072</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106,666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(76,244)</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(2,026)</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28,398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impact related to fractional shares from reverse stock split</w:t>
            </w:r>
          </w:p>
        </w:tc>
        <w:tc>
          <w:tcPr>
            <w:tcW w:w="8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(57)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Compensation expense related to stock options and restricted stock</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Contra-revenue related to warrants held by licensee</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to directors in connection with restricted stock grants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43,584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8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Shares issued to directors and management in connection with other</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restricted stock grants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17,500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to directors in connection with stock grants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45,000</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 issued to employee in connection with stock grant</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63,674</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8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Shares issued to executives for pro rata portion of base salaries, net of</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withholding taxes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121,998</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8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Shares issued in connection with public offering and private</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placement transactions, net of transaction costs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2,324,860</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1,962</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8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Shares and warrants issued in connection with private investment in</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public equity transaction, net of transaction costs</w:t>
            </w:r>
          </w:p>
        </w:tc>
        <w:tc>
          <w:tcPr>
            <w:tcW w:w="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896,126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1,814</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3840" w:type="dxa"/>
            <w:vAlign w:val="bottom"/>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color w:val="auto"/>
              </w:rPr>
              <w:t>Warrants issued and amended in connection with refinancing of term</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debt</w:t>
            </w:r>
          </w:p>
        </w:tc>
        <w:tc>
          <w:tcPr>
            <w:tcW w:w="12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loss for the year ended December 31, 2025</w:t>
            </w:r>
          </w:p>
        </w:tc>
        <w:tc>
          <w:tcPr>
            <w:tcW w:w="1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(17,461)</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(111)</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(17,572)</w:t>
            </w: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4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color w:val="auto"/>
              </w:rPr>
              <w:t>Balance as of December 31, 2025</w:t>
            </w:r>
          </w:p>
        </w:tc>
        <w:tc>
          <w:tcPr>
            <w:tcW w:w="120" w:type="dxa"/>
            <w:vAlign w:val="bottom"/>
            <w:tcBorders>
              <w:bottom w:val="single" w:sz="8" w:color="CCEEFF"/>
            </w:tcBorders>
            <w:shd w:val="clear" w:color="auto" w:fill="CCEEFF"/>
          </w:tcPr>
          <w:p>
            <w:pPr>
              <w:spacing w:after="0"/>
              <w:rPr>
                <w:sz w:val="12"/>
                <w:szCs w:val="12"/>
                <w:color w:val="auto"/>
              </w:rPr>
            </w:pPr>
          </w:p>
        </w:tc>
        <w:tc>
          <w:tcPr>
            <w:tcW w:w="6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5,880,757</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420" w:type="dxa"/>
            <w:vAlign w:val="bottom"/>
            <w:tcBorders>
              <w:bottom w:val="single" w:sz="8" w:color="auto"/>
            </w:tcBorders>
            <w:shd w:val="clear" w:color="auto" w:fill="CCEEFF"/>
          </w:tcPr>
          <w:p>
            <w:pPr>
              <w:jc w:val="right"/>
              <w:ind w:right="27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2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6</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9"/>
              </w:rPr>
              <w:t>$ 111,660</w:t>
            </w:r>
          </w:p>
        </w:tc>
        <w:tc>
          <w:tcPr>
            <w:tcW w:w="14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(93,705)</w:t>
            </w:r>
          </w:p>
        </w:tc>
        <w:tc>
          <w:tcPr>
            <w:tcW w:w="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(2,137)</w:t>
            </w:r>
          </w:p>
        </w:tc>
        <w:tc>
          <w:tcPr>
            <w:tcW w:w="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15,824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ind w:left="380" w:right="199" w:hanging="330"/>
        <w:spacing w:after="0" w:line="261" w:lineRule="auto"/>
        <w:tabs>
          <w:tab w:leader="none" w:pos="38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values of Common stock and Paid-in capital, as well as the number of shares issued and outstanding, have been retroactively adjusted in order to give effect to the Company’s 1-for-10 reverse stock split. See Note 2 and Note 7.</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See accompanying Notes to Consolidated Financial Statements.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4" w:lineRule="exact"/>
        <w:rPr>
          <w:sz w:val="20"/>
          <w:szCs w:val="20"/>
          <w:color w:val="auto"/>
        </w:rPr>
      </w:pPr>
    </w:p>
    <w:tbl>
      <w:tblPr>
        <w:tblLayout w:type="fixed"/>
        <w:tblInd w:w="40" w:type="dxa"/>
        <w:tblCellMar>
          <w:top w:w="0" w:type="dxa"/>
          <w:left w:w="0" w:type="dxa"/>
          <w:bottom w:w="0" w:type="dxa"/>
          <w:right w:w="0" w:type="dxa"/>
        </w:tblCellMar>
      </w:tblPr>
      <w:tr>
        <w:trPr>
          <w:trHeight w:val="165"/>
        </w:trPr>
        <w:tc>
          <w:tcPr>
            <w:tcW w:w="6280" w:type="dxa"/>
            <w:vAlign w:val="bottom"/>
            <w:vMerge w:val="restart"/>
          </w:tcPr>
          <w:p>
            <w:pPr>
              <w:ind w:left="6160"/>
              <w:spacing w:after="0"/>
              <w:rPr>
                <w:sz w:val="20"/>
                <w:szCs w:val="20"/>
                <w:color w:val="auto"/>
              </w:rPr>
            </w:pPr>
            <w:r>
              <w:rPr>
                <w:rFonts w:ascii="Times New Roman" w:cs="Times New Roman" w:eastAsia="Times New Roman" w:hAnsi="Times New Roman"/>
                <w:sz w:val="13"/>
                <w:szCs w:val="13"/>
                <w:color w:val="auto"/>
              </w:rPr>
              <w:t>​​​</w:t>
            </w:r>
          </w:p>
        </w:tc>
        <w:tc>
          <w:tcPr>
            <w:tcW w:w="2660" w:type="dxa"/>
            <w:vAlign w:val="bottom"/>
            <w:gridSpan w:val="6"/>
          </w:tcPr>
          <w:p>
            <w:pPr>
              <w:ind w:left="320"/>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c>
          <w:tcPr>
            <w:tcW w:w="0" w:type="dxa"/>
            <w:vAlign w:val="bottom"/>
          </w:tcPr>
          <w:p>
            <w:pPr>
              <w:spacing w:after="0"/>
              <w:rPr>
                <w:sz w:val="1"/>
                <w:szCs w:val="1"/>
                <w:color w:val="auto"/>
              </w:rPr>
            </w:pPr>
          </w:p>
        </w:tc>
      </w:tr>
      <w:tr>
        <w:trPr>
          <w:trHeight w:val="142"/>
        </w:trPr>
        <w:tc>
          <w:tcPr>
            <w:tcW w:w="6280" w:type="dxa"/>
            <w:vAlign w:val="bottom"/>
            <w:vMerge w:val="continue"/>
          </w:tcPr>
          <w:p>
            <w:pPr>
              <w:spacing w:after="0"/>
              <w:rPr>
                <w:sz w:val="12"/>
                <w:szCs w:val="12"/>
                <w:color w:val="auto"/>
              </w:rPr>
            </w:pPr>
          </w:p>
        </w:tc>
        <w:tc>
          <w:tcPr>
            <w:tcW w:w="7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gridSpan w:val="2"/>
          </w:tcPr>
          <w:p>
            <w:pPr>
              <w:jc w:val="right"/>
              <w:ind w:right="244"/>
              <w:spacing w:after="0" w:line="142" w:lineRule="exact"/>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tcBorders>
          </w:tcPr>
          <w:p>
            <w:pPr>
              <w:jc w:val="right"/>
              <w:ind w:right="413"/>
              <w:spacing w:after="0" w:line="142" w:lineRule="exact"/>
              <w:rPr>
                <w:sz w:val="20"/>
                <w:szCs w:val="20"/>
                <w:color w:val="auto"/>
              </w:rPr>
            </w:pPr>
            <w:r>
              <w:rPr>
                <w:rFonts w:ascii="Times New Roman" w:cs="Times New Roman" w:eastAsia="Times New Roman" w:hAnsi="Times New Roman"/>
                <w:sz w:val="13"/>
                <w:szCs w:val="13"/>
                <w:b w:val="1"/>
                <w:bCs w:val="1"/>
                <w:color w:val="auto"/>
              </w:rPr>
              <w:t>2024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74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40" w:type="dxa"/>
            <w:vAlign w:val="bottom"/>
          </w:tcPr>
          <w:p>
            <w:pPr>
              <w:spacing w:after="0" w:line="142"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Net loss</w:t>
            </w:r>
          </w:p>
        </w:tc>
        <w:tc>
          <w:tcPr>
            <w:tcW w:w="740" w:type="dxa"/>
            <w:vAlign w:val="bottom"/>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(17,572)</w:t>
            </w:r>
          </w:p>
        </w:tc>
        <w:tc>
          <w:tcPr>
            <w:tcW w:w="480" w:type="dxa"/>
            <w:vAlign w:val="bottom"/>
            <w:gridSpan w:val="2"/>
          </w:tcPr>
          <w:p>
            <w:pPr>
              <w:jc w:val="right"/>
              <w:ind w:right="16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(22,560)</w:t>
            </w: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3,593</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Asset impairment charges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3,483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Paid in-kind interest expense</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Amortization of deferred finance costs and other non-cash interest expense</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Stock-based compensation and cost of licensee warrants</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Provision for credit losses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Loss from equity investments</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6,010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Loss on early extinguishment of debt</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1,850</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Gain on divestiture of Lori Goldstein brand</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receivable</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Inventory</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Prepaid expenses and other current and non-current assets</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Deferred revenue</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(939)</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Accounts payable, accrued expenses, accrued income taxes payable, and other current liabilities</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(2,338)</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Lease-related assets and liabilities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(699)</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Other long-term liabilities</w:t>
            </w:r>
          </w:p>
        </w:tc>
        <w:tc>
          <w:tcPr>
            <w:tcW w:w="7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operating activities</w:t>
            </w:r>
          </w:p>
        </w:tc>
        <w:tc>
          <w:tcPr>
            <w:tcW w:w="7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(7,023)</w:t>
            </w:r>
          </w:p>
        </w:tc>
        <w:tc>
          <w:tcPr>
            <w:tcW w:w="2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(4,716)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3"/>
                <w:szCs w:val="13"/>
                <w:color w:val="auto"/>
              </w:rPr>
              <w:t>Purchase of property and equipment</w:t>
            </w:r>
          </w:p>
        </w:tc>
        <w:tc>
          <w:tcPr>
            <w:tcW w:w="7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cash used in investing activities</w:t>
            </w:r>
          </w:p>
        </w:tc>
        <w:tc>
          <w:tcPr>
            <w:tcW w:w="7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(10)</w:t>
            </w:r>
          </w:p>
        </w:tc>
        <w:tc>
          <w:tcPr>
            <w:tcW w:w="20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3"/>
                <w:szCs w:val="13"/>
                <w:color w:val="auto"/>
              </w:rPr>
              <w:t>(112)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public offering and private placement transactions, net of transaction costs</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1,965</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Proceeds from private investment in public equity transaction, net of transaction costs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1,815</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Proceeds from long-term debt</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5,670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 of deferred finance costs</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w:t>
            </w: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Shares repurchased including vested restricted stock in exchange for withholding taxes</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Payment of long-term debt</w:t>
            </w:r>
          </w:p>
        </w:tc>
        <w:tc>
          <w:tcPr>
            <w:tcW w:w="7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(750)</w:t>
            </w:r>
          </w:p>
        </w:tc>
        <w:tc>
          <w:tcPr>
            <w:tcW w:w="2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Borders>
              <w:bottom w:val="single" w:sz="8" w:color="CCEEFF"/>
            </w:tcBorders>
          </w:tcPr>
          <w:p>
            <w:pPr>
              <w:ind w:left="20"/>
              <w:spacing w:after="0" w:line="142" w:lineRule="exact"/>
              <w:rPr>
                <w:sz w:val="20"/>
                <w:szCs w:val="20"/>
                <w:color w:val="auto"/>
              </w:rPr>
            </w:pPr>
            <w:r>
              <w:rPr>
                <w:rFonts w:ascii="Times New Roman" w:cs="Times New Roman" w:eastAsia="Times New Roman" w:hAnsi="Times New Roman"/>
                <w:sz w:val="13"/>
                <w:szCs w:val="13"/>
                <w:b w:val="1"/>
                <w:bCs w:val="1"/>
                <w:color w:val="auto"/>
              </w:rPr>
              <w:t>Net cash provided by financing activities</w:t>
            </w:r>
          </w:p>
        </w:tc>
        <w:tc>
          <w:tcPr>
            <w:tcW w:w="7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7,929</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3,823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increase (decrease) in cash, cash equivalents, and restricted cash</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896</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(1,005)</w:t>
            </w: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beginning of year</w:t>
            </w:r>
          </w:p>
        </w:tc>
        <w:tc>
          <w:tcPr>
            <w:tcW w:w="7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1,993</w:t>
            </w:r>
          </w:p>
        </w:tc>
        <w:tc>
          <w:tcPr>
            <w:tcW w:w="20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2,998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cash equivalents, and restricted cash at end of year</w:t>
            </w:r>
          </w:p>
        </w:tc>
        <w:tc>
          <w:tcPr>
            <w:tcW w:w="740" w:type="dxa"/>
            <w:vAlign w:val="bottom"/>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2,889</w:t>
            </w:r>
          </w:p>
        </w:tc>
        <w:tc>
          <w:tcPr>
            <w:tcW w:w="480" w:type="dxa"/>
            <w:vAlign w:val="bottom"/>
            <w:gridSpan w:val="2"/>
          </w:tcPr>
          <w:p>
            <w:pPr>
              <w:jc w:val="right"/>
              <w:ind w:right="16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28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46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to amounts on consolidated balance sheets:</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1,150</w:t>
            </w:r>
          </w:p>
        </w:tc>
        <w:tc>
          <w:tcPr>
            <w:tcW w:w="4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Restricted cash reported in prepaid expenses and other current assets</w:t>
            </w:r>
          </w:p>
        </w:tc>
        <w:tc>
          <w:tcPr>
            <w:tcW w:w="740" w:type="dxa"/>
            <w:vAlign w:val="bottom"/>
          </w:tcPr>
          <w:p>
            <w:pPr>
              <w:spacing w:after="0"/>
              <w:rPr>
                <w:sz w:val="12"/>
                <w:szCs w:val="12"/>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Restricted cash reported in other non-current assets</w:t>
            </w:r>
          </w:p>
        </w:tc>
        <w:tc>
          <w:tcPr>
            <w:tcW w:w="74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200" w:type="dxa"/>
            <w:vAlign w:val="bottom"/>
            <w:shd w:val="clear" w:color="auto" w:fill="CCEEFF"/>
          </w:tcPr>
          <w:p>
            <w:pPr>
              <w:spacing w:after="0"/>
              <w:rPr>
                <w:sz w:val="12"/>
                <w:szCs w:val="12"/>
                <w:color w:val="auto"/>
              </w:rPr>
            </w:pPr>
          </w:p>
        </w:tc>
        <w:tc>
          <w:tcPr>
            <w:tcW w:w="28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80" w:type="dxa"/>
            <w:vAlign w:val="bottom"/>
            <w:tcBorders>
              <w:bottom w:val="single" w:sz="8" w:color="CCEEFF"/>
            </w:tcBorders>
          </w:tcPr>
          <w:p>
            <w:pPr>
              <w:ind w:left="120"/>
              <w:spacing w:after="0" w:line="142" w:lineRule="exact"/>
              <w:rPr>
                <w:sz w:val="20"/>
                <w:szCs w:val="20"/>
                <w:color w:val="auto"/>
              </w:rPr>
            </w:pPr>
            <w:r>
              <w:rPr>
                <w:rFonts w:ascii="Times New Roman" w:cs="Times New Roman" w:eastAsia="Times New Roman" w:hAnsi="Times New Roman"/>
                <w:sz w:val="13"/>
                <w:szCs w:val="13"/>
                <w:color w:val="auto"/>
              </w:rPr>
              <w:t>Total cash, cash equivalents, and restricted cash</w:t>
            </w:r>
          </w:p>
        </w:tc>
        <w:tc>
          <w:tcPr>
            <w:tcW w:w="740" w:type="dxa"/>
            <w:vAlign w:val="bottom"/>
            <w:tcBorders>
              <w:bottom w:val="single" w:sz="8" w:color="auto"/>
            </w:tcBorders>
          </w:tcPr>
          <w:p>
            <w:pPr>
              <w:jc w:val="right"/>
              <w:ind w:right="593"/>
              <w:spacing w:after="0" w:line="142"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2,889</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3"/>
                <w:szCs w:val="13"/>
                <w:color w:val="auto"/>
              </w:rPr>
              <w:t>1,993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6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non-cash activities:</w:t>
            </w:r>
          </w:p>
        </w:tc>
        <w:tc>
          <w:tcPr>
            <w:tcW w:w="7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2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3"/>
                <w:szCs w:val="13"/>
                <w:color w:val="auto"/>
              </w:rPr>
              <w:t>Recognition of operating lease right-of-use asset</w:t>
            </w:r>
          </w:p>
        </w:tc>
        <w:tc>
          <w:tcPr>
            <w:tcW w:w="740" w:type="dxa"/>
            <w:vAlign w:val="bottom"/>
            <w:shd w:val="clear" w:color="auto" w:fill="CCEEFF"/>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shd w:val="clear" w:color="auto" w:fill="CCEEFF"/>
          </w:tcPr>
          <w:p>
            <w:pPr>
              <w:jc w:val="right"/>
              <w:ind w:right="16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2,596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28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3"/>
                <w:szCs w:val="13"/>
                <w:color w:val="auto"/>
              </w:rPr>
              <w:t>Recognition of operating lease obligation</w:t>
            </w: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280" w:type="dxa"/>
            <w:vAlign w:val="bottom"/>
            <w:tcBorders>
              <w:bottom w:val="single" w:sz="8" w:color="CCEEFF"/>
            </w:tcBorders>
            <w:vMerge w:val="continue"/>
          </w:tcPr>
          <w:p>
            <w:pPr>
              <w:spacing w:after="0"/>
              <w:rPr>
                <w:sz w:val="14"/>
                <w:szCs w:val="14"/>
                <w:color w:val="auto"/>
              </w:rPr>
            </w:pPr>
          </w:p>
        </w:tc>
        <w:tc>
          <w:tcPr>
            <w:tcW w:w="740" w:type="dxa"/>
            <w:vAlign w:val="bottom"/>
            <w:tcBorders>
              <w:bottom w:val="single" w:sz="8" w:color="auto"/>
            </w:tcBorders>
          </w:tcPr>
          <w:p>
            <w:pPr>
              <w:jc w:val="right"/>
              <w:ind w:right="593"/>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color w:val="auto"/>
              </w:rPr>
              <w:t>2,596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280" w:type="dxa"/>
            <w:vAlign w:val="bottom"/>
            <w:tcBorders>
              <w:bottom w:val="single" w:sz="8" w:color="CCEEFF"/>
            </w:tcBorders>
            <w:shd w:val="clear" w:color="auto" w:fill="CCEEFF"/>
          </w:tcPr>
          <w:p>
            <w:pPr>
              <w:ind w:left="220"/>
              <w:spacing w:after="0" w:line="129" w:lineRule="exact"/>
              <w:rPr>
                <w:sz w:val="20"/>
                <w:szCs w:val="20"/>
                <w:color w:val="auto"/>
              </w:rPr>
            </w:pPr>
            <w:r>
              <w:rPr>
                <w:rFonts w:ascii="Times New Roman" w:cs="Times New Roman" w:eastAsia="Times New Roman" w:hAnsi="Times New Roman"/>
                <w:sz w:val="13"/>
                <w:szCs w:val="13"/>
                <w:color w:val="auto"/>
              </w:rPr>
              <w:t>Issuance of warrants in connection with debt refinancing</w:t>
            </w:r>
          </w:p>
        </w:tc>
        <w:tc>
          <w:tcPr>
            <w:tcW w:w="740" w:type="dxa"/>
            <w:vAlign w:val="bottom"/>
            <w:tcBorders>
              <w:bottom w:val="single" w:sz="8" w:color="auto"/>
            </w:tcBorders>
            <w:shd w:val="clear" w:color="auto" w:fill="CCEEFF"/>
          </w:tcPr>
          <w:p>
            <w:pPr>
              <w:jc w:val="right"/>
              <w:ind w:right="593"/>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648</w:t>
            </w:r>
          </w:p>
        </w:tc>
        <w:tc>
          <w:tcPr>
            <w:tcW w:w="200" w:type="dxa"/>
            <w:vAlign w:val="bottom"/>
            <w:tcBorders>
              <w:bottom w:val="single" w:sz="8" w:color="CCEEFF"/>
            </w:tcBorders>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481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line="20" w:lineRule="exact"/>
              <w:rPr>
                <w:sz w:val="1"/>
                <w:szCs w:val="1"/>
                <w:color w:val="auto"/>
              </w:rPr>
            </w:pPr>
          </w:p>
        </w:tc>
      </w:tr>
      <w:tr>
        <w:trPr>
          <w:trHeight w:val="129"/>
        </w:trPr>
        <w:tc>
          <w:tcPr>
            <w:tcW w:w="6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Supplemental disclosure of cash flow information:</w:t>
            </w:r>
          </w:p>
        </w:tc>
        <w:tc>
          <w:tcPr>
            <w:tcW w:w="7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CCEEFF"/>
          </w:tcPr>
          <w:p>
            <w:pPr>
              <w:spacing w:after="0"/>
              <w:rPr>
                <w:sz w:val="12"/>
                <w:szCs w:val="12"/>
                <w:color w:val="auto"/>
              </w:rPr>
            </w:pPr>
          </w:p>
        </w:tc>
        <w:tc>
          <w:tcPr>
            <w:tcW w:w="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2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Cash paid during the year for interest</w:t>
            </w:r>
          </w:p>
        </w:tc>
        <w:tc>
          <w:tcPr>
            <w:tcW w:w="740" w:type="dxa"/>
            <w:vAlign w:val="bottom"/>
          </w:tcPr>
          <w:p>
            <w:pPr>
              <w:jc w:val="right"/>
              <w:ind w:right="593"/>
              <w:spacing w:after="0"/>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w:t>
            </w:r>
          </w:p>
        </w:tc>
        <w:tc>
          <w:tcPr>
            <w:tcW w:w="480" w:type="dxa"/>
            <w:vAlign w:val="bottom"/>
            <w:gridSpan w:val="2"/>
          </w:tcPr>
          <w:p>
            <w:pPr>
              <w:jc w:val="right"/>
              <w:ind w:right="164"/>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6280" w:type="dxa"/>
            <w:vAlign w:val="bottom"/>
            <w:tcBorders>
              <w:top w:val="single" w:sz="8" w:color="CCEEFF"/>
              <w:bottom w:val="single" w:sz="8" w:color="CCEEFF"/>
            </w:tcBorders>
            <w:shd w:val="clear" w:color="auto" w:fill="CCEEFF"/>
          </w:tcPr>
          <w:p>
            <w:pPr>
              <w:ind w:left="120"/>
              <w:spacing w:after="0" w:line="129" w:lineRule="exact"/>
              <w:rPr>
                <w:sz w:val="20"/>
                <w:szCs w:val="20"/>
                <w:color w:val="auto"/>
              </w:rPr>
            </w:pPr>
            <w:r>
              <w:rPr>
                <w:rFonts w:ascii="Times New Roman" w:cs="Times New Roman" w:eastAsia="Times New Roman" w:hAnsi="Times New Roman"/>
                <w:sz w:val="13"/>
                <w:szCs w:val="13"/>
                <w:color w:val="auto"/>
              </w:rPr>
              <w:t>Cash paid during the year for income taxes</w:t>
            </w:r>
          </w:p>
        </w:tc>
        <w:tc>
          <w:tcPr>
            <w:tcW w:w="740" w:type="dxa"/>
            <w:vAlign w:val="bottom"/>
            <w:tcBorders>
              <w:top w:val="single" w:sz="8" w:color="auto"/>
              <w:bottom w:val="single" w:sz="8" w:color="auto"/>
            </w:tcBorders>
            <w:shd w:val="clear" w:color="auto" w:fill="CCEEFF"/>
          </w:tcPr>
          <w:p>
            <w:pPr>
              <w:jc w:val="right"/>
              <w:ind w:right="593"/>
              <w:spacing w:after="0" w:line="129" w:lineRule="exact"/>
              <w:rPr>
                <w:sz w:val="20"/>
                <w:szCs w:val="20"/>
                <w:color w:val="auto"/>
              </w:rPr>
            </w:pPr>
            <w:r>
              <w:rPr>
                <w:rFonts w:ascii="Times New Roman" w:cs="Times New Roman" w:eastAsia="Times New Roman" w:hAnsi="Times New Roman"/>
                <w:sz w:val="13"/>
                <w:szCs w:val="13"/>
                <w:color w:val="auto"/>
                <w:w w:val="91"/>
              </w:rPr>
              <w:t>$</w:t>
            </w:r>
          </w:p>
        </w:tc>
        <w:tc>
          <w:tcPr>
            <w:tcW w:w="4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515</w:t>
            </w:r>
          </w:p>
        </w:tc>
        <w:tc>
          <w:tcPr>
            <w:tcW w:w="20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Nature of Operations, Background, and Basis of Presentation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Xcel Brands, Inc. (“Xcel” and, together with its subsidiaries, the “Company”) is a media and consumer products company engaged in the design, licensing, marketing, live streaming, and social commerce sales of branded apparel, footwear, accessories, fine jewelry, home goods and other consumer products, and the acquisition of dynamic consumer lifestyle brands.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primarily generates revenue through the licensing of its brands through contractual arrangements with manufacturers and retailers. The Company, through its licensees, distributes through an omni-channel and social commerce sales strategy which includes the promotion and sale of products under its brands through interactive television, digital live-stream shopping, social commerce, brick-and-mortar retailers, and e-commerce channels.</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Prior to 2024, the Company also engaged in certain wholesale and direct-to-consumer sales of products under its brands. During the year ended December 31, 2024, the Company sold off all of its residual jewelry inventories and all remaining inventory related to the Longaberger brand; these final sales to third parties were the only net sales and cost of goods sold recognized for the year ending December 31, 2024. As of December 31, 2024, the Company has no remaining inventory.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Brand Portfolio</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Currently, the Company’s brand portfolio consists of the following:</w:t>
      </w:r>
    </w:p>
    <w:p>
      <w:pPr>
        <w:spacing w:after="0" w:line="225" w:lineRule="exact"/>
        <w:rPr>
          <w:sz w:val="20"/>
          <w:szCs w:val="20"/>
          <w:color w:val="auto"/>
        </w:rPr>
      </w:pPr>
    </w:p>
    <w:p>
      <w:pPr>
        <w:ind w:left="720" w:hanging="319"/>
        <w:spacing w:after="0"/>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Halston, Judith Ripka, and C Wonder brands, which are wholly owned by Xcel;</w:t>
      </w:r>
    </w:p>
    <w:p>
      <w:pPr>
        <w:spacing w:after="0" w:line="225"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Longaberger by Shannon Doherty brand, which Xcel manages through its 50% ownership interest in Longaberger Licensing, LLC; the Company consolidates Longaberger Licensing, LLC and recognizes noncontrolling interest for the remaining ownership interest held by a third party (see Note 3 for additional details);</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TowerHill by Christie Brinkley brand, which is a co-branded collaboration between Xcel and Christie Brinkley that launched in May 2024;</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Trust-Respect-Love by Cesar Millan brand, which is a new co-branded collaboration between Xcel and Cesar Millan that is planned to launch in Spring 2026;</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GemmaMade by Gemma Stafford brand, which is a new co-branded collaboration between Xcel and Gemma Stafford that is planned to launch in Spring 2026;</w:t>
      </w:r>
    </w:p>
    <w:p>
      <w:pPr>
        <w:spacing w:after="0" w:line="161"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Off/Duty by Coco Rocha brand, which is a new co-branded collaboration between Xcel and Coco Rocha, which is planned to launch in Fall 2026; and</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6" w:lineRule="auto"/>
        <w:tabs>
          <w:tab w:leader="none" w:pos="7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Mesa Mia by Jenny Martinez, which is a brand owned by Mexican home influencer Jenny Martinez, and for which Xcel holds the television rights through a long-term license agreement and expects to launch in Spring 2026.</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brand portfolio also formerly included:</w:t>
      </w:r>
    </w:p>
    <w:p>
      <w:pPr>
        <w:spacing w:after="0" w:line="225" w:lineRule="exact"/>
        <w:rPr>
          <w:sz w:val="20"/>
          <w:szCs w:val="20"/>
          <w:color w:val="auto"/>
        </w:rPr>
      </w:pPr>
    </w:p>
    <w:p>
      <w:pPr>
        <w:ind w:left="720" w:right="79" w:hanging="319"/>
        <w:spacing w:after="0" w:line="282" w:lineRule="auto"/>
        <w:tabs>
          <w:tab w:leader="none" w:pos="7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LOGO by Lori Goldstein brand (the “Lori Goldstein brand”) as a wholly owned brand from April 1, 2021 through June 30, 2024 (see Note 3 for additional details); and</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ind w:left="720" w:right="79" w:hanging="319"/>
        <w:spacing w:after="0" w:line="282" w:lineRule="auto"/>
        <w:tabs>
          <w:tab w:leader="none" w:pos="7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Isaac Mizrahi brand, in which the Company held a noncontrolling ownership interest through October 1, 2025 (see Note 3 for additional details).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Going Concern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consolidated financial statements have been prepared assuming that the Company will continue as a going concern. The Company has incurred recurring losses, a history of cash flows used in operating activities, and an accumulated deficit. Although the Company has undertaken significant restructuring and cost reduction efforts, obtained additional funding through a combination of equity issuances and debt financing, and continues to explore strategic financing alternatives and operational efficiencies to improve liquidity (see Note 12 for information regarding financing transactions entered into subsequent to year-end), management has determined that there is nonetheless substantial doubt about the Company’s ability to meet its financial obligations as they become due within twelve months from the date these financial statements are issued. The consolidated financial statements do not include any adjustments that might result from the outcome of this uncertainty.</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Xcel, its wholly owned subsidiaries, and entities in which Xcel has a controlling financial interest as of and for the years ended December 31, 2025 (the "Current Year") and 2024 (the "Prior Year"). The consolidated financial statements have been prepared in accordance with accounting principles generally accepted in the United States of America (“GAAP”) and in accordance with the accounting rules under Regulation S-X, as promulgated by the Securities and Exchange Commission (“SEC”). All significant intercompany accounts and transactions have been eliminated in consolidation, and net earnings have been adjusted by the portion of operating results of consolidated entities attributable to noncontrolling interests.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Investments in Unconsolidated Affiliates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accounts for investments in entities over which it has the ability to exercise significant influence, but does not control, under the equity method of accounting, and recognizes its proportionate share of income or losses from the investee within other operating costs and expenses (income) in the consolidated statements of operations. The proportionate share of income or losses of an equity method investee is generally determined based on the investor’s proportional ownership interest. However, in cases where contractual agreements specify allocation ratios for profits and losses, specified costs and expenses, and/or distributions of cash from operations, that differ from the Company’s ownership interest, the Company uses such specified allocation ratios for purposes of determining its share of income or losses from the investee if the agreement is considered substantive. As of December 31, 2025, the Company no longer has any investments accounted for under the equity method.</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Investments in entities in which the Company does not have the ability to exercise significant influence nor control, are generally required to be accounted for at fair value, with unrealized holding gains and losses included in other operating costs and expenses (income) in the consolidated statements of operations. However, the Company may elect to measure an equity security without a readily determinable fair value at adjusted cost, less impairment, plus or minus observable price changes of an identical or similar investment of the same issue.</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reviews its investments in unconsolidated affiliates that are not accounted for at fair value whenever there are indicators that their carrying value may not be recoverable; if a decrease in value of the investment has occurred and such decrease is determined to be other than temporary in nature, the company records an impairment charge to reduce the carrying amount of the investment to its fair value.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Change in Capital Structure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described more fully in Note 7, effective March 24, 2025, the Company effected a 1-for-10 reverse stock split for all of its issued and outstanding common stock. All share and per share amounts presented in these consolidated financial statements and accompanying notes, including but not limited to shares issued and outstanding, earnings/(loss) per share, and warrants and options, as well as the dollar amounts of common stock and paid-in capital, have been retroactively adjusted for all periods presented in order to reflect this change in capital structure. There were no changes to the total number of authorized common shares or par value per common share as a result of this change.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preparation of the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Making estimates requires management to exercise significant judgment. It is at least reasonably possible that the estimate of the effect of a condition, situation, or set of circumstances that existed at the date of the consolidated financial statements, which management considered in formulating its estimate, could change in the near term due to one or more future confirming events. Accordingly, the actual results could differ significantly from estimates.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deems the following items to require significant estimates from management:</w:t>
      </w:r>
    </w:p>
    <w:p>
      <w:pPr>
        <w:spacing w:after="0" w:line="225" w:lineRule="exact"/>
        <w:rPr>
          <w:sz w:val="20"/>
          <w:szCs w:val="20"/>
          <w:color w:val="auto"/>
        </w:rPr>
      </w:pPr>
    </w:p>
    <w:p>
      <w:pPr>
        <w:ind w:left="700" w:hanging="293"/>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recognition;</w:t>
      </w:r>
    </w:p>
    <w:p>
      <w:pPr>
        <w:spacing w:after="0" w:line="225" w:lineRule="exact"/>
        <w:rPr>
          <w:rFonts w:ascii="Times New Roman" w:cs="Times New Roman" w:eastAsia="Times New Roman" w:hAnsi="Times New Roman"/>
          <w:sz w:val="18"/>
          <w:szCs w:val="18"/>
          <w:color w:val="auto"/>
        </w:rPr>
      </w:pPr>
    </w:p>
    <w:p>
      <w:pPr>
        <w:ind w:left="700" w:hanging="293"/>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Useful lives of trademarks;</w:t>
      </w:r>
    </w:p>
    <w:p>
      <w:pPr>
        <w:spacing w:after="0" w:line="225" w:lineRule="exact"/>
        <w:rPr>
          <w:rFonts w:ascii="Times New Roman" w:cs="Times New Roman" w:eastAsia="Times New Roman" w:hAnsi="Times New Roman"/>
          <w:sz w:val="18"/>
          <w:szCs w:val="18"/>
          <w:color w:val="auto"/>
        </w:rPr>
      </w:pPr>
    </w:p>
    <w:p>
      <w:pPr>
        <w:ind w:left="740" w:right="79" w:hanging="333"/>
        <w:spacing w:after="0" w:line="282" w:lineRule="auto"/>
        <w:tabs>
          <w:tab w:leader="none" w:pos="707"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used in the valuation of intangible assets, including cash flow estimates for initial determinations of fair value and/or impairment analysis;</w:t>
      </w:r>
    </w:p>
    <w:p>
      <w:pPr>
        <w:spacing w:after="0" w:line="161" w:lineRule="exact"/>
        <w:rPr>
          <w:rFonts w:ascii="Times New Roman" w:cs="Times New Roman" w:eastAsia="Times New Roman" w:hAnsi="Times New Roman"/>
          <w:sz w:val="18"/>
          <w:szCs w:val="18"/>
          <w:color w:val="auto"/>
        </w:rPr>
      </w:pPr>
    </w:p>
    <w:p>
      <w:pPr>
        <w:ind w:left="700" w:hanging="293"/>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Accounting for and valuation of investments in unconsolidated affiliates; and</w:t>
      </w:r>
    </w:p>
    <w:p>
      <w:pPr>
        <w:spacing w:after="0" w:line="225" w:lineRule="exact"/>
        <w:rPr>
          <w:rFonts w:ascii="Times New Roman" w:cs="Times New Roman" w:eastAsia="Times New Roman" w:hAnsi="Times New Roman"/>
          <w:sz w:val="18"/>
          <w:szCs w:val="18"/>
          <w:color w:val="auto"/>
        </w:rPr>
      </w:pPr>
    </w:p>
    <w:p>
      <w:pPr>
        <w:ind w:left="700" w:hanging="293"/>
        <w:spacing w:after="0"/>
        <w:tabs>
          <w:tab w:leader="none" w:pos="7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Valuation allowances and effective tax rate for tax purposes.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highly liquid investments with original maturities of three months or less are considered to be cash equivalents.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Restricted cash at December 31, 2025 consisted of $0.7 million of cash deposited as collateral for a standby letter of credit associated with a real estate lease and $1.0 million of cash deposited in a bank account to satisfy a liquidity covenant in the Company’s term loan debt agreement. Restricted cash at December 31, 2024 consisted of $0.7 million of cash deposited as collateral for a standby letter of credit associated with a real estate lease.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Accounts receivable are reported net of an allowance for credit losses. As of December 31, 2025 and 2024, the Company had approximately $1.0 million and $2.3 million, respectively, of accounts receivable, net of allowances of $0.03 million and $0.00 million,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allowance for credit losses reflects lifetime expected credit losses and is determined based upon a variety of judgments and factors. Factors considered in determining the allowance include historical collection, write-off experience, and management's assessment of collectibility from customers, including current conditions, reasonable forecasts, and expectations of future collectibility and collection efforts. Management continuously assesses the collectibility of receivables and adjusts estimates based on actual experience and future expectations based on economic indicators. Management also monitors the aging analysis of receivables to determine if there are changes in the collections of accounts receivable. Receivable balances are written-off against the allowance for credit losses when such balances are deemed to be uncollectible.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rollforward of the allowance for credit losses for the Current Year and Prior Year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6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Credit loss expense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16"/>
        </w:trPr>
        <w:tc>
          <w:tcPr>
            <w:tcW w:w="6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(recovery of previously written-off amount)</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6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6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and 2024, there was no earned revenue that had been accrued but not billed.</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January 1, 2024, inventory was composed of residual jewelry inventories related to the Judith Ripka brand and home goods and related items for the Longaberger brand. Such inventories consisted solely of finished goods, and were recorded at the lower of cost or net realizable value, with cost determined on a weighted average basis. During the Prior Year, the Company sold all of its remaining inventory items, and as of December 31, 2024, the Company had no remaining inventory.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Furniture, equipment, and software are stated at cost less accumulated depreciation and amortization, and are depreciated using the straight-line method over their estimated useful lives, generally three (3) to seven (7) years. Depreciation expense for the Current Year and Prior Year was approximately $0.06 million and $0.12 million, respectively.</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Leasehold improvements are amortized over the shorter of their estimated useful lives or the terms of the leases. Betterments and improvements are capitalized, while repairs and maintenance are expensed as incurred. Costs to develop or acquire software for internal use incurred during the preliminary project stage and the post implementation stage are expensed, while internal and external costs to acquire or develop software for internal use incurred during the application development stage – including design, configuration, coding, testing, and installation – are generally capitalized.</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long-lived property and equipment assets are reviewed for impairment whenever events or changes in circumstances indicate that their carrying value may not be recoverable. To perform such impairment testing, the Company groups assets and liabilities at the lowest level for which identifiable cash flows are largely independent of the cash flows of other assets and liabilities and evaluates the asset group against the sum of undiscounted future cash flows. If the undiscounted cash flows do not indicate the carrying amount of the asset is recoverable, an impairment charge is measured as the amount by which the carrying amount of the asset group exceeds its fair value based on a discounted cash flows analysis or appraisals.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Trademarks and Other Intangible Assets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finite-lived intangible assets are amortized over their estimated useful lives of three (3) to eighteen</w:t>
      </w:r>
    </w:p>
    <w:p>
      <w:pPr>
        <w:spacing w:after="0" w:line="27" w:lineRule="exact"/>
        <w:rPr>
          <w:sz w:val="20"/>
          <w:szCs w:val="20"/>
          <w:color w:val="auto"/>
        </w:rPr>
      </w:pPr>
    </w:p>
    <w:p>
      <w:pPr>
        <w:jc w:val="both"/>
        <w:ind w:left="60" w:right="59" w:hanging="10"/>
        <w:spacing w:after="0" w:line="253" w:lineRule="auto"/>
        <w:tabs>
          <w:tab w:leader="none" w:pos="431"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The Company re-evaluates the remaining useful life of its finite-lived intangible assets on an annual basis, based on consideration of current events and circumstances, the expected use of the asset, and the effects of demand, competition, and other economic factors. No changes were made to the estimated useful lives of intangible assets in the Current Year or Prior Year.</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Company’s finite-lived intangible assets are reviewed for impairment whenever events or changes in circumstances indicate that their carrying value may not be recoverable. To perform such impairment testing, the Company groups assets and liabilities at the lowest level for which identifiable cash flows are largely independent of the cash flows of other assets and liabilities and evaluates the asset group against the sum of undiscounted future cash flows. If the undiscounted cash flows do not indicate the carrying amount of the asset is recoverable, an impairment charge is measured as the amount by which the carrying amount of the asset group exceeds its fair value, based on a discounted cash flows analysis or appraisals. No impairment charges were recorded related to intangible assets for the Current Year or Prior Year.</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4 for additional information related to the Company’s trademarks and other intangible assets.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Finance Costs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Costs incurred in connection with borrowings under term loans (primarily professional fees and lender underwriting fees) are deferred on the consolidated balance sheet as a reduction to the carrying value of the associated borrowings, and are amortized as interest expense over the term of the related borrowings using the effective interest method.</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When accounting for asset acquisitions, if any contingent obligations exist and the fair value of the assets acquired is greater than the consideration paid, any contingent obligations are recognized and recorded as the positive difference between the fair value of the assets acquired and the consideration paid for the acquired assets.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When accounting for asset acquisitions, if any contingent obligations exist and the fair value of the assets acquired are equal to the consideration paid, any contingent obligations are recognized based upon the Company’s best estimate of the amount that will be paid to settle the liability.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Under applicable accounting guidance, the Company is generally required to carry such contingent liability balances on its consolidated balance sheet until the measurement period of the earn-out expires and all related contingencies have been resolved.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9 for additional information related to the Company’s contingent obligations.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applies the guidance in ASC Topic 606, “Revenue from Contracts with Customers” to recognize revenue.</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Specifically, the Company recognizes revenue continuously over time as it satisfies its continuous obligation of granting access to its licensed intellectual properties, which are deemed symbolic intellectual properties under ASC Topic 606. The Company determines the transaction price based on the terms of the contract. Payments are typically due after sales have occurred and have been reported by the licensees or, where applicable, in accordance with minimum guaranteed payment provisions. The timing of performance obligations is typically consistent with the timing of payments, though there may be differences if contracts provide for advances or significant escalations of contractually guaranteed minimum payments. With the exception of the Halston Master License agreement described in Note 5, there were no such differences that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would have a material impact on the Company’s consolidated balance sheets as of December 31, 2025 and 2024. In accordance with ASC 606-10-55-65, the Company recognizes net licensing revenue at the later of when (1) the subsequent sale or usage occurs or (2) the performance obligation to which some or all of the sales- or usage-based royalty has been allocated is satisfied (in whole or in part). More specifically, the Company separately identifies:</w:t>
      </w:r>
    </w:p>
    <w:p>
      <w:pPr>
        <w:spacing w:after="0" w:line="180" w:lineRule="exact"/>
        <w:rPr>
          <w:sz w:val="20"/>
          <w:szCs w:val="20"/>
          <w:color w:val="auto"/>
        </w:rPr>
      </w:pPr>
    </w:p>
    <w:p>
      <w:pPr>
        <w:jc w:val="both"/>
        <w:ind w:left="1040" w:right="79" w:hanging="315"/>
        <w:spacing w:after="0" w:line="258"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based on experience, royalties are expected to exceed any applicable minimum guaranteed payments, and to which an output-based measure of progress based on the “right to invoice” practical expedient is applied because the royalties due for each period correlate directly with the value to the customer of the Company’s performance in each period (this approach is identified as “View A” by the FASB Revenue Recognition Transition Resource Group, “TRG”); and</w:t>
      </w:r>
    </w:p>
    <w:p>
      <w:pPr>
        <w:spacing w:after="0" w:line="183" w:lineRule="exact"/>
        <w:rPr>
          <w:rFonts w:ascii="Times New Roman" w:cs="Times New Roman" w:eastAsia="Times New Roman" w:hAnsi="Times New Roman"/>
          <w:sz w:val="18"/>
          <w:szCs w:val="18"/>
          <w:color w:val="auto"/>
        </w:rPr>
      </w:pPr>
    </w:p>
    <w:p>
      <w:pPr>
        <w:jc w:val="both"/>
        <w:ind w:left="1040" w:right="79" w:hanging="315"/>
        <w:spacing w:after="0" w:line="256" w:lineRule="auto"/>
        <w:tabs>
          <w:tab w:leader="none" w:pos="10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 for which revenue is recognized based on minimum guaranteed payments using an appropriate measure of progress, in which minimum guaranteed payments are straight-lined over the term of the contract and recognized ratably based on the passage of time, and to which the royalty recognition constraint to the sales-based royalties in excess of minimum guaranteed is applied and such sales-based royalties are recognized to the distinct period only when the minimum guaranteed is exceeded on a cumulative basis (this approach is identified as “View C” by the TRG).</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Company’s unconditional right to receive consideration based on the terms and conditions of licensing contracts is presented as accounts receivable on the accompanying consolidated balance sheets.</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does not typically provide access to its licensed intellectual properties or provide services to customers before the customer pays or before payment is due, thus the amounts of contract assets as defined by ASC 606-10-45-3 related to licensing contracts were not material as of December 31, 2025 and 2024.</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Company does not typically receive consideration in advance of performance and, consequently, amounts of contract liabilities as defined by ASC 606-10-45-2 related to licensing contracts are generally not material; however, as of December 31, 2025 and 2024, the Company has recognized approximately $3.1 million and $3.6 million, respectively, of deferred revenue contract liabilities on its consolidated balance sheet related to the Halston Master License agreement (see Note 5 for additional details). With respect to this agreement, the Company recognized approximately $0.89 million of revenue during each of the years ended December 31, 2025 and 2024, that was included in the contract liability balances as of January 1, 2025 and 2024, respectively</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does not disclose the amount attributable to unsatisfied or partially satisfied performance obligations for variable revenue contracts (identified under “View A” above) in accordance with the optional exemption allowed under ASC 606. The Company did not have any revenue recognized in the reporting period from performance obligations satisfied, or partially satisfied, in previous periods. Remaining minimum guaranteed payments for active contracts as of December 31, 2025 are expected to be recognized ratably in accordance with View C over the remaining term of each contract based on the passage of time and through December 2028, subject to renewal or extension upon termination.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Advertising Costs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All costs associated with production for the Company’s advertising, marketing, and promotion are expensed during the periods when the activities take place. All other advertising costs, such as print and online media, are expensed when the advertisement occurs. The Company incurred approximately $0.10 million and $0.73 million in advertising and marketing costs for the Current Year and Prior Year, respectively, which are included within other selling, general and administrative expenses in the accompanying consolidated statements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determines if an arrangement is a lease (as defined in ASC Topic 842) at the inception of the arrangement. The Company generally recognizes a right-of-use (“ROU”) asset, representing its right to use the underlying leased asset for the lease term, and a liability for its obligation to make future lease payments (the lease liability) at commencement date (the date on which the lessor makes the underlying asset available for use) based on the present value of lease payments over the lease term. The Company does not recognize ROU assets and lease liabilities for lease terms of 12 months or less, but recognizes such lease payments in operations on a straight-line basis over the lease terms.</w:t>
      </w:r>
    </w:p>
    <w:p>
      <w:pPr>
        <w:spacing w:after="0" w:line="18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the Company’s leases typically do not provide an implicit rate, the Company generally uses its incremental borrowing rate based on the information available at commencement date in determining the present value of lease payments. Lease terms may include options to extend or terminate the lease when it is reasonably certain that the Company will exercise that option.</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real estate leases of office space, the Company accounts for the lease and non-lease components as a single lease component. Variable lease payments that do not depend on an index or rate (such as real estate taxes and building insurance and lessee’s shares thereof), if any, are excluded from lease payments at lease commencement date for initial measurement. Subsequent to initial measurement, these variable payments are recognized when the event determining the amount of variable consideration to be paid occurs.</w:t>
      </w:r>
    </w:p>
    <w:p>
      <w:pPr>
        <w:spacing w:after="0" w:line="183"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Lease expense for operating lease payments is generally recognized on a straight-line basis over the lease term. The Company recognizes income from subleases (in which the Company is the sublessor) on a straight-line basis over the term of the sublease, as a reduction to lease expense.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9 for additional information related to the Company’s leases.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accounts for stock-based compensation by recognizing the fair value of stock-based compensation as an operating expense over the service period of the award or term of the corresponding contract, as applicable. Non-employee awards are similarly measured at the grant date fair value of the equity instruments to be issued, and the Company recognizes compensation cost for grants to non-employees on a straight-line basis over the period of the grant.</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For stock option awards for which vesting is contingent upon the achievement of certain performance targets, the timing and amount of compensation expense recognized is also based upon the Company’s projections and estimates of the relevant performance metric(s) until the time the performance obligation is satisfied. Expense for such awards is recognized only to the extent that the achievement of the specified performance target(s) has been met or is considered probable.</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accounts for forfeitures as a reduction of compensation cost in the period when such forfeitures occur.</w:t>
      </w:r>
    </w:p>
    <w:p>
      <w:pPr>
        <w:spacing w:after="0" w:line="22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fair value of restricted stock awards and other stock awards is determined via reference to the quoted market price of the Company’s common shares on the NASDAQ Capital Market at the date of grant.</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fair value of warrants and most stock options (i.e., stock options with service-based or performance-based vesting) is estimated on the date of grant using the Black-Scholes option pricing model. The valuation determined by the Black-Scholes option pricing model is affected by the Company’s stock price as well as assumptions regarding a number of highly complex and subjective variables. These variables include, but are not limited to, the expected life of the awards and the expected stock price volatility over the terms of the awards. The expected life is based on the estimated average life of options and warrants using the simplified method; the Company utilizes the simplified method to determine the expected life of the options and warrants due to insufficient exercise activity during recent years as a basis from which to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estimate future exercise patterns. The risk-free rate is based on the U.S. Treasury rate for the expected term at the time of grant, volatility is based on the historical volatility of the Company’s common stock, and the expected dividend assumption is based on the Company’s history and expectation of dividend payouts.</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fair value of stock options with market-based vesting is estimated using a binomial lattice model. The valuation determined by a binomial lattice model is affected by the Company’s stock price as well as assumptions regarding a number of highly complex and subjective variables, such as but not limited to, expected stock price volatility over the terms of the awards. Expected volatility is based on the historical volatility of the Company’s common stock, while the risk-free rate is based on the U.S. Treasury rate for the term of the options at the time of grant, and the expected dividend assumption is based on the Company’s history and expectation of dividend payouts.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7 for additional information related to stock-based compensation.</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Current income taxes are based on the respective period’s taxable income for federal and state income tax reporting purposes. Deferred tax assets and liabilities are determined based on the differences between the financial statement and income tax bases of assets and liabilities, using enacted tax rates and laws that will be in effect for the year in which the differences are expected to reverse.</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valuation allowance is recognized when necessary to reduce deferred tax assets to the amount expected to be realized. In determining the need for a valuation allowance, management reviews both positive and negative evidence, including current and historical results of operations, future income projections, and the overall prospects of the Company’s business. A valuation allowance is established if, based on the weight of available evidence, it is more likely than not that some portion or all of the deferred tax assets will not be realized.</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applies the applicable FASB guidance on accounting for uncertainty in income taxes, which prescribes a recognition threshold and measurement process for financial statement recognition and measurement of a tax position taken or expected to be taken in a tax return, and also addresses derecognition, classification, interest, and penalties related to uncertain tax positions. The Company has no unrecognized tax benefits as of December 31, 2025 and 2024. Interest and penalties related to uncertain tax positions, if any, are recorded in income tax expense. Tax years that remain open for assessment for federal and state tax purposes include the years ended December 31, 2021 through December 31, 2025.</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income tax effects of changes in tax laws are recognized in the period when enacted.</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Note 10 for additional information related to income taxes.</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ASC Topic 820, “Fair Value Measurement,” defines fair value and establishes a framework for measuring fair value under GAAP. 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the Company’s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For certain of the Company’s financial instruments, including cash and cash equivalents, restricted cash, accounts receivable, and accounts payable, the carrying amounts approximate fair value due to the short-term maturities of these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instruments. The carrying value of term loan debt approximates fair value due to the floating interest rate structure of the term loan agreement.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principally of cash and cash equivalents, restricted cash, and accounts receivable. The Company limits its credit risk with respect to cash and cash equivalents and restricted cash by maintaining such balances with high quality financial institutions. At times, the Company’s cash and cash equivalents and restricted cash may exceed federally insured limits. Concentrations of credit risk with respect to accounts receivable are not considered significant due to the collection history and due to the nature of the Company’s royalty revenues. Generally, the Company does not require collateral or other security to support accounts receivable.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Basic earnings (loss) per share is computed by dividing net income (loss) available to common stockholders by the weighted average number of common shares outstanding during the period, excluding the effects of any potentially dilutive securities. Diluted earnings (loss) per share reflect, in periods in which they have a dilutive effect, the effect of common shares issuable upon the exercise of stock options and warrants using the treasury stock method. The difference between basic and diluted weighted-average common shares results from the assumption that all dilutive stock options and warrants outstanding were exercised into common stock if the effect is not anti-dilutive. See Note 8 for additional information related to earnings (loss) per share.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 Information</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a single reportable segment, which generates revenue from the design and licensing of branded apparel, jewelry, and similar consumer products. The Company derives revenue in North America and manages its business activities on a consolidated basis.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Company’s chief operating decision maker, as such term is defined under GAAP, is its Chief Executive Officer. The accounting policies of the Company’s single reportable segment are the same as those for the Company as a whole.</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chief operating decision maker assesses performance for the single reportable segment and decides how to allocate resources based on net income that also is reported on the income statement as consolidated net income. The chief operating decision maker analyzes and reviews business performance based on available sales data from key licensees and quarterly sales and royalty reports provided by its licensees in addition to assessing the overall operating results on a monthly basis. The measure of segment assets is reported on the balance sheet as total consolidated assets, and, as the Company has a single reportable segment, the Company’s resources are applicable to the business as a whole. The Company does not have intra-entity sales or transfers.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18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Accounting Standards Update (“ASU”) No. 2023-09, “Income Taxes (Topic 740): Improvements to Income Tax Disclosures.” This ASU requires disclosure of additional categories of information about federal, state, and foreign income taxes in the rate reconciliation table and requires entities to provide more details about the reconciling items in some categories if items meet a quantitative threshold. The ASU also requires entities to disclose income taxes paid, net of refunds, disaggregated by federal (national), state, and foreign taxes for annual periods and to disaggregate the information by jurisdiction based on a quantitative threshold. The guidance makes several other changes to the disclosure requirements.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ASU 2023-09 was effective for the Company for the fiscal year ending December 31, 2025. The Company adopted the new standard effective January 1, 2025, which primarily resulted in expanded disclosures in the rate reconciliation table and regarding certain reconciling items. In accordance with the transition provisions of ASU 2023-09, we applied the guidance prospectively; as a result, prior-period comparative disclosures have not been restated and continue to reflect the presentation requirements in effect at that time. See Note 10 for additional information. As the requirements of this ASU relate to disclosure only, the adoption of this ASU did not have a significant impact on the company’s consolidated financial statements.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November 2024, the FASB issued ASU No. 2024-03, “Income Statement – Reporting Comprehensive Income – Expense Disaggregation Disclosures (Subtopic 220-40): Disaggregation of Income Statement Expenses.” This ASU requires public business entities to disclose specified information about certain costs and expenses, including but not limited to purchases of inventory, employee compensation, depreciation, and intangible asset amortization, in a tabular format within the notes to their financial statements, as well as provide additional disclosures related to certain other specified expenses. The ASU may be applied on either a prospective or retrospective basis, and is effective for annual reporting periods beginning after December 15, 2026 and interim reporting periods beginning after December 15, 2027. The Company is currently evaluating the ASU to determine its impact on the Company's disclosures.</w:t>
      </w:r>
    </w:p>
    <w:p>
      <w:pPr>
        <w:spacing w:after="0" w:line="19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other accounting pronouncements recently issued by the FASB that are considered significant or relevant to the Company.</w:t>
      </w:r>
    </w:p>
    <w:p>
      <w:pPr>
        <w:spacing w:after="0" w:line="158" w:lineRule="exact"/>
        <w:rPr>
          <w:sz w:val="20"/>
          <w:szCs w:val="20"/>
          <w:color w:val="auto"/>
        </w:rPr>
      </w:pPr>
    </w:p>
    <w:p>
      <w:pPr>
        <w:ind w:left="60" w:right="2319"/>
        <w:spacing w:after="0" w:line="479" w:lineRule="auto"/>
        <w:rPr>
          <w:sz w:val="20"/>
          <w:szCs w:val="20"/>
          <w:color w:val="auto"/>
        </w:rPr>
      </w:pPr>
      <w:r>
        <w:rPr>
          <w:rFonts w:ascii="Times New Roman" w:cs="Times New Roman" w:eastAsia="Times New Roman" w:hAnsi="Times New Roman"/>
          <w:sz w:val="18"/>
          <w:szCs w:val="18"/>
          <w:b w:val="1"/>
          <w:bCs w:val="1"/>
          <w:color w:val="auto"/>
        </w:rPr>
        <w:t xml:space="preserve">3. Investments in Unconsolidated Affiliates, Variable Interest Entities, and Divestitures </w:t>
      </w:r>
      <w:r>
        <w:rPr>
          <w:rFonts w:ascii="Times New Roman" w:cs="Times New Roman" w:eastAsia="Times New Roman" w:hAnsi="Times New Roman"/>
          <w:sz w:val="18"/>
          <w:szCs w:val="18"/>
          <w:b w:val="1"/>
          <w:bCs w:val="1"/>
          <w:i w:val="1"/>
          <w:iCs w:val="1"/>
          <w:color w:val="auto"/>
        </w:rPr>
        <w:t>Investment in IM Topco, LLC</w:t>
      </w:r>
    </w:p>
    <w:p>
      <w:pPr>
        <w:spacing w:after="0" w:line="1"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31, 2022, Xcel sold 70% of the membership interests of IM Topco, LLC, a former subsidiary which holds the trademarks and other intellectual property rights relating to the Isaac Mizrahi brand, to a subsidiary of WHP Global (“WHP”), a private equity-backed brand management and licensing company.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From June 1, 2022 through April 15, 2025, the Company accounted for its 30% retained interest in the ongoing operations of IM Topco as a component of other operating costs and expenses (income) under the equity method of accounting, using the distribution provisions set forth in the governing business venture agreement between the Company and WHP.</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and effective April 15, 2025, pursuant to certain provisions contained in the May 31, 2022 membership interest purchase agreement between Xcel and WHP (as amended), the Company and two subsidiaries of WHP entered into a membership interest transfer agreement, under which Xcel transferred to WHP equity interests equal to 12.5% of the outstanding equity interests of IM Topco. As a result of the transfer, Xcel’s interest in IM Topco was reduced from a 30% equity interest to a 17.5% equity interest.</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Accordingly, as of and effective April 15, 2025, the Company concluded that as it no longer held significant influence over IM Topco, and discontinued the application of the equity method of accounting. In accordance with relevant GAAP guidance, the Company remeasured its retained investment in IM Topco as of the date of discontinuance of the equity method, which was not significantly different from the value reflected on the Company’s condensed consolidated balance sheet at March 31, 2025. From April 15, 2025 through October 1, 2025, as the equity securities of IM Topco are not publicly traded and do not have readily determinable fair values, the Company elected to measure its investment in IM Topco in accordance with ASC 321-10-35-2: at adjusted cost, less impairment, plus or minus observable price changes of an identical or similar investment of the same issuer.</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and effective September 26, 2025, the Company, IM Topco, and two subsidiaries of WHP entered into a settlement agreement, pursuant to which the Company agreed to transfer all of its remaining equity interests in IM Topco to WHP, in exchange for (i) the release of the Company’s liability under a license agreement with IM Topco (see Note 11) and (ii)</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6" w:name="page67"/>
    <w:bookmarkEnd w:id="6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capital appreciation right for the Company to receive 15% of the net consideration received by IM Topco and/or WHP in excess of $46 million in connection with any potential future capital transaction involving IM Topco which occurs on or before September 1, 2032. All remaining IM Topco equity interests were transferred to WHP on October 1, 2025.</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Current Year, the Company recognized a $6.01 million loss related to its investment in IM Topco, comprised of:</w:t>
      </w:r>
    </w:p>
    <w:p>
      <w:pPr>
        <w:spacing w:after="0" w:line="225" w:lineRule="exact"/>
        <w:rPr>
          <w:sz w:val="20"/>
          <w:szCs w:val="20"/>
          <w:color w:val="auto"/>
        </w:rPr>
      </w:pPr>
    </w:p>
    <w:p>
      <w:pPr>
        <w:ind w:left="1040" w:hanging="63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$0.21 million equity method loss,</w:t>
      </w:r>
    </w:p>
    <w:p>
      <w:pPr>
        <w:spacing w:after="0" w:line="225" w:lineRule="exact"/>
        <w:rPr>
          <w:rFonts w:ascii="Times New Roman" w:cs="Times New Roman" w:eastAsia="Times New Roman" w:hAnsi="Times New Roman"/>
          <w:sz w:val="18"/>
          <w:szCs w:val="18"/>
          <w:color w:val="auto"/>
        </w:rPr>
      </w:pPr>
    </w:p>
    <w:p>
      <w:pPr>
        <w:jc w:val="both"/>
        <w:ind w:left="1040" w:right="79" w:hanging="639"/>
        <w:spacing w:after="0" w:line="261"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$5.53 million other-than-temporary impairment of the Company’s investment in IM Topco, stemming from a decline in the fair value of the investment related to the continuing declines in IM Topco’s revenues and cash flows, and based on consideration of the facts and circumstances surrounding the September 26, 2025 settlement agreement,</w:t>
      </w:r>
    </w:p>
    <w:p>
      <w:pPr>
        <w:spacing w:after="0" w:line="179" w:lineRule="exact"/>
        <w:rPr>
          <w:rFonts w:ascii="Times New Roman" w:cs="Times New Roman" w:eastAsia="Times New Roman" w:hAnsi="Times New Roman"/>
          <w:sz w:val="18"/>
          <w:szCs w:val="18"/>
          <w:color w:val="auto"/>
        </w:rPr>
      </w:pPr>
    </w:p>
    <w:p>
      <w:pPr>
        <w:ind w:left="1040" w:right="79" w:hanging="639"/>
        <w:spacing w:after="0" w:line="282" w:lineRule="auto"/>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$(0.24) million adjustment to the carrying value of a contingent contractual obligation related to IM Topco (see Note 9 for details), and</w:t>
      </w:r>
    </w:p>
    <w:p>
      <w:pPr>
        <w:spacing w:after="0" w:line="161" w:lineRule="exact"/>
        <w:rPr>
          <w:rFonts w:ascii="Times New Roman" w:cs="Times New Roman" w:eastAsia="Times New Roman" w:hAnsi="Times New Roman"/>
          <w:sz w:val="18"/>
          <w:szCs w:val="18"/>
          <w:color w:val="auto"/>
        </w:rPr>
      </w:pPr>
    </w:p>
    <w:p>
      <w:pPr>
        <w:ind w:left="1040" w:hanging="639"/>
        <w:spacing w:after="0"/>
        <w:tabs>
          <w:tab w:leader="none" w:pos="104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related costs and adjustments totaling $0.51 million.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For the Prior Year, the Company recognized a $11.69 million loss related to its investment in IM Topco, comprised of:</w:t>
      </w:r>
    </w:p>
    <w:p>
      <w:pPr>
        <w:spacing w:after="0" w:line="225" w:lineRule="exact"/>
        <w:rPr>
          <w:sz w:val="20"/>
          <w:szCs w:val="20"/>
          <w:color w:val="auto"/>
        </w:rPr>
      </w:pPr>
    </w:p>
    <w:p>
      <w:pPr>
        <w:ind w:left="1040" w:hanging="639"/>
        <w:spacing w:after="0"/>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$1.73 million equity method loss,</w:t>
      </w:r>
    </w:p>
    <w:p>
      <w:pPr>
        <w:spacing w:after="0" w:line="225" w:lineRule="exact"/>
        <w:rPr>
          <w:rFonts w:ascii="Times New Roman" w:cs="Times New Roman" w:eastAsia="Times New Roman" w:hAnsi="Times New Roman"/>
          <w:sz w:val="18"/>
          <w:szCs w:val="18"/>
          <w:color w:val="auto"/>
        </w:rPr>
      </w:pPr>
    </w:p>
    <w:p>
      <w:pPr>
        <w:jc w:val="both"/>
        <w:ind w:left="1040" w:right="79" w:hanging="639"/>
        <w:spacing w:after="0" w:line="266"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$5.75 million other-than-temporary impairment of the Company’s investment in IM Topco, stemming from a decline in the fair value of the investment as a result of decreases in IM Topco’s revenues and cash flows, and</w:t>
      </w:r>
    </w:p>
    <w:p>
      <w:pPr>
        <w:spacing w:after="0" w:line="175" w:lineRule="exact"/>
        <w:rPr>
          <w:rFonts w:ascii="Times New Roman" w:cs="Times New Roman" w:eastAsia="Times New Roman" w:hAnsi="Times New Roman"/>
          <w:sz w:val="18"/>
          <w:szCs w:val="18"/>
          <w:color w:val="auto"/>
        </w:rPr>
      </w:pPr>
    </w:p>
    <w:p>
      <w:pPr>
        <w:jc w:val="both"/>
        <w:ind w:left="1040" w:right="79" w:hanging="639"/>
        <w:spacing w:after="0" w:line="266" w:lineRule="auto"/>
        <w:tabs>
          <w:tab w:leader="none" w:pos="10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$4.21 million non-cash charge to recognize a contingent obligation related to certain contractual provisions contained within the amended membership purchase agreement between Xcel and WHP (see Note 9 for details).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carrying value of the Company’s investment in IM Topco as of December 31, 2025 and 2024 was zero and $10.11 million, respectively. The reduction in carrying value during the Current Year reflects the Current Year loss detailed above, plus the settlement of the contingent contractual obligation related to IM Topco as described in Note 9, as a result of which the previously recorded liability was de-recognized by reducing the value of the investment.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Investment in Other Unconsolidated Affiliate</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December 2023, the Company contributed $0.15 million of cash to a privately-held corporation (the “Affiliate”) in exchange for a 30% equity ownership interest in the Affiliate. During the Prior Year, the Company accounted for its interest in the operations of the Affiliate as a component of other operating costs and expenses (income) under the equity method of accounting. The Company’s proportional share of the operating results of Affiliate for the Prior Year was a loss of approximately $0.15 million. Also during the Prior Year, the Company’s proportional ownership interest in the Affiliate was reduced from 30% to 19% as the result of dilution arising from other parties making investments in the Affiliate; however, by that point, the carrying value of the Company’s investment in the Affiliate had already been reduced to zero.</w:t>
      </w:r>
    </w:p>
    <w:p>
      <w:pPr>
        <w:spacing w:after="0" w:line="18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Effective January 2025, the Company no longer applies the equity method of accounting to its investment in the Affiliate. Instead, the Company currently accounts for its investment in the Affiliate in accordance with ASC 321-10-35-2: at adjusted cost, less impairment, plus or minus observable price changes of an identical or similar investment of the same issuer. There were no amounts recognized in the consolidated statement of operations related to the Affiliate for Current Year, and the carrying value of the Company’s investment in the Affiliate as of both December 31, 2025 and 2024 was zero.</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7" w:name="page68"/>
    <w:bookmarkEnd w:id="6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Longaberger Licensing, LLC Variable Interest Entity</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Since 2019, Xcel has been party to a limited liability company agreement with a subsidiary of Hilco Global related to Longaberger Licensing, LLC (“LL”). Hilco Global is the sole Class A Member of LL, and Xcel is the sole Class B Member of LL (each individually a “Member”). Each Member holds a 50% equity ownership interest in LL; however, based on an analysis of the contractual terms and rights contained in the agreements between the Members, the Company has previously determined that under the applicable accounting standards, LL is a variable interest entity and the Company has effective control over LL. Therefore, as the primary beneficiary, the Company has consolidated LL since 2019, and has recognized the assets, liabilities, revenues, and expenses of LL as part of its consolidated financial statements, along with a noncontrolling interest which represents Hilco Global’s 50% ownership share in LL.</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Divestiture of the Lori Goldstein Brand</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June 21, 2024, the Company (through its wholly owned subsidiary, Gold Licensing, LLC) entered into an asset purchase agreement with Lori Goldstein and Lori Goldstein, Ltd (together the “LG Parties”), pursuant to which the Company agreed to sell, and the LG Parties agreed to purchase, substantially all of the assets of the Lori Goldstein Brand, including the “LOGO by Lori Goldstein” trademark and other intellectual property rights relating thereto. Also in conjunction with this transaction, key license agreements related to the Lori Goldstein Brand were assigned to and assumed by the LG Parties. This divestiture transaction closed on June 30, 2024.</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consideration for the sale of these assets, the parties agreed to the following:</w:t>
      </w:r>
    </w:p>
    <w:p>
      <w:pPr>
        <w:spacing w:after="0" w:line="225" w:lineRule="exact"/>
        <w:rPr>
          <w:sz w:val="20"/>
          <w:szCs w:val="20"/>
          <w:color w:val="auto"/>
        </w:rPr>
      </w:pPr>
    </w:p>
    <w:p>
      <w:pPr>
        <w:jc w:val="both"/>
        <w:ind w:left="720" w:right="79" w:hanging="319"/>
        <w:spacing w:after="0" w:line="266"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LG Parties waived their rights with respect to certain contingent consideration amounts that had been previously earned by the LG Parties (under the terms of the April 1, 2021 purchase of the assets by Xcel), and terminated their rights to any future earn-out payments.</w:t>
      </w:r>
    </w:p>
    <w:p>
      <w:pPr>
        <w:spacing w:after="0" w:line="175"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retained the right to all royalties and fee income for net sales from licensees related to the Lori Goldstein Brand through the closing date.</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58" w:lineRule="auto"/>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May 2, 2024 termination of the employment agreement and consulting agreement with the LG Parties was withdrawn. The Company paid the LG Parties a combined total of $25,000 as compensation for services rendered under the employment agreement and consulting agreement through June 30, 2024, and also reimbursed Ms. Goldstein for expenses incurred in the course of fulfilling her duties under the employment agreement through June 30, 2024.</w:t>
      </w:r>
    </w:p>
    <w:p>
      <w:pPr>
        <w:spacing w:after="0" w:line="183"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the LG Parties entered into a mutual general release and waiver of outstanding legal disputes.</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total consideration received by the Company for this divestiture transaction was approximately $6.08 million, comprised of (i) the waiver of approximately $1.03 million of accrued earn-out payments earned by the LG Parties through June 30, 2024, plus (ii) the release of the remaining balance of approximately $5.05 million of contingent obligations recorded on the Company’s balance sheet. The remaining unamortized net book value of the Lori Goldstein intangible assets immediately prior to the sale was approximately $1.93 million, and the Company also incurred approximately $0.35 million of legal fees in connection with this transaction. Accordingly, the Company recorded a net non-cash gain on the divestiture of the Lori Goldstein Brand of approximately $3.80 million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8" w:name="page69"/>
    <w:bookmarkEnd w:id="6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Trademarks and Other Intangibles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Trademarks and other intangibles, net consist of the following:</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80" w:type="dxa"/>
            <w:vAlign w:val="bottom"/>
            <w:gridSpan w:val="2"/>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13"/>
                <w:szCs w:val="13"/>
                <w:color w:val="auto"/>
              </w:rPr>
            </w:pPr>
          </w:p>
        </w:tc>
        <w:tc>
          <w:tcPr>
            <w:tcW w:w="30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gridSpan w:val="2"/>
          </w:tcPr>
          <w:p>
            <w:pPr>
              <w:jc w:val="right"/>
              <w:ind w:right="1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spacing w:after="0"/>
              <w:rPr>
                <w:sz w:val="13"/>
                <w:szCs w:val="13"/>
                <w:color w:val="auto"/>
              </w:rPr>
            </w:pPr>
          </w:p>
        </w:tc>
      </w:tr>
      <w:tr>
        <w:trPr>
          <w:trHeight w:val="173"/>
        </w:trPr>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31"/>
        </w:trPr>
        <w:tc>
          <w:tcPr>
            <w:tcW w:w="3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tcPr>
          <w:p>
            <w:pPr>
              <w:jc w:val="center"/>
              <w:ind w:right="1"/>
              <w:spacing w:after="0" w:line="131"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1"/>
                <w:szCs w:val="11"/>
                <w:color w:val="auto"/>
              </w:rPr>
            </w:pPr>
          </w:p>
        </w:tc>
        <w:tc>
          <w:tcPr>
            <w:tcW w:w="1080" w:type="dxa"/>
            <w:vAlign w:val="bottom"/>
            <w:gridSpan w:val="2"/>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center"/>
              <w:ind w:right="17"/>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73"/>
        </w:trPr>
        <w:tc>
          <w:tcPr>
            <w:tcW w:w="4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10"/>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(finite-lived)</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27,354</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31,226</w:t>
            </w:r>
          </w:p>
        </w:tc>
      </w:tr>
      <w:tr>
        <w:trPr>
          <w:trHeight w:val="216"/>
        </w:trPr>
        <w:tc>
          <w:tcPr>
            <w:tcW w:w="4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Copyrights and other intellectual property</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9"/>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59,009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27,780</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31,229</w:t>
            </w:r>
          </w:p>
        </w:tc>
      </w:tr>
      <w:tr>
        <w:trPr>
          <w:trHeight w:val="20"/>
        </w:trPr>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80"/>
        </w:trPr>
        <w:tc>
          <w:tcPr>
            <w:tcW w:w="3820" w:type="dxa"/>
            <w:vAlign w:val="bottom"/>
          </w:tcPr>
          <w:p>
            <w:pPr>
              <w:spacing w:after="0"/>
              <w:rPr>
                <w:sz w:val="24"/>
                <w:szCs w:val="24"/>
                <w:color w:val="auto"/>
              </w:rPr>
            </w:pPr>
          </w:p>
        </w:tc>
        <w:tc>
          <w:tcPr>
            <w:tcW w:w="2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380" w:type="dxa"/>
            <w:vAlign w:val="bottom"/>
            <w:gridSpan w:val="2"/>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w:t>
            </w:r>
          </w:p>
        </w:tc>
        <w:tc>
          <w:tcPr>
            <w:tcW w:w="900" w:type="dxa"/>
            <w:vAlign w:val="bottom"/>
          </w:tcPr>
          <w:p>
            <w:pPr>
              <w:spacing w:after="0"/>
              <w:rPr>
                <w:sz w:val="24"/>
                <w:szCs w:val="24"/>
                <w:color w:val="auto"/>
              </w:rPr>
            </w:pP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spacing w:after="0"/>
              <w:rPr>
                <w:sz w:val="24"/>
                <w:szCs w:val="24"/>
                <w:color w:val="auto"/>
              </w:rPr>
            </w:pPr>
          </w:p>
        </w:tc>
      </w:tr>
      <w:tr>
        <w:trPr>
          <w:trHeight w:val="173"/>
        </w:trPr>
        <w:tc>
          <w:tcPr>
            <w:tcW w:w="38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gridSpan w:val="4"/>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r>
      <w:tr>
        <w:trPr>
          <w:trHeight w:val="144"/>
        </w:trPr>
        <w:tc>
          <w:tcPr>
            <w:tcW w:w="3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tcPr>
          <w:p>
            <w:pPr>
              <w:jc w:val="center"/>
              <w:ind w:right="1"/>
              <w:spacing w:after="0" w:line="145"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200" w:type="dxa"/>
            <w:vAlign w:val="bottom"/>
          </w:tcPr>
          <w:p>
            <w:pPr>
              <w:spacing w:after="0"/>
              <w:rPr>
                <w:sz w:val="12"/>
                <w:szCs w:val="12"/>
                <w:color w:val="auto"/>
              </w:rPr>
            </w:pPr>
          </w:p>
        </w:tc>
        <w:tc>
          <w:tcPr>
            <w:tcW w:w="108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60"/>
              <w:spacing w:after="0" w:line="145"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center"/>
              <w:ind w:right="17"/>
              <w:spacing w:after="0" w:line="145" w:lineRule="exact"/>
              <w:rPr>
                <w:sz w:val="20"/>
                <w:szCs w:val="20"/>
                <w:color w:val="auto"/>
              </w:rPr>
            </w:pPr>
            <w:r>
              <w:rPr>
                <w:rFonts w:ascii="Times New Roman" w:cs="Times New Roman" w:eastAsia="Times New Roman" w:hAnsi="Times New Roman"/>
                <w:sz w:val="14"/>
                <w:szCs w:val="14"/>
                <w:b w:val="1"/>
                <w:bCs w:val="1"/>
                <w:color w:val="auto"/>
              </w:rPr>
              <w:t>Net Carrying</w:t>
            </w:r>
          </w:p>
        </w:tc>
      </w:tr>
      <w:tr>
        <w:trPr>
          <w:trHeight w:val="173"/>
        </w:trPr>
        <w:tc>
          <w:tcPr>
            <w:tcW w:w="41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98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jc w:val="center"/>
              <w:ind w:right="1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center"/>
              <w:ind w:right="17"/>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38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Trademarks (finite-lived)</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15 years</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58,580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23,852</w:t>
            </w:r>
          </w:p>
        </w:tc>
        <w:tc>
          <w:tcPr>
            <w:tcW w:w="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34,728</w:t>
            </w:r>
          </w:p>
        </w:tc>
      </w:tr>
      <w:tr>
        <w:trPr>
          <w:trHeight w:val="216"/>
        </w:trPr>
        <w:tc>
          <w:tcPr>
            <w:tcW w:w="41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Copyrights and other intellectual property</w:t>
            </w:r>
          </w:p>
        </w:tc>
        <w:tc>
          <w:tcPr>
            <w:tcW w:w="98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8 years</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0"/>
        </w:trPr>
        <w:tc>
          <w:tcPr>
            <w:tcW w:w="41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8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59,009</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24,250</w:t>
            </w:r>
          </w:p>
        </w:tc>
        <w:tc>
          <w:tcPr>
            <w:tcW w:w="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34,759</w:t>
            </w:r>
          </w:p>
        </w:tc>
      </w:tr>
      <w:tr>
        <w:trPr>
          <w:trHeight w:val="20"/>
        </w:trPr>
        <w:tc>
          <w:tcPr>
            <w:tcW w:w="3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Amortization expense for intangible assets was approximately $3.53 million and $4.83 million for the Current Year and Prior Year,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Estimated future amortization expense related to finite-lived intangible assets over the remaining useful lives is as follows:</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4"/>
                <w:szCs w:val="14"/>
                <w:b w:val="1"/>
                <w:bCs w:val="1"/>
                <w:color w:val="auto"/>
                <w:w w:val="99"/>
              </w:rPr>
              <w:t>Amortization</w:t>
            </w:r>
          </w:p>
        </w:tc>
      </w:tr>
      <w:tr>
        <w:trPr>
          <w:trHeight w:val="17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60" w:type="dxa"/>
            <w:vAlign w:val="bottom"/>
            <w:gridSpan w:val="2"/>
          </w:tcPr>
          <w:p>
            <w:pPr>
              <w:jc w:val="right"/>
              <w:ind w:right="70"/>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Expense</w:t>
            </w:r>
          </w:p>
        </w:tc>
      </w:tr>
      <w:tr>
        <w:trPr>
          <w:trHeight w:val="210"/>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3,506</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3,503</w:t>
            </w: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3,503</w:t>
            </w: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3,073</w:t>
            </w:r>
          </w:p>
        </w:tc>
      </w:tr>
      <w:tr>
        <w:trPr>
          <w:trHeight w:val="21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 (through 2036)</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14,141</w:t>
            </w:r>
          </w:p>
        </w:tc>
      </w:tr>
      <w:tr>
        <w:trPr>
          <w:trHeight w:val="209"/>
        </w:trPr>
        <w:tc>
          <w:tcPr>
            <w:tcW w:w="7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31,229</w:t>
            </w: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Significant Contracts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Qurate Agreements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Through its wholly owned subsidiaries, the Company has entered into direct-to-retail license agreements with Qurate Retail Group (“Qurate”), collectively referred to as the Qurate Agreements (individually, each a “Qurate Agreement”), pursuant to which the Company designs, and Qurate sources and sells, various products under the C Wonder brand, the TowerHill by Christie Brinkley brand, and the Longaberger brand. The Company was also previously party to a similar agreement with Qurate related to the and the LOGO by Lori Goldstein brand. Qurate owns the rights to all designs produced under these agreements, and the agreements include the sale of products across various categories through Qurate’s television media (including QVC and HSN) and related internet sites.</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Pursuant to these agreements, the Company has granted to Qurate and its affiliates the exclusive, worldwide right to promote the Company’s branded products, and the right to use and publish the related trademarks, service marks, copyrights, designs, logos, and other intellectual property rights owned, used, licensed and/or developed by the Company, for varying terms as set forth below. In connection with the Qurate Agreements and during the same periods, Qurate and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9" w:name="page70"/>
    <w:bookmarkEnd w:id="6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its subsidiaries have the exclusive, worldwide right to use the names, likenesses, images, voices, and performances of the Company’s spokespersons to promote the respective products.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1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Agreement</w:t>
            </w: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 Current Term Expiry</w:t>
            </w:r>
          </w:p>
        </w:tc>
        <w:tc>
          <w:tcPr>
            <w:tcW w:w="190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 Automatic Renewal   ​​​</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Product Launch</w:t>
            </w:r>
          </w:p>
        </w:tc>
      </w:tr>
      <w:tr>
        <w:trPr>
          <w:trHeight w:val="196"/>
        </w:trPr>
        <w:tc>
          <w:tcPr>
            <w:tcW w:w="41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 Wonder Qurate Agreement (HSN)</w:t>
            </w:r>
          </w:p>
        </w:tc>
        <w:tc>
          <w:tcPr>
            <w:tcW w:w="22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December 31, 2026</w:t>
            </w:r>
          </w:p>
        </w:tc>
        <w:tc>
          <w:tcPr>
            <w:tcW w:w="220" w:type="dxa"/>
            <w:vAlign w:val="bottom"/>
            <w:tcBorders>
              <w:top w:val="single" w:sz="8" w:color="CCEEFF"/>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two-year period</w:t>
            </w: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rPr>
              <w:t>March 2023</w:t>
            </w:r>
          </w:p>
        </w:tc>
      </w:tr>
      <w:tr>
        <w:trPr>
          <w:trHeight w:val="203"/>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TowerHill by Christie Brinkley Qurate Agreement (HSN)</w:t>
            </w:r>
          </w:p>
        </w:tc>
        <w:tc>
          <w:tcPr>
            <w:tcW w:w="220" w:type="dxa"/>
            <w:vAlign w:val="bottom"/>
          </w:tcPr>
          <w:p>
            <w:pPr>
              <w:spacing w:after="0"/>
              <w:rPr>
                <w:sz w:val="17"/>
                <w:szCs w:val="17"/>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30, 2027</w:t>
            </w:r>
          </w:p>
        </w:tc>
        <w:tc>
          <w:tcPr>
            <w:tcW w:w="220" w:type="dxa"/>
            <w:vAlign w:val="bottom"/>
          </w:tcPr>
          <w:p>
            <w:pPr>
              <w:spacing w:after="0"/>
              <w:rPr>
                <w:sz w:val="17"/>
                <w:szCs w:val="17"/>
                <w:color w:val="auto"/>
              </w:rPr>
            </w:pPr>
          </w:p>
        </w:tc>
        <w:tc>
          <w:tcPr>
            <w:tcW w:w="168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color w:val="auto"/>
              </w:rPr>
              <w:t>three-year period</w:t>
            </w:r>
          </w:p>
        </w:tc>
        <w:tc>
          <w:tcPr>
            <w:tcW w:w="1300" w:type="dxa"/>
            <w:vAlign w:val="bottom"/>
          </w:tcPr>
          <w:p>
            <w:pPr>
              <w:jc w:val="center"/>
              <w:ind w:right="1"/>
              <w:spacing w:after="0"/>
              <w:rPr>
                <w:sz w:val="20"/>
                <w:szCs w:val="20"/>
                <w:color w:val="auto"/>
              </w:rPr>
            </w:pPr>
            <w:r>
              <w:rPr>
                <w:rFonts w:ascii="Times New Roman" w:cs="Times New Roman" w:eastAsia="Times New Roman" w:hAnsi="Times New Roman"/>
                <w:sz w:val="16"/>
                <w:szCs w:val="16"/>
                <w:color w:val="auto"/>
              </w:rPr>
              <w:t>May 2024</w:t>
            </w:r>
          </w:p>
        </w:tc>
      </w:tr>
      <w:tr>
        <w:trPr>
          <w:trHeight w:val="203"/>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Longaberger Qurate Agreement (QVC)</w:t>
            </w:r>
          </w:p>
        </w:tc>
        <w:tc>
          <w:tcPr>
            <w:tcW w:w="220" w:type="dxa"/>
            <w:vAlign w:val="bottom"/>
            <w:shd w:val="clear" w:color="auto" w:fill="CCEEFF"/>
          </w:tcPr>
          <w:p>
            <w:pPr>
              <w:spacing w:after="0"/>
              <w:rPr>
                <w:sz w:val="17"/>
                <w:szCs w:val="17"/>
                <w:color w:val="auto"/>
              </w:rPr>
            </w:pP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October 31, 2027</w:t>
            </w:r>
          </w:p>
        </w:tc>
        <w:tc>
          <w:tcPr>
            <w:tcW w:w="220" w:type="dxa"/>
            <w:vAlign w:val="bottom"/>
            <w:shd w:val="clear" w:color="auto" w:fill="CCEEFF"/>
          </w:tcPr>
          <w:p>
            <w:pPr>
              <w:spacing w:after="0"/>
              <w:rPr>
                <w:sz w:val="17"/>
                <w:szCs w:val="17"/>
                <w:color w:val="auto"/>
              </w:rPr>
            </w:pPr>
          </w:p>
        </w:tc>
        <w:tc>
          <w:tcPr>
            <w:tcW w:w="1680" w:type="dxa"/>
            <w:vAlign w:val="bottom"/>
            <w:gridSpan w:val="3"/>
            <w:shd w:val="clear" w:color="auto" w:fill="CCEEFF"/>
          </w:tcPr>
          <w:p>
            <w:pPr>
              <w:jc w:val="center"/>
              <w:ind w:right="300"/>
              <w:spacing w:after="0"/>
              <w:rPr>
                <w:sz w:val="20"/>
                <w:szCs w:val="20"/>
                <w:color w:val="auto"/>
              </w:rPr>
            </w:pPr>
            <w:r>
              <w:rPr>
                <w:rFonts w:ascii="Times New Roman" w:cs="Times New Roman" w:eastAsia="Times New Roman" w:hAnsi="Times New Roman"/>
                <w:sz w:val="16"/>
                <w:szCs w:val="16"/>
                <w:color w:val="auto"/>
              </w:rPr>
              <w:t>two-year period</w:t>
            </w:r>
          </w:p>
        </w:tc>
        <w:tc>
          <w:tcPr>
            <w:tcW w:w="1300" w:type="dxa"/>
            <w:vAlign w:val="bottom"/>
            <w:shd w:val="clear" w:color="auto" w:fill="CCEEFF"/>
          </w:tcPr>
          <w:p>
            <w:pPr>
              <w:jc w:val="center"/>
              <w:ind w:right="1"/>
              <w:spacing w:after="0"/>
              <w:rPr>
                <w:sz w:val="20"/>
                <w:szCs w:val="20"/>
                <w:color w:val="auto"/>
              </w:rPr>
            </w:pPr>
            <w:r>
              <w:rPr>
                <w:rFonts w:ascii="Times New Roman" w:cs="Times New Roman" w:eastAsia="Times New Roman" w:hAnsi="Times New Roman"/>
                <w:sz w:val="16"/>
                <w:szCs w:val="16"/>
                <w:color w:val="auto"/>
              </w:rPr>
              <w:t>November 2019</w:t>
            </w:r>
          </w:p>
        </w:tc>
      </w:tr>
    </w:tbl>
    <w:p>
      <w:pPr>
        <w:spacing w:after="0" w:line="198"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June 30, 2024, in connection with the divestiture of the LOGO by Lori Goldstein brand (see Note 3), the agreement with Qurate related to the LOGO by Lori Goldstein brand was assigned to assumed by the counterparties to the divestiture transaction.</w:t>
      </w:r>
    </w:p>
    <w:p>
      <w:pPr>
        <w:spacing w:after="0" w:line="1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Under the Qurate Agreements, Qurate is obligated to make payments to the Company on a quarterly basis, based upon the net retail sales of the specified branded products. Net retail sales are defined as the aggregate amount of all revenue generated through the sale of the specified branded products by Qurate and its subsidiaries under the Qurate Agreements, net of customer returns, and excluding freight, shipping and handling charges, and sales, use, or other taxes.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Qurate Agreements generally prohibit the Company from selling products under the specified respective brands to a direct competitor of Qurate without Qurate’s consent. Under certain of the Qurate Agreements, the Company may, with the permission of Qurate, sell the respective branded products via certain specified sales channels in exchange for making reverse royalty payments to Qurate based on the net retail sales of such products through such channels. However, the Company is generally restricted from selling products under the specified respective brands or trademarks to certain mass merchants.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Net licensing revenue from Qurate totaled $0.99 million and $3.67 million for the Current Year and Prior Year, respectively, representing approximately 20% and 44% of the Company’s total net revenue, respectively. As of December 31, 2025 and 2024, the Company had receivables from Qurate of $0.21 million and $0.40 million, representing approximately 22% and 18% of the Company’s accounts receivable, respectively. The December 31, 2025 and 2024 Qurate receivables did not include any earned revenue accrued but not yet billed as of the respective balance sheet dates.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Halston Master License</w:t>
      </w:r>
    </w:p>
    <w:p>
      <w:pPr>
        <w:spacing w:after="0" w:line="229" w:lineRule="exact"/>
        <w:rPr>
          <w:sz w:val="20"/>
          <w:szCs w:val="20"/>
          <w:color w:val="auto"/>
        </w:rPr>
      </w:pPr>
    </w:p>
    <w:p>
      <w:pPr>
        <w:jc w:val="both"/>
        <w:ind w:left="60" w:right="79"/>
        <w:spacing w:after="0" w:line="276" w:lineRule="auto"/>
        <w:rPr>
          <w:sz w:val="20"/>
          <w:szCs w:val="20"/>
          <w:color w:val="auto"/>
        </w:rPr>
      </w:pPr>
      <w:r>
        <w:rPr>
          <w:rFonts w:ascii="Times New Roman" w:cs="Times New Roman" w:eastAsia="Times New Roman" w:hAnsi="Times New Roman"/>
          <w:sz w:val="17"/>
          <w:szCs w:val="17"/>
          <w:color w:val="auto"/>
        </w:rPr>
        <w:t>On May 15, 2023, the Company, through its subsidiaries, H Halston, LLC and H Heritage Licensing, LLC (collectively, the “Licensor”), entered into a master license agreement relating to the Halston Brand (the “Halston Master License”) with G-</w:t>
      </w:r>
    </w:p>
    <w:p>
      <w:pPr>
        <w:spacing w:after="0" w:line="1" w:lineRule="exact"/>
        <w:rPr>
          <w:sz w:val="20"/>
          <w:szCs w:val="20"/>
          <w:color w:val="auto"/>
        </w:rPr>
      </w:pPr>
    </w:p>
    <w:p>
      <w:pPr>
        <w:jc w:val="both"/>
        <w:ind w:left="60" w:right="59" w:hanging="10"/>
        <w:spacing w:after="0" w:line="251" w:lineRule="auto"/>
        <w:tabs>
          <w:tab w:leader="none" w:pos="29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Apparel Group (“G-III”), an industry-leading wholesale apparel company, for men’s and women’s apparel, men’s and women’s fashion accessories, children’s apparel and accessories, home, airline amenity and amenity kits, and such other product categories as mutually agreed upon. The Halston Master License provided for an upfront cash payment and royalties payable to the Company, including certain guaranteed minimum royalties, includes significant annual minimum net sales requirements, and has a twenty-five-year term (consisting of an initial five-year period, followed by a twenty-year period), subject to G-III’s right to terminate with at least 120 days’ notice prior to the end of each five-year period during the term. G-III has an option to purchase the Halston Brand for $5.0 million at the end of the twenty-five-year term, which right may be accelerated under certain conditions associated with an uncured material breach of the Halston Master License in accordance with the terms of the Halston Master License. The Licensor granted G-III a security interest in the Halston trademarks to secure the Licensor’s obligations under the Halston Master License, including to honor the obligations under the purchase option.</w:t>
      </w:r>
    </w:p>
    <w:p>
      <w:pPr>
        <w:spacing w:after="0" w:line="19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a result of the upfront cash payment and guaranteed minimum royalties discussed above, as well as certain other advance payments of royalties received from G-III, the Company recognized $3.09 million and $3.56 million of deferred revenue contract liabilities on its consolidated balance sheet as of December 31, 2025 and 2024, respectively. As of December 31, 2024, approximately $0.89 million of the contract liability balance was classified as a current liability and approximately $2.67 million was classified as a long-term liability. As of December 31, 2025, approximately $1.31 million of the contract liability balance was classified as a current liability and approximately $1.78 million was classified as a</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0" w:name="page71"/>
    <w:bookmarkEnd w:id="7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long-term liability; the balance of the deferred revenue contract liabilities will be recognized ratably as revenue over the next 3.0 years.</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Net licensing revenue recognized from the Halston Master License was $2.55 million and $2.54 million for the Current Year and Prior Year, respectively, representing approximately 52% and 31% of the Company’s total net revenue,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JTV / America’s Collectibles Network, Inc.</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has a license agreement with America’s Collectibles Network, Inc. (d/b/a JTV) (“JTV”) that obligates JTV to pay the Company royalties based on product sales of Judith Ripka Brand merchandise. In addition, the Company has outstanding receivables from prior product sales of fine jewelry made to JTV. As of December 31, 2025 and 2024, the Company had receivables from JTV of $0.41 million and $1.06 million, respectively, representing approximately 42% and 47% of the Company’s total net accounts receivable, respectively.</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Debt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Company’s net carrying amount of debt was comprised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320" w:type="dxa"/>
            <w:vAlign w:val="bottom"/>
            <w:gridSpan w:val="2"/>
          </w:tcPr>
          <w:p>
            <w:pPr>
              <w:jc w:val="right"/>
              <w:ind w:right="36"/>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15"/>
                <w:szCs w:val="15"/>
                <w:color w:val="auto"/>
              </w:rPr>
            </w:pPr>
          </w:p>
        </w:tc>
        <w:tc>
          <w:tcPr>
            <w:tcW w:w="300" w:type="dxa"/>
            <w:vAlign w:val="bottom"/>
            <w:gridSpan w:val="2"/>
          </w:tcPr>
          <w:p>
            <w:pPr>
              <w:jc w:val="right"/>
              <w:ind w:right="76"/>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Term loan debt (including accumulated unpaid PIK interest)</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13,581</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w:t>
            </w:r>
          </w:p>
        </w:tc>
      </w:tr>
      <w:tr>
        <w:trPr>
          <w:trHeight w:val="216"/>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Unamortized deferred finance costs and other reductions to carrying value</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10"/>
        </w:trPr>
        <w:tc>
          <w:tcPr>
            <w:tcW w:w="624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12,706</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w:t>
            </w:r>
          </w:p>
        </w:tc>
      </w:tr>
      <w:tr>
        <w:trPr>
          <w:trHeight w:val="216"/>
        </w:trPr>
        <w:tc>
          <w:tcPr>
            <w:tcW w:w="6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debt</w:t>
            </w:r>
          </w:p>
        </w:tc>
        <w:tc>
          <w:tcPr>
            <w:tcW w:w="2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6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9,456</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6,569</w:t>
            </w:r>
          </w:p>
        </w:tc>
      </w:tr>
      <w:tr>
        <w:trPr>
          <w:trHeight w:val="20"/>
        </w:trPr>
        <w:tc>
          <w:tcPr>
            <w:tcW w:w="6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IDB Term Loan Debt (October 19, 2023 through December 11, 2024)</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On October 19, 2023, H Halston IP, LLC (the “Borrower”), a wholly owned indirect subsidiary of Xcel Brands, Inc., entered into a term loan agreement with Israel Discount Bank of New York (“IDB”). Pursuant to this loan agreement, IDB made a term loan to the Company in the aggregate amount of $5.0 million. The proceeds of this term loan were used to pay fees, costs, and expenses incurred in connection with entering into the loan agreement, and may be used for working capital purposes. Fees and costs totaling $0.30 million were deferred on the Company’s balance sheet as a reduction of the carrying value of the term loan debt, and were being amortized to interest expense over the term of the debt using the effective interest method.</w:t>
      </w:r>
    </w:p>
    <w:p>
      <w:pPr>
        <w:spacing w:after="0" w:line="18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term loan was to mature on October 19, 2028. Principal on the term loan was payable in quarterly installments of $250,000 on each of January 2, April 1, July 1, and October 1 of each year, commencing on April 1, 2024. The Borrower had the right to prepay all or any portion of the term loan at any time without penalty.</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Interest on the October 2023 term loan accrued at “Term SOFR” (as defined in the loan agreement as the forward-looking term rate based on secured overnight financing rate as administered by the Federal Reserve Bank of New York for an interest period equal to one month on the day that is two U.S. Government Securities Business Days prior to the first day of each calendar month) plus 4.25% per annum. Interest on the term loan was payable on the first day of each calendar month.</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October 2023 term loan agreement contained customary covenants, including reporting requirements, trademark preservation, and certain financial covenants including annual guaranteed minimum royalty ratio, annual fixed charge coverage ratio, and minimum cash balance levels, all as specified and defined in the loan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1" w:name="page72"/>
    <w:bookmarkEnd w:id="7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addition, on October 19, 2023, the Borrower also entered into a swap agreement with IDB, pursuant to which IDB agreed to pay the Borrower Term SOFR plus 4.25% per annum on the notional amount of the swap in exchange for the Borrower paying IDB 9.46% per annum on such notional amount. The term and declining notional amount of the swap agreement was aligned with the amortization of the October 2023 term loan principal amount.</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October 2023 term loan was repaid in full as part of the December 12, 2024 debt issuance transaction described below, and the related swap agreement was terminated concurrent with the loan repayment.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FEAC Term Loan Debt (December 12, 2024 through December 31, 2025)</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December 12, 2024, the Company and certain of its subsidiaries entered into a new loan and security agreement with FEAC Agent, LLC, as administrative agent and collateral agent, FEF Distributors, LLC, as lead arranger, and Restore Capital, LLC (“Restore”), as agent for certain lenders, pursuant to which the lenders made term loans to the Company and agreed to make additional term loans to the Company upon the satisfaction of a condition precedent described in the loan agreement. The term loans under the loan agreement are as follows: (1) a term loan in the amount of $3.95 million (“Term Loan A”) was made on the closing date, (2) a term loan in the amount of $4.0 million (“Term Loan B”) was made on the closing date, and (3) a term loan in the amount of $2.05 million (“Delayed Draw Term Loan”; Term Loan A, Term Loan B and Delayed Draw Term Loan are referred to as “Term Loans”) was subsequently made in March 2025. The proceeds from Term Loan A and Term Loan B were used to repay the remaining balance of the Company’s October 2023 term loan with IDB, as well as to pay fees, costs, and expenses incurred in connection with entering into the new loan agreement, and the balance may be used for working capital purposes. A portion of the proceeds from the Delayed Draw Term Loan were deposited in a bank account to satisfy a liquidity covenant in the loan agreement.</w:t>
      </w:r>
    </w:p>
    <w:p>
      <w:pPr>
        <w:spacing w:after="0" w:line="19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April 21, 2025, the Company and certain of its subsidiaries and its lenders and FEAC Agent, LLC entered into an amendment of the December 12, 2024 loan and security agreement, which provided for a $1.5 million repayment of the $3.95 million Term Loan A, and an additional Term Loan B in the amount of $5.12 million. The term loans outstanding after giving effect to the April 21, 2025 amendment and the application of the proceeds of the additional Term Loan B were as follows: (1) Term Loan A in the amount of $4.50 million, and (2) Term Loan B in the amount of $9.12 million. The proceeds from the additional Term Loan B were used to repay a portion of Term Loan A, as well as to pay fees, costs, and expenses incurred in connection with entering into the April 21, 2025 amendment, with the balance to be used for working capital purposes.</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connection with the April 21, 2025 amendment and refinancing transaction, UTG Capital, Inc., a Delaware corporation (UTG”), purchased a 100% undivided, participation interest in Term Loan B for a purchase price of $9.12 million. Also in connection with the refinancing, the Company issued certain warrants to UTG and Restore, and amended certain warrants that had been previously issued on December 12, 2024 (see Note 7 for additional details).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May 15, 2025, the Company repaid $0.50 million of the outstanding principal amount of Term Loan A.</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October 7, 2025, the Company and certain of its subsidiaries and its lenders and FEAC Agent, LLC entered into a further amendment of the December 12, 2024 loan and security agreement, pursuant to which (i) the agents and lenders (as defined in the loan and security agreement) consented to the transfer and the release of the agents’ liens on the equity interests of IM Topco, LLC; (ii) the liquid asset covenant requirement was reduced to $1,000,000; and (iii) Xcel made a prepayment of $0.25 million against the outstanding principal amount of Term Loan A, of which $0.14 million was paid from the blocked account.</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November 18, 2025, the Company and certain of its subsidiaries and its lenders and FEAC Agent, LLC entered into the fourth amendment of the December 12, 2024 loan and security agreement, pursuant to which (i) the agents and lenders (as defined in the loan and security agreement) provided the Company with a limited waiver with respect to certain specified events of default, and also amended certain financial covenants related to the term loan agreement; (ii) the Company committed to make a prepayment of $3.25 million on Term Loan A by February 20, 2026, along with the</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2" w:name="page73"/>
    <w:bookmarkEnd w:id="7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payment of an amendment fee of $0.45 million (of which $0.125 million is payable on December 5, 2025 and the remaining $0.325 million would be due only if the $3.25 million principal amount of Term Loan A was not repaid on or prior to February 20, 2026); and (iii) the payment of the remaining principal balance on Term Loan A of $0.5 million was changed to be due on December 31, 2026 which shall be held by IPX (See Note 11). In addition, upon the repayment of the $3.25 million of Term Loan A, the Company will have revised financial covenants. The minimum revenue requirement for the rolling 12 months ending December 31, 2025 will be $3.9 million and $1.7 million for the Included Subsidiaries and Halston, respectively, each as defined in the loan agreements. Further, after the Term Loan A payment is made, the minimum revenue requirement covenants shall remain at these levels for the duration of the loans and the minimum liquidity requirement shall be zero, which includes the lenders’ release of $1.0 million of restricted cash within the blocked account back to the Company.</w:t>
      </w:r>
    </w:p>
    <w:p>
      <w:pPr>
        <w:spacing w:after="0" w:line="194"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Term Loans are guaranteed by certain direct and indirect subsidiaries of the Company, and are secured by all of the assets of the Company and such subsidiaries. The loan agreement contains various customary financial covenants and reporting requirements, as specified and defined therein. The Company was in compliance with all applicable covenants under the loan agreement, or if not in compliance with certain covenants had obtained a waiver from the lenders with respect to such covenants, as of and for all periods presented in the consolidated financial statements.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Principal</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2025, $3.25 million of the principal amount on Term Loan A was due on February 20, 2026, with the remaining $0.50 million of the principal amount on Term Loan A due on December 31, 2026. The principal amount on Term Loan B is due at the maturity date of December 12, 2028 along with all accumulated paid in-kind (“PIK”) interest (as discussed below). Subsequent to fiscal year-end, the Company’s term loan debt was further amended such that the remaining $0.50 million of the principal amount on Term Loan A is due on September 20, 2027 (see Note 12 for additional details).</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Thus, the aggregate future principal payments under the Term Loans (inclusive of accumulated unpaid PIK interest of $0.71 million as of December 31, 2025) are as follows:</w:t>
      </w:r>
    </w:p>
    <w:p>
      <w:pPr>
        <w:spacing w:after="0" w:line="4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0" w:type="dxa"/>
            <w:vAlign w:val="bottom"/>
          </w:tcPr>
          <w:p>
            <w:pPr>
              <w:spacing w:after="0"/>
              <w:rPr>
                <w:sz w:val="1"/>
                <w:szCs w:val="1"/>
                <w:color w:val="auto"/>
              </w:rPr>
            </w:pPr>
          </w:p>
        </w:tc>
      </w:tr>
      <w:tr>
        <w:trPr>
          <w:trHeight w:val="162"/>
        </w:trPr>
        <w:tc>
          <w:tcPr>
            <w:tcW w:w="7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0" w:type="dxa"/>
            <w:vAlign w:val="bottom"/>
          </w:tcPr>
          <w:p>
            <w:pPr>
              <w:spacing w:after="0"/>
              <w:rPr>
                <w:sz w:val="1"/>
                <w:szCs w:val="1"/>
                <w:color w:val="auto"/>
              </w:rPr>
            </w:pPr>
          </w:p>
        </w:tc>
      </w:tr>
      <w:tr>
        <w:trPr>
          <w:trHeight w:val="173"/>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80" w:type="dxa"/>
            <w:vAlign w:val="bottom"/>
            <w:gridSpan w:val="2"/>
          </w:tcPr>
          <w:p>
            <w:pPr>
              <w:jc w:val="right"/>
              <w:ind w:right="90"/>
              <w:spacing w:after="0"/>
              <w:rPr>
                <w:sz w:val="20"/>
                <w:szCs w:val="20"/>
                <w:color w:val="auto"/>
              </w:rPr>
            </w:pPr>
            <w:r>
              <w:rPr>
                <w:rFonts w:ascii="Arial" w:cs="Arial" w:eastAsia="Arial" w:hAnsi="Arial"/>
                <w:sz w:val="14"/>
                <w:szCs w:val="14"/>
                <w:color w:val="auto"/>
              </w:rPr>
              <w:t>​​​</w:t>
            </w:r>
          </w:p>
        </w:tc>
        <w:tc>
          <w:tcPr>
            <w:tcW w:w="920" w:type="dxa"/>
            <w:vAlign w:val="bottom"/>
          </w:tcPr>
          <w:p>
            <w:pPr>
              <w:jc w:val="center"/>
              <w:ind w:right="58"/>
              <w:spacing w:after="0"/>
              <w:rPr>
                <w:sz w:val="20"/>
                <w:szCs w:val="20"/>
                <w:color w:val="auto"/>
              </w:rPr>
            </w:pPr>
            <w:r>
              <w:rPr>
                <w:rFonts w:ascii="Times New Roman" w:cs="Times New Roman" w:eastAsia="Times New Roman" w:hAnsi="Times New Roman"/>
                <w:sz w:val="14"/>
                <w:szCs w:val="14"/>
                <w:b w:val="1"/>
                <w:bCs w:val="1"/>
                <w:color w:val="auto"/>
              </w:rPr>
              <w:t>Payment</w:t>
            </w:r>
          </w:p>
        </w:tc>
        <w:tc>
          <w:tcPr>
            <w:tcW w:w="0" w:type="dxa"/>
            <w:vAlign w:val="bottom"/>
          </w:tcPr>
          <w:p>
            <w:pPr>
              <w:spacing w:after="0"/>
              <w:rPr>
                <w:sz w:val="1"/>
                <w:szCs w:val="1"/>
                <w:color w:val="auto"/>
              </w:rPr>
            </w:pPr>
          </w:p>
        </w:tc>
      </w:tr>
      <w:tr>
        <w:trPr>
          <w:trHeight w:val="210"/>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9,831</w:t>
            </w:r>
          </w:p>
        </w:tc>
        <w:tc>
          <w:tcPr>
            <w:tcW w:w="0" w:type="dxa"/>
            <w:vAlign w:val="bottom"/>
          </w:tcPr>
          <w:p>
            <w:pPr>
              <w:spacing w:after="0"/>
              <w:rPr>
                <w:sz w:val="1"/>
                <w:szCs w:val="1"/>
                <w:color w:val="auto"/>
              </w:rPr>
            </w:pPr>
          </w:p>
        </w:tc>
      </w:tr>
      <w:tr>
        <w:trPr>
          <w:trHeight w:val="210"/>
        </w:trPr>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13,581</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From December 12, 2024 through April 20, 2025, interest on Term Loans accrued at an annual rate equal to the secured overnight financing rate as administered by the Federal Reserve Bank of New York for an interest period equal to three months (the “3-month SOFR rate”), subject to a 2.0% floor, plus (i) 8.5% for Term Loan A and Delayed Draw Term Loan and (ii) 13.5% for Term Loan B. From and after April 21, 2025, interest on the Term Loans accrues at an annual rate equal to the 3-month SOFR rate, subject to a 2.0% floor, plus (i) 8.5% for Term Loan A and (ii) 6.5% for Term Loan B.</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Interest on amounts outstanding under the Term Loans accrues daily and is payable at the end of each calendar month, except that from April 21, 2025 through March 31, 2027, interest on the Term Loan B will be paid in-kind (“PIK”) by being capitalized and added to the principal amount of the Term Loan B at the end of each calendar month. For the Current Year, the Company recognized approximately $0.71 million of PIK interest, and the accumulated PIK interest at December 31, 2025 (reported within the carrying value of long-term debt on the consolidated balance sheet) was $0.71 million.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3" w:name="page74"/>
    <w:bookmarkEnd w:id="7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For the Current Year and Prior Year, the Company incurred interest expense related to term loan debt (including interest paid in cash, PIK, and the amortization of deferred finance costs) of approximately $2.08 million and $0.62 million, respectively, reflecting an effective interest rate of approximately 15.0% and 11.9%, respectively.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Exit Fees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amended loan agreement also requires that the Company pay an exit fee of $0.175 million to FEAC related to Term Loan A and an exit fee of $0.40 million to Restore related to Term Loan B upon the maturity or full payment of the Term Loans. The Company is accruing the cost of the Term Loan A exit fee over the remaining term of the related debt, while the net present value of the Term Loan B exit fee on April 21, 2025 was recognized as part of the loss on early extinguishment of debt (as described below). As of December 31, 2025, the amount of accrued exit fees with respect to Term Loan A was $0.11 million and is presented within Accounts payable, accrued expenses and other current liabilities on the consolidated balance sheet, while the amount of accrued exit fees with respect to Term Loan B was $0.29 million and is presented within Other long-term liabilities on the consolidated balance sheet.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Deferred Finance Costs and Other Reductions to Carrying Value of Debt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connection with entering into the Term Loans in December 2024, the Company incurred loan origination fees, plus various legal and other fees; these fees and costs totaling $0.92 million were deferred on the Company’s balance sheet as a reduction of the carrying value of the term loan debt. Also in connection with entering into the Term Loans in December 2024, the Company issued certain warrants to the lenders to purchase shares of the Company’s common stock. In accordance with applicable GAAP, the Company allocated the value of the total proceeds of $10.0 million between the term loan debt and the warrants, based on the relative fair values of each; as a result, the Company recognized a $0.48 million increase to stockholders’ equity as additional paid-in capital for the allocated fair value of the warrants, and an offsetting decrease to the net carrying value of the term loan debt. From December 12, 2024 through April 20, 2025, these reductions to the carrying value of the term loan debt totaling $1.40 million were being amortized to interest expense over the term of the debt using the effective interest method. The $1.26 million remaining unamortized balance of such amounts was written-off as part of the loss on early extinguishment of debt upon the closing of the April 21, 2025 debt refinancing.</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 connection with the debt refinancing transaction on April 21, 2025 as described above, the Company incurred certain legal costs and other fees; these fees and costs totaling $0.53 million were deferred on the Company’s balance sheet as a reduction of the carrying value of the term loan debt. Also in connection with the April 21, 2025 debt refinancing transaction, the Company issued certain warrants to UTG to purchase shares of the Company’s common stock. In accordance with GAAP, the Company allocated the value of the total proceeds of $13.62 million between the term loan debt and the warrants, based on the relative fair values of each; as a result, the Company recognized a $0.58 million increase to stockholders’ equity as additional paid-in capital for the allocated fair value of the warrants, and an offsetting decrease to the net carrying value of the term loan debt. These reductions to the carrying value of the term loan debt totaling $1.11 million are being amortized to interest expense over the term of the debt using the effective interest method.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Loss on Early Extinguishment of Debt</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a result of the April 21, 2025 debt refinancing transaction as described above, the Company recognized a loss on extinguishment of debt of approximately $1.85 million in the Current Year. This loss was comprised of the write-off of $1.26 million of remaining unamortized deferred finance costs related to the December 2024 term loan, $0.25 million for a termination fee paid in cash to Restore at closing, $0.27 million for the net present value of the Term Loan B exit fee which will be paid to in cash to Restore upon the maturity or full payment of the Term Loans, and $0.07 million related to the new warrants granted to Restore and the amendment of certain warrants previously granted in December 2024. The $0.07 million amount related to the warrants was recorded with an offsetting increase to stockholders’ equity as additional paid-in capital.</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As a result of the December 12, 2024 debt refinancing transaction as described above, the Company recognized a loss on extinguishment of debt of approximately $0.29 million in the Prior Year. This loss was primarily comprised of the write-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4" w:name="page75"/>
    <w:bookmarkEnd w:id="7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off of approximately $0.2 million of remaining unamortized deferred finance costs related to the October 2023 IDB term loan debt, and $0.1 million paid to exit the interest rate swap agreement with IDB.</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Stockholders’ Equity</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has authority to issue up to 51,000,000 shares, consisting of 50,000,000 shares of common stock and 1,000,000 shares of preferred stock.</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At a special meeting of the Company’s stockholders on March 12, 2025, the stockholders approved a proposal granting the Company’s Board of Directors the discretion to effect a reverse stock split of the Company’s issued and outstanding common stock at a ratio in the range of 1-for-2 to 1-for-10, with such ratio to be determined by the Chairman of the Company’s Board of Directors. Following the special meeting, the Chairman of the Company’s Board of Directors approved a final split ratio of 1-for-10 (the “Reverse Stock Split”).</w:t>
      </w:r>
    </w:p>
    <w:p>
      <w:pPr>
        <w:spacing w:after="0" w:line="183"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Subsequently, the Company filed with the Delaware Secretary of State a Certificate of Amendment to the Company’s Amended and Restated Certificate of Incorporation, which became effective at 5:00 p.m. on March 24, 2025, to effect such Reverse Stock Split. As a result of the Reverse Stock Split, every ten (10) shares (the “Reverse Stock Split Number”) of issued and outstanding Common Stock was automatically combined into one (1) issued and outstanding share of common stock, without any change in the par value per share. No fractional shares were issued as a result of the Reverse Stock Split. Instead, stockholders who otherwise would have been entitled to receive fractional shares were entitled to receive a cash payment (without interest and subject to applicable withholding taxes) in lieu of such fractional shares equal to the fraction of a share of common stock to which such stockholder would otherwise be entitled multiplied by (i) the closing price per share of the common stock on the Nasdaq Capital Market at the close of business on the trading day preceding the date of the Certificate of Amendment, multiplied by (ii) the Reverse Stock Split Number. The aggregate number of fractional shares resulting from the Reverse Stock Split was 1,120 shares of common stock (or 112 shares on a pre-Reverse Stock Split basis); the aggregate cash payments made to stockholders in lieu of fractional shares was less than $1,000. Immediately prior to the Reverse Stock Split there were 23,796,200 shares of common stock outstanding; immediately following the Reverse Stock Split there were 2,379,508 shares of common stock outstanding.</w:t>
      </w:r>
    </w:p>
    <w:p>
      <w:pPr>
        <w:spacing w:after="0" w:line="19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shares of common stock underlying the Company’s outstanding stock options and warrants were also proportionately adjusted along with corresponding adjustments to their exercise prices.</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All share and per share amounts presented in these consolidated financial statements and accompanying notes, including but not limited to shares issued and outstanding, earnings/(loss) per share, and warrants and options, as well as the dollar amounts of common stock and paid-in capital, have been retroactively adjusted for all periods presented in order to reflect this change in capital structure.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August 2025 Public Offering and Private Placement Transactions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August 1, 2025, the Company entered into a placement agency agreement with Maxim Group LLC (the “Placement Agent”), as lead placement agent, relating to a best efforts public offering (the “August 2025 Offering”) of 2,181,818 shares of the Company’s common stock at a price to the public of $1.10 per share.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closing of the August 2025 Offering occurred on August 4, 2025. The net proceeds to the Company from the sale of the shares, after deducting the underwriting discounts and commissions and other estimated offering expenses payable by the Company, were approximately $1.8 million.</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connection with the August 2025 Offering, on August 1, 2025, the Company entered into subscription agreements with each of Robert W. D’Loren, Chairman and Chief Executive Officer of the Company, and Mark DiSanto, a director of the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5" w:name="page76"/>
    <w:bookmarkEnd w:id="7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Company, to purchase 82,159 and 60,883 shares, respectively, at a price of $1.38 per share. The total number of shares purchased was 143,042. Net proceeds after payment of agent fees were approximately $0.2 million. The purchase of such shares closed concurrently with the August 2025 Offering.</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aggregate number of shares of common stock issued in the August 2025 Public Offering and Private Placement Transactions was 2,324,860 shares and the total net proceeds received were approximately $2.0 million.</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Upon the closing of these transactions, the Company issued the Placement Agent certain warrants to purchase up to 80,791 shares of common stock. Such warrants will be exercisable at an exercise price of $1.10 per share, in whole or in part, during the four and one-half year period that commenced 180 days after August 1, 2025.</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December 2025 Private Investment in Public Equity Transaction</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On December 17, 2025, the Company entered into a securities purchase agreement with several institutional and accredited investors for the issuance and sale in a private placement of securities for gross proceeds of $2.05 million. The securities purchase agreement provided for the issuance and sale of (i) 896,126 shares of the Company’s common stock, (ii) pre-funded warrants to purchase from the Company a total of 773,929 shares of common stock, at an exercise price per share equal to $0.001, and (iii) warrants to purchase from the Company a total of 835,023 shares of common stock, at an exercise price per share equal to $3.00.</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closing of this private placement transaction occurred on December 18, 2025. Robert W. D’Loren, Chairman and Chief Executive Officer of the Company, agreed to purchase 81,466 Shares and 40,733 Warrants for a total purchase price of $100,000. The aggregate net proceeds to the Company from the sale of the shares of common stock and pre-funded warrants, after deducting the placement agent fees and other estimated offering expenses payable by the Company, were approximately $1.82 million. The Company intends to use the net proceeds from this transaction for working capital and general corporate purposes.</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Pursuant to a placement agency agreement dated December 17, 2025, by and between the Company and Wellington Shields &amp; Co. LLC (the “PIPE Placement Agent”), the PIPE Placement Agent served as the exclusive placement agent in connection with this transaction. Upon the closing of this transaction, the Company issued the PIPE Placement Agent certain warrants to purchase up to 66,802 shares of common stock, which are exercisable at an exercise price of $1.165 per share, in whole or in part, during the five year period that commenced December 18, 2025.</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March 2024 Public Offering and Private Placement Transactions</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March 15, 2024, the Company entered into an underwriting agreement with Craig-Hallum Capital Group LLC (the “Representative”), as the representative of the underwriters, relating to a firm commitment underwritten public offering (the “2024 Offering”) of 328,427 shares of the Company’s common stock at a price to the public of $6.50 per share.</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closing of the 2024 Offering occurred on March 19, 2024. The net proceeds to the Company from the sale of the shares, after deducting the underwriting discounts and commissions and other estimated offering expenses payable by the Company, were approximately $1.7 million.</w:t>
      </w:r>
    </w:p>
    <w:p>
      <w:pPr>
        <w:spacing w:after="0" w:line="17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2024 Offering, on March 14, 2024, the Company entered into subscription agreements with each of Robert W. D’Loren, Chairman and Chief Executive Officer of the Company; Mark DiSanto, a director of the Company; and Seth Burroughs, Executive Vice President of Business Development and Treasury of the Company to purchase 13,258, 13,258, and 2,946 shares, respectively, at a price of $9.80 per share. The total number of shares purchased was 29,462. Net proceeds after payment of agent fees were approximately $0.3 million. The purchase of such shares closed concurrently with the 2024 Offering.</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aggregate number of shares of common stock issued in the 2024 Public Offering and Private Placement Transactions was 357,889 shares and the total net proceeds received were approximately $1.9 million. Upon the closing of these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76" w:name="page77"/>
    <w:bookmarkEnd w:id="7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transactions, the Company issued the Representative certain warrants to purchase up to 18,293 shares of common stock. Such warrants are exercisable at an exercise price of $8.125 per share, in whole or in part, during the four and one-half year period that commenced 180 days after March 15,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Incentive Plans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Company’s 2021 Equity Incentive Plan (the “2021 Plan”) is designed and utilized to enable the Company to provide its employees, officers, directors, consultants, and others whose past, present, and/or potential contributions to the Company have been, are, or will be important to the success of the Company, an opportunity to acquire a proprietary interest in the Company. Originally, a total of 400,000 shares of common stock were eligible for issuance under the 2021 Plan; during the Current Year, the Company’s stockholders approved amendment to the 2021 Plan that increased the number of shares authorized from 400,000 to 1,150,000.</w:t>
      </w:r>
    </w:p>
    <w:p>
      <w:pPr>
        <w:spacing w:after="0" w:line="18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2021 Plan provides for the grant of any or all of the following types of awards: stock options (incentive or non-qualified), restricted stock, restricted stock units, performance awards, or cash awards. The 2021 Plan is administered by the Company’s Board of Directors, or, at the Board’s discretion, a committee of the Board.</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stock-based awards (including options, warrants, and restricted stock) previously granted under the Company’s 2011 Equity Incentive Plan (the “2011 Plan”) remain outstanding and shares of common stock may be issued to satisfy options or warrants previously granted under the 2011 Plan, although no new awards may be granted under the 2011 Plan.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Total expense recognized for all forms of stock-based compensation was approximately $0.76 million and $0.47 million in the Current Year and Prior Year, respectively.</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Of the Current Year expense amount, approximately $0.57 million related to employees and approximately $0.19 million related to directors; all of this expense was recorded as a direct operating cost in the accompanying statement of operations. Of the Prior Year expense amount, approximately $0.23 million related to employees and approximately $0.24 million related to directors and consultants; all of this expense was recorded as a direct operating cost in the accompanying statement of operations.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Options granted under the Company’s equity incentive plans expire at various times – generally either five or ten years from the date of grant, depending on the particular grant.</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stock option activity for the Current Year is as follows:</w:t>
      </w:r>
    </w:p>
    <w:p>
      <w:pPr>
        <w:spacing w:after="0" w:line="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7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60" w:type="dxa"/>
            <w:vAlign w:val="bottom"/>
          </w:tcPr>
          <w:p>
            <w:pPr>
              <w:spacing w:after="0"/>
              <w:rPr>
                <w:sz w:val="12"/>
                <w:szCs w:val="12"/>
                <w:color w:val="auto"/>
              </w:rPr>
            </w:pPr>
          </w:p>
        </w:tc>
        <w:tc>
          <w:tcPr>
            <w:tcW w:w="74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46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8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520" w:type="dxa"/>
            <w:vAlign w:val="bottom"/>
            <w:gridSpan w:val="2"/>
          </w:tcPr>
          <w:p>
            <w:pPr>
              <w:ind w:left="538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20" w:type="dxa"/>
            <w:vAlign w:val="bottom"/>
            <w:gridSpan w:val="2"/>
          </w:tcPr>
          <w:p>
            <w:pPr>
              <w:ind w:left="10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(in Years)</w:t>
            </w:r>
          </w:p>
        </w:tc>
        <w:tc>
          <w:tcPr>
            <w:tcW w:w="2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472,392</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3.65</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551,201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5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Expired/Forfeited</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(45,898)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w:t>
            </w:r>
          </w:p>
        </w:tc>
        <w:tc>
          <w:tcPr>
            <w:tcW w:w="180" w:type="dxa"/>
            <w:vAlign w:val="bottom"/>
          </w:tcPr>
          <w:p>
            <w:pPr>
              <w:spacing w:after="0"/>
              <w:rPr>
                <w:sz w:val="18"/>
                <w:szCs w:val="18"/>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 and expected to vest</w:t>
            </w:r>
          </w:p>
        </w:tc>
        <w:tc>
          <w:tcPr>
            <w:tcW w:w="6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977,695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8.69</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3.98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2025</w:t>
            </w: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60" w:type="dxa"/>
            <w:vAlign w:val="bottom"/>
            <w:vMerge w:val="continue"/>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197,494</w:t>
            </w:r>
          </w:p>
        </w:tc>
        <w:tc>
          <w:tcPr>
            <w:tcW w:w="40" w:type="dxa"/>
            <w:vAlign w:val="bottom"/>
          </w:tcPr>
          <w:p>
            <w:pPr>
              <w:spacing w:after="0"/>
              <w:rPr>
                <w:sz w:val="17"/>
                <w:szCs w:val="17"/>
                <w:color w:val="auto"/>
              </w:rPr>
            </w:pPr>
          </w:p>
        </w:tc>
        <w:tc>
          <w:tcPr>
            <w:tcW w:w="120" w:type="dxa"/>
            <w:vAlign w:val="bottom"/>
            <w:vMerge w:val="continue"/>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9.23</w:t>
            </w:r>
          </w:p>
        </w:tc>
        <w:tc>
          <w:tcPr>
            <w:tcW w:w="180" w:type="dxa"/>
            <w:vAlign w:val="bottom"/>
            <w:vMerge w:val="continue"/>
          </w:tcPr>
          <w:p>
            <w:pPr>
              <w:spacing w:after="0"/>
              <w:rPr>
                <w:sz w:val="17"/>
                <w:szCs w:val="17"/>
                <w:color w:val="auto"/>
              </w:rPr>
            </w:pPr>
          </w:p>
        </w:tc>
        <w:tc>
          <w:tcPr>
            <w:tcW w:w="740" w:type="dxa"/>
            <w:vAlign w:val="bottom"/>
            <w:tcBorders>
              <w:bottom w:val="single" w:sz="8" w:color="auto"/>
            </w:tcBorders>
          </w:tcPr>
          <w:p>
            <w:pPr>
              <w:ind w:left="380"/>
              <w:spacing w:after="0" w:line="196" w:lineRule="exact"/>
              <w:rPr>
                <w:sz w:val="20"/>
                <w:szCs w:val="20"/>
                <w:color w:val="auto"/>
              </w:rPr>
            </w:pPr>
            <w:r>
              <w:rPr>
                <w:rFonts w:ascii="Times New Roman" w:cs="Times New Roman" w:eastAsia="Times New Roman" w:hAnsi="Times New Roman"/>
                <w:sz w:val="18"/>
                <w:szCs w:val="18"/>
                <w:color w:val="auto"/>
              </w:rPr>
              <w:t>4.14</w:t>
            </w:r>
          </w:p>
        </w:tc>
        <w:tc>
          <w:tcPr>
            <w:tcW w:w="160" w:type="dxa"/>
            <w:vAlign w:val="bottom"/>
            <w:vMerge w:val="continue"/>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ind w:left="4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7" w:name="page78"/>
    <w:bookmarkEnd w:id="7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Year stock option grants were as follows:</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April 7, 2025, the Company granted options to purchase an aggregate of 10,000 shares of common stock to certain key individuals. The exercise price of the options is $2.91316 per share, and the vesting of such options is contingent upon the achievement of certain revenue targets.</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28, 2025, the Company granted options to purchase an aggregate of 10,000 shares of common stock to non-management directors. The exercise price of the options is $2.6321 per share; 50% of the options vested on May 28, 2025 and the remaining 50% will vest on May 1, 2026.</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May 28, 2025, the Company granted options to purchase an aggregate of 17,500 shares of common stock to Messrs. D’Loren, DiSanto, and Burroughs. The exercise price of the options is $2.6321 per share, and the options vested immediately upon grant.</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On September 24, 2025, the Company granted options to purchase an aggregate of 60,000 shares of common stock to a member of management. The exercise price of the options is $1.585 per share, and the vesting of such options is contingent upon the Company’s common stock achieving certain target prices or the Company achieving certain financial performance targets.</w:t>
      </w:r>
    </w:p>
    <w:p>
      <w:pPr>
        <w:spacing w:after="0" w:line="180"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On December 3, 2025, the Company granted options to purchase an aggregate of 113,500 shares to non-management directors. These options were fully vested and exercisable upon issuance, and have an exercise price of $0.94 per share.</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December 3, 2025, the Company granted options to purchase an aggregate of 340,201 shares of common stock to certain members of executive management: 250,674 to Robert W. D’Loren, the Company’s Chief Executive Officer, 53,716 to James F. Haran, the Company’s Chief Financial Officer, and 35,811 to Seth Burroughs, Executive Vice President of Business Development and Treasury. The exercise price is $0.94 per share, and the vesting of such options is dependent upon the Company’s common stock achieving certain stock trading prices: 97,500 shall vest if the stock price is equal to or greater than $3.00 per share, 81,500 shall vest if the stock price is equal to or greater than $5.00 per share, 67,000 shall vest if the stock price is equal to or greater than $7.00 per share, 54,200 shall vest if the stock price is equal to or greater than $9.00 per share, and 40,001 shall vest if the stock price is equal to or greater than $11.00 per share.</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 Year stock option grants were as follows:</w:t>
      </w:r>
    </w:p>
    <w:p>
      <w:pPr>
        <w:spacing w:after="0" w:line="225"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On April 3, 2024, the Company granted options to purchase an aggregate of 10,000 shares of common stock to non-management directors. The exercise price of the options is $8.50 per share, and 50% of the options vest on each of April 3, 2025 and April 3, 2026.</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Of the total stock options outstanding at December 31, 2025, the vesting of 770,201 options is contingent upon certain performance-based or market-based criteria:</w:t>
      </w:r>
    </w:p>
    <w:p>
      <w:pPr>
        <w:spacing w:after="0" w:line="162" w:lineRule="exact"/>
        <w:rPr>
          <w:sz w:val="20"/>
          <w:szCs w:val="20"/>
          <w:color w:val="auto"/>
        </w:rPr>
      </w:pPr>
    </w:p>
    <w:p>
      <w:pPr>
        <w:ind w:left="720" w:right="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340,201 options granted to members of executive management in December 2025 (as described above) is contingent upon the Company’s common stock achieving certain target prices;</w:t>
      </w:r>
    </w:p>
    <w:p>
      <w:pPr>
        <w:spacing w:after="0" w:line="161" w:lineRule="exact"/>
        <w:rPr>
          <w:rFonts w:ascii="Times New Roman" w:cs="Times New Roman" w:eastAsia="Times New Roman" w:hAnsi="Times New Roman"/>
          <w:sz w:val="18"/>
          <w:szCs w:val="18"/>
          <w:color w:val="auto"/>
        </w:rPr>
      </w:pPr>
    </w:p>
    <w:p>
      <w:pPr>
        <w:jc w:val="both"/>
        <w:ind w:left="720" w:right="79" w:hanging="319"/>
        <w:spacing w:after="0" w:line="261"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350,000 options granted to members of executive management in February 2019 is contingent upon the Company’s common stock achieving certain target prices ranging from $30.00 per share to $110.00 per share, such that 100,000 shall vest at $30.00, 85,000 shall vest at $50.00, 70,000 shall vest at $70.00, 55,000 shall vest at $90.00, and 40,000 shall vest at $110.00;</w:t>
      </w:r>
    </w:p>
    <w:p>
      <w:pPr>
        <w:spacing w:after="0" w:line="179" w:lineRule="exact"/>
        <w:rPr>
          <w:rFonts w:ascii="Times New Roman" w:cs="Times New Roman" w:eastAsia="Times New Roman" w:hAnsi="Times New Roman"/>
          <w:sz w:val="18"/>
          <w:szCs w:val="18"/>
          <w:color w:val="auto"/>
        </w:rPr>
      </w:pPr>
    </w:p>
    <w:p>
      <w:pPr>
        <w:ind w:left="720" w:right="79" w:hanging="319"/>
        <w:spacing w:after="0" w:line="282" w:lineRule="auto"/>
        <w:tabs>
          <w:tab w:leader="none" w:pos="7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20,000 options is contingent upon the achievement of certain revenue targets related to certain brands;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8" w:name="page79"/>
    <w:bookmarkEnd w:id="7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ind w:left="720" w:right="79" w:hanging="319"/>
        <w:spacing w:after="0" w:line="282" w:lineRule="auto"/>
        <w:tabs>
          <w:tab w:leader="none" w:pos="7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vesting of 60,000 options is contingent upon the Company’s common stock achieving certain target prices or the Company achieving certain financial performance targets.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 of these performance-based or market-based stock options have vested.</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fair values of options granted in the Current Year and Prior Year were estimated at the respective dates of grant using a Black-Scholes option pricing model or (for options with market-based vesting criteria) a binomial lattice model, with the following range of assumptions as applicable:</w:t>
      </w:r>
    </w:p>
    <w:p>
      <w:pPr>
        <w:spacing w:after="0" w:line="183"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12" w:lineRule="exact"/>
        <w:rPr>
          <w:sz w:val="20"/>
          <w:szCs w:val="20"/>
          <w:color w:val="auto"/>
        </w:rPr>
      </w:pPr>
    </w:p>
    <w:tbl>
      <w:tblPr>
        <w:tblLayout w:type="fixed"/>
        <w:tblInd w:w="40" w:type="dxa"/>
        <w:tblCellMar>
          <w:top w:w="0" w:type="dxa"/>
          <w:left w:w="0" w:type="dxa"/>
          <w:bottom w:w="0" w:type="dxa"/>
          <w:right w:w="0" w:type="dxa"/>
        </w:tblCellMar>
      </w:tblPr>
      <w:tr>
        <w:trPr>
          <w:trHeight w:val="156"/>
        </w:trPr>
        <w:tc>
          <w:tcPr>
            <w:tcW w:w="6740" w:type="dxa"/>
            <w:vAlign w:val="bottom"/>
            <w:gridSpan w:val="2"/>
          </w:tcPr>
          <w:p>
            <w:pPr>
              <w:ind w:left="6620"/>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tcPr>
          <w:p>
            <w:pPr>
              <w:jc w:val="right"/>
              <w:ind w:right="214"/>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3"/>
                <w:szCs w:val="13"/>
                <w:color w:val="auto"/>
              </w:rPr>
            </w:pPr>
          </w:p>
        </w:tc>
      </w:tr>
      <w:tr>
        <w:trPr>
          <w:trHeight w:val="209"/>
        </w:trPr>
        <w:tc>
          <w:tcPr>
            <w:tcW w:w="6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 – 100</w:t>
            </w:r>
          </w:p>
        </w:tc>
        <w:tc>
          <w:tcPr>
            <w:tcW w:w="240" w:type="dxa"/>
            <w:vAlign w:val="bottom"/>
            <w:tcBorders>
              <w:top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6"/>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600" w:type="dxa"/>
            <w:vAlign w:val="bottom"/>
          </w:tcPr>
          <w:p>
            <w:pPr>
              <w:spacing w:after="0"/>
              <w:rPr>
                <w:sz w:val="18"/>
                <w:szCs w:val="18"/>
                <w:color w:val="auto"/>
              </w:rPr>
            </w:pPr>
          </w:p>
        </w:tc>
        <w:tc>
          <w:tcPr>
            <w:tcW w:w="5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w:t>
            </w:r>
          </w:p>
        </w:tc>
      </w:tr>
      <w:tr>
        <w:trPr>
          <w:trHeight w:val="216"/>
        </w:trPr>
        <w:tc>
          <w:tcPr>
            <w:tcW w:w="6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Life (Term, in years)</w:t>
            </w:r>
          </w:p>
        </w:tc>
        <w:tc>
          <w:tcPr>
            <w:tcW w:w="1100" w:type="dxa"/>
            <w:vAlign w:val="bottom"/>
            <w:gridSpan w:val="3"/>
            <w:shd w:val="clear" w:color="auto" w:fill="CCEEFF"/>
          </w:tcPr>
          <w:p>
            <w:pPr>
              <w:jc w:val="right"/>
              <w:ind w:right="219"/>
              <w:spacing w:after="0"/>
              <w:rPr>
                <w:sz w:val="20"/>
                <w:szCs w:val="20"/>
                <w:color w:val="auto"/>
              </w:rPr>
            </w:pPr>
            <w:r>
              <w:rPr>
                <w:rFonts w:ascii="Times New Roman" w:cs="Times New Roman" w:eastAsia="Times New Roman" w:hAnsi="Times New Roman"/>
                <w:sz w:val="18"/>
                <w:szCs w:val="18"/>
                <w:color w:val="auto"/>
              </w:rPr>
              <w:t>1.5 – 5</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80" w:type="dxa"/>
            <w:vAlign w:val="bottom"/>
            <w:shd w:val="clear" w:color="auto" w:fill="CCEEFF"/>
          </w:tcPr>
          <w:p>
            <w:pPr>
              <w:spacing w:after="0"/>
              <w:rPr>
                <w:sz w:val="18"/>
                <w:szCs w:val="18"/>
                <w:color w:val="auto"/>
              </w:rPr>
            </w:pPr>
          </w:p>
        </w:tc>
      </w:tr>
      <w:tr>
        <w:trPr>
          <w:trHeight w:val="234"/>
        </w:trPr>
        <w:tc>
          <w:tcPr>
            <w:tcW w:w="6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0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w w:val="97"/>
              </w:rPr>
              <w:t>3.50 – 4.05 %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4.46 %</w:t>
            </w:r>
          </w:p>
        </w:tc>
      </w:tr>
    </w:tbl>
    <w:p>
      <w:pPr>
        <w:spacing w:after="0" w:line="17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Compensation expense related to stock options for the Current Year and Prior Year was approximately $0.14 million and $0.08 million, respectively. Total unrecognized compensation expense related to unvested stock options (excluding stock options with performance-based vesting) at December 31, 2025 amounts to approximately $0.16 million and is expected to be recognized over a weighted average period of 4.65 years.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non-vested options for the Current Year:</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ind w:left="6720"/>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860" w:type="dxa"/>
            <w:vAlign w:val="bottom"/>
          </w:tcPr>
          <w:p>
            <w:pPr>
              <w:spacing w:after="0"/>
              <w:rPr>
                <w:sz w:val="12"/>
                <w:szCs w:val="12"/>
                <w:color w:val="auto"/>
              </w:rPr>
            </w:pPr>
          </w:p>
        </w:tc>
        <w:tc>
          <w:tcPr>
            <w:tcW w:w="9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860" w:type="dxa"/>
            <w:vAlign w:val="bottom"/>
          </w:tcPr>
          <w:p>
            <w:pPr>
              <w:ind w:left="67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6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January 1, 2025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375,000</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551,201</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(146,000)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Forfeited or Canceled</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780,201</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8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 summary of the Company’s restricted stock activity for the Current Year is as follows:</w:t>
            </w: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860" w:type="dxa"/>
            <w:vAlign w:val="bottom"/>
          </w:tcPr>
          <w:p>
            <w:pPr>
              <w:spacing w:after="0"/>
              <w:rPr>
                <w:sz w:val="24"/>
                <w:szCs w:val="24"/>
                <w:color w:val="auto"/>
              </w:rPr>
            </w:pPr>
          </w:p>
        </w:tc>
        <w:tc>
          <w:tcPr>
            <w:tcW w:w="92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686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62"/>
        </w:trPr>
        <w:tc>
          <w:tcPr>
            <w:tcW w:w="686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Grant Date</w:t>
            </w:r>
          </w:p>
        </w:tc>
        <w:tc>
          <w:tcPr>
            <w:tcW w:w="0" w:type="dxa"/>
            <w:vAlign w:val="bottom"/>
          </w:tcPr>
          <w:p>
            <w:pPr>
              <w:spacing w:after="0"/>
              <w:rPr>
                <w:sz w:val="1"/>
                <w:szCs w:val="1"/>
                <w:color w:val="auto"/>
              </w:rPr>
            </w:pPr>
          </w:p>
        </w:tc>
      </w:tr>
      <w:tr>
        <w:trPr>
          <w:trHeight w:val="173"/>
        </w:trPr>
        <w:tc>
          <w:tcPr>
            <w:tcW w:w="6860" w:type="dxa"/>
            <w:vAlign w:val="bottom"/>
          </w:tcPr>
          <w:p>
            <w:pPr>
              <w:ind w:left="674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260" w:type="dxa"/>
            <w:vAlign w:val="bottom"/>
            <w:gridSpan w:val="2"/>
          </w:tcPr>
          <w:p>
            <w:pPr>
              <w:jc w:val="right"/>
              <w:ind w:right="10"/>
              <w:spacing w:after="0"/>
              <w:rPr>
                <w:sz w:val="20"/>
                <w:szCs w:val="20"/>
                <w:color w:val="auto"/>
              </w:rPr>
            </w:pPr>
            <w:r>
              <w:rPr>
                <w:rFonts w:ascii="Arial" w:cs="Arial" w:eastAsia="Arial" w:hAnsi="Arial"/>
                <w:sz w:val="14"/>
                <w:szCs w:val="14"/>
                <w:color w:val="auto"/>
              </w:rPr>
              <w:t>​​​</w:t>
            </w:r>
          </w:p>
        </w:tc>
        <w:tc>
          <w:tcPr>
            <w:tcW w:w="860" w:type="dxa"/>
            <w:vAlign w:val="bottom"/>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January 1, 2025</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35,333</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34.80</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291,756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16"/>
        </w:trPr>
        <w:tc>
          <w:tcPr>
            <w:tcW w:w="6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Vested</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(230,672)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68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Expired/Forfeited</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96,417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Current Year stock award grants were as follows:</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May 28, 2025, the Company issued an aggregate of 4,000 shares of common stock to non-management directors, of which 50% vests on each of April 1, 2026 and April 1, 2027.</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9" w:name="page80"/>
    <w:bookmarkEnd w:id="7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May 28, 2025, the Company issued an aggregate of 17,500 shares of common stock to Messrs. D’Loren, DiSanto, and Burroughs, which vested on November 1, 2025.</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November 20, 2025, the Company issued 63,674 shares of common stock to an employee, which vested immediately.</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December 3, 2025, the Company issued an aggregate of 39,584 shares of common stock to non-management directors, which shall vest on March 31, 2026.</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December 3, 2025, the Company issued 25,000 and 20,000 shares of common stock to Messrs. D’Loren and DiSanto, respectively, which vested immediately.</w:t>
      </w:r>
    </w:p>
    <w:p>
      <w:pPr>
        <w:spacing w:after="0" w:line="16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Further, in accordance with the amended employment agreements with each of Mr. D’Loren and Mr. Burroughs, effective July 16, 2024, and through December 31, 2025 and August 31, 2025, respectively, the Company paid 40% of each such executive officer’s base salary via the issuance of shares of the Company’s common stock, generally issued on the last day of each month. Each of Mr. D’Loren and Mr. Burroughs were permitted to pay the withholding tax through the exchange of a portion of the shares. Under the terms of these amended agreements, the Company issued an aggregate of 121,998 shares of common stock (net of shares exchanged for withholding taxes) to these executives for the Current Year, which vested immediately.</w:t>
      </w:r>
    </w:p>
    <w:p>
      <w:pPr>
        <w:spacing w:after="0" w:line="18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Prior Year stock award grants were as follows: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January 12, 2024, the Company issued 7,800 shares of common stock to a consultant, which vested immediately.</w:t>
      </w:r>
    </w:p>
    <w:p>
      <w:pPr>
        <w:spacing w:after="0" w:line="22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April 3, 2024, the Company issued an aggregate of 4,000 shares of common stock to non-management directors, of which 50% vests on each of April 3, 2025 and April 3, 2026.</w:t>
      </w:r>
    </w:p>
    <w:p>
      <w:pPr>
        <w:spacing w:after="0" w:line="162"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August 2, 2024, the Company issued 1,468 shares of common stock to a member of management, which vested immediately.</w:t>
      </w:r>
    </w:p>
    <w:p>
      <w:pPr>
        <w:spacing w:after="0" w:line="162"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Also, under the terms of the aforementioned amended employment agreements with Messrs. D’Loren and Burroughs, the Company issued an aggregate of 17,502 shares of common stock (net of shares exchanged for withholding taxes) to these executives for the Prior Year, which vested immediately.</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Notwithstanding the foregoing, each grantee may extend the first anniversary of all or a portion of the restricted stock by six months and, thereafter one or more times may further extend such date with respect to all or a portion of the restricted stock until the next following date exactly six months thereafter, by providing written notice of such election to extend such date with respect to all or a portion of the restricted stock prior to such date.</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Total compensation expense related to stock awards for the Current Year and Prior Year (inclusive of the amounts detailed above) was approximately $0.62 million and $0.39 million, respectively. Total unrecognized compensation expense related to unvested restricted stock grants at December 31, 2025 amounts to $0.39 million and is expected to be recognized over a weighted average period of 0.43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0" w:name="page81"/>
    <w:bookmarkEnd w:id="8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provides information with respect to restricted stock purchased and retired by the Company during the Current Year and Prior Year, all of which were exchanged from employees in connection with the income tax withholding obligations on behalf of such employees from the receipt of stock awards:</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 as</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restart"/>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Actual</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Part of</w:t>
            </w:r>
          </w:p>
        </w:tc>
        <w:tc>
          <w:tcPr>
            <w:tcW w:w="160" w:type="dxa"/>
            <w:vAlign w:val="bottom"/>
          </w:tcPr>
          <w:p>
            <w:pPr>
              <w:spacing w:after="0"/>
              <w:rPr>
                <w:sz w:val="12"/>
                <w:szCs w:val="12"/>
                <w:color w:val="auto"/>
              </w:rPr>
            </w:pPr>
          </w:p>
        </w:tc>
        <w:tc>
          <w:tcPr>
            <w:tcW w:w="8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 of</w:t>
            </w: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6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77"/>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16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9"/>
              </w:rPr>
              <w:t>Re-Purchased</w:t>
            </w:r>
          </w:p>
        </w:tc>
        <w:tc>
          <w:tcPr>
            <w:tcW w:w="0" w:type="dxa"/>
            <w:vAlign w:val="bottom"/>
          </w:tcPr>
          <w:p>
            <w:pPr>
              <w:spacing w:after="0"/>
              <w:rPr>
                <w:sz w:val="1"/>
                <w:szCs w:val="1"/>
                <w:color w:val="auto"/>
              </w:rPr>
            </w:pPr>
          </w:p>
        </w:tc>
      </w:tr>
      <w:tr>
        <w:trPr>
          <w:trHeight w:val="173"/>
        </w:trPr>
        <w:tc>
          <w:tcPr>
            <w:tcW w:w="49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40" w:type="dxa"/>
            <w:vAlign w:val="bottom"/>
            <w:gridSpan w:val="2"/>
          </w:tcPr>
          <w:p>
            <w:pPr>
              <w:jc w:val="right"/>
              <w:ind w:right="37"/>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Purchased</w:t>
            </w:r>
          </w:p>
        </w:tc>
        <w:tc>
          <w:tcPr>
            <w:tcW w:w="26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center"/>
              <w:ind w:right="12"/>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980" w:type="dxa"/>
            <w:vAlign w:val="bottom"/>
            <w:gridSpan w:val="2"/>
          </w:tcPr>
          <w:p>
            <w:pPr>
              <w:jc w:val="right"/>
              <w:ind w:right="194"/>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14"/>
                <w:szCs w:val="14"/>
                <w:b w:val="1"/>
                <w:bCs w:val="1"/>
                <w:color w:val="auto"/>
              </w:rPr>
              <w:t>Plan</w:t>
            </w:r>
          </w:p>
        </w:tc>
        <w:tc>
          <w:tcPr>
            <w:tcW w:w="320" w:type="dxa"/>
            <w:vAlign w:val="bottom"/>
            <w:gridSpan w:val="2"/>
          </w:tcPr>
          <w:p>
            <w:pPr>
              <w:ind w:left="80"/>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31, 2025</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5,104</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21,590</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28, 2025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21,587</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31, 2025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21,584</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April 30, 2025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8,297</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May 30, 2025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19,746</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June 30, 2025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10,909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19,746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15, 2025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17,973</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29, 2025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13,865</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30, 2025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7,774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13,683</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31, 2025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10,859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13,683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 2025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14,556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13,683</w:t>
            </w:r>
          </w:p>
        </w:tc>
        <w:tc>
          <w:tcPr>
            <w:tcW w:w="0" w:type="dxa"/>
            <w:vAlign w:val="bottom"/>
          </w:tcPr>
          <w:p>
            <w:pPr>
              <w:spacing w:after="0"/>
              <w:rPr>
                <w:sz w:val="1"/>
                <w:szCs w:val="1"/>
                <w:color w:val="auto"/>
              </w:rPr>
            </w:pPr>
          </w:p>
        </w:tc>
      </w:tr>
      <w:tr>
        <w:trPr>
          <w:trHeight w:val="250"/>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2025</w:t>
            </w:r>
          </w:p>
        </w:tc>
        <w:tc>
          <w:tcPr>
            <w:tcW w:w="160" w:type="dxa"/>
            <w:vAlign w:val="bottom"/>
          </w:tcPr>
          <w:p>
            <w:pPr>
              <w:spacing w:after="0"/>
              <w:rPr>
                <w:sz w:val="21"/>
                <w:szCs w:val="21"/>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113,022</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60" w:type="dxa"/>
            <w:vAlign w:val="bottom"/>
          </w:tcPr>
          <w:p>
            <w:pPr>
              <w:spacing w:after="0"/>
              <w:rPr>
                <w:sz w:val="21"/>
                <w:szCs w:val="21"/>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203,870</w:t>
            </w:r>
          </w:p>
        </w:tc>
        <w:tc>
          <w:tcPr>
            <w:tcW w:w="0" w:type="dxa"/>
            <w:vAlign w:val="bottom"/>
          </w:tcPr>
          <w:p>
            <w:pPr>
              <w:spacing w:after="0"/>
              <w:rPr>
                <w:sz w:val="1"/>
                <w:szCs w:val="1"/>
                <w:color w:val="auto"/>
              </w:rPr>
            </w:pPr>
          </w:p>
        </w:tc>
      </w:tr>
      <w:tr>
        <w:trPr>
          <w:trHeight w:val="129"/>
        </w:trPr>
        <w:tc>
          <w:tcPr>
            <w:tcW w:w="490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July 31, 2024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31, 2024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September 30, 2024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2,594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October 31, 2024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0" w:type="dxa"/>
            <w:vAlign w:val="bottom"/>
          </w:tcPr>
          <w:p>
            <w:pPr>
              <w:spacing w:after="0"/>
              <w:rPr>
                <w:sz w:val="1"/>
                <w:szCs w:val="1"/>
                <w:color w:val="auto"/>
              </w:rPr>
            </w:pPr>
          </w:p>
        </w:tc>
      </w:tr>
      <w:tr>
        <w:trPr>
          <w:trHeight w:val="216"/>
        </w:trPr>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November 31, 2024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31, 2024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3,768</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19,411</w:t>
            </w:r>
          </w:p>
        </w:tc>
        <w:tc>
          <w:tcPr>
            <w:tcW w:w="0" w:type="dxa"/>
            <w:vAlign w:val="bottom"/>
          </w:tcPr>
          <w:p>
            <w:pPr>
              <w:spacing w:after="0"/>
              <w:rPr>
                <w:sz w:val="1"/>
                <w:szCs w:val="1"/>
                <w:color w:val="auto"/>
              </w:rPr>
            </w:pPr>
          </w:p>
        </w:tc>
      </w:tr>
      <w:tr>
        <w:trPr>
          <w:trHeight w:val="210"/>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2024</w:t>
            </w:r>
          </w:p>
        </w:tc>
        <w:tc>
          <w:tcPr>
            <w:tcW w:w="16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15,748</w:t>
            </w:r>
          </w:p>
        </w:tc>
        <w:tc>
          <w:tcPr>
            <w:tcW w:w="18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w:t>
            </w:r>
          </w:p>
        </w:tc>
        <w:tc>
          <w:tcPr>
            <w:tcW w:w="16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106,735</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were no restricted stock units outstanding as of December 31, 2025 and 2024, and no restricted stock units have been issued since the inception of the 2021 Plan.</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Shares Reserved for Issuance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At December 31, 2025, there were 4,320,907 shares of common stock reserved for issuance, including 381,494 shares reserved pursuant to unexercised stock options previously granted under the 2011 Plan, 596,201 shares reserved pursuant to unexercised stock options granted under the 2021 Plan, and 191,003 shares available for issuance (future award grants) under the 2021 Plan. Also included in the aforementioned total shares reserved for issuance were 3,152,209 shares reserved pursuant to unexercised warrants issued through various corporate transactions, as described further below.</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Warrants granted by the Company expire at various times – generally either five or ten years from the date of grant, depending on the particular grant.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1" w:name="page82"/>
    <w:bookmarkEnd w:id="8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 summary of the Company’s warrant activity for the Current Year is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4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60" w:type="dxa"/>
            <w:vAlign w:val="bottom"/>
          </w:tcPr>
          <w:p>
            <w:pPr>
              <w:spacing w:after="0"/>
              <w:rPr>
                <w:sz w:val="12"/>
                <w:szCs w:val="12"/>
                <w:color w:val="auto"/>
              </w:rPr>
            </w:pPr>
          </w:p>
        </w:tc>
        <w:tc>
          <w:tcPr>
            <w:tcW w:w="780" w:type="dxa"/>
            <w:vAlign w:val="bottom"/>
            <w:gridSpan w:val="3"/>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160" w:type="dxa"/>
            <w:vAlign w:val="bottom"/>
          </w:tcPr>
          <w:p>
            <w:pPr>
              <w:spacing w:after="0"/>
              <w:rPr>
                <w:sz w:val="12"/>
                <w:szCs w:val="12"/>
                <w:color w:val="auto"/>
              </w:rPr>
            </w:pPr>
          </w:p>
        </w:tc>
        <w:tc>
          <w:tcPr>
            <w:tcW w:w="7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460" w:type="dxa"/>
            <w:vAlign w:val="bottom"/>
            <w:gridSpan w:val="2"/>
            <w:vMerge w:val="restart"/>
          </w:tcPr>
          <w:p>
            <w:pPr>
              <w:ind w:left="53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vMerge w:val="continue"/>
          </w:tcPr>
          <w:p>
            <w:pPr>
              <w:spacing w:after="0"/>
              <w:rPr>
                <w:sz w:val="12"/>
                <w:szCs w:val="12"/>
                <w:color w:val="auto"/>
              </w:rPr>
            </w:pPr>
          </w:p>
        </w:tc>
        <w:tc>
          <w:tcPr>
            <w:tcW w:w="2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Life</w:t>
            </w:r>
          </w:p>
        </w:tc>
        <w:tc>
          <w:tcPr>
            <w:tcW w:w="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73"/>
        </w:trPr>
        <w:tc>
          <w:tcPr>
            <w:tcW w:w="5460" w:type="dxa"/>
            <w:vAlign w:val="bottom"/>
            <w:gridSpan w:val="2"/>
            <w:vMerge w:val="continue"/>
          </w:tcPr>
          <w:p>
            <w:pPr>
              <w:spacing w:after="0"/>
              <w:rPr>
                <w:sz w:val="15"/>
                <w:szCs w:val="15"/>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220" w:type="dxa"/>
            <w:vAlign w:val="bottom"/>
            <w:gridSpan w:val="2"/>
            <w:vMerge w:val="continue"/>
          </w:tcPr>
          <w:p>
            <w:pPr>
              <w:spacing w:after="0"/>
              <w:rPr>
                <w:sz w:val="15"/>
                <w:szCs w:val="15"/>
                <w:color w:val="auto"/>
              </w:rPr>
            </w:pPr>
          </w:p>
        </w:tc>
        <w:tc>
          <w:tcPr>
            <w:tcW w:w="62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Price</w:t>
            </w:r>
          </w:p>
        </w:tc>
        <w:tc>
          <w:tcPr>
            <w:tcW w:w="900" w:type="dxa"/>
            <w:vAlign w:val="bottom"/>
            <w:gridSpan w:val="2"/>
          </w:tcPr>
          <w:p>
            <w:pPr>
              <w:jc w:val="right"/>
              <w:ind w:right="1"/>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(in Years)</w:t>
            </w:r>
          </w:p>
        </w:tc>
        <w:tc>
          <w:tcPr>
            <w:tcW w:w="260" w:type="dxa"/>
            <w:vAlign w:val="bottom"/>
            <w:gridSpan w:val="2"/>
            <w:vMerge w:val="continue"/>
          </w:tcPr>
          <w:p>
            <w:pPr>
              <w:spacing w:after="0"/>
              <w:rPr>
                <w:sz w:val="15"/>
                <w:szCs w:val="15"/>
                <w:color w:val="auto"/>
              </w:rPr>
            </w:pPr>
          </w:p>
        </w:tc>
        <w:tc>
          <w:tcPr>
            <w:tcW w:w="680" w:type="dxa"/>
            <w:vAlign w:val="bottom"/>
            <w:gridSpan w:val="2"/>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09"/>
        </w:trPr>
        <w:tc>
          <w:tcPr>
            <w:tcW w:w="54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and exercisable at January 1, 2025</w:t>
            </w:r>
          </w:p>
        </w:tc>
        <w:tc>
          <w:tcPr>
            <w:tcW w:w="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263,957</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8.96</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Issued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2,894,000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Amended</w:t>
            </w:r>
          </w:p>
        </w:tc>
        <w:tc>
          <w:tcPr>
            <w:tcW w:w="8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Exercised</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4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Expired/Forfeited</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2025</w:t>
            </w:r>
          </w:p>
        </w:tc>
        <w:tc>
          <w:tcPr>
            <w:tcW w:w="40" w:type="dxa"/>
            <w:vAlign w:val="bottom"/>
            <w:tcBorders>
              <w:top w:val="single" w:sz="8" w:color="auto"/>
              <w:bottom w:val="single" w:sz="8" w:color="auto"/>
            </w:tcBorders>
          </w:tcPr>
          <w:p>
            <w:pPr>
              <w:spacing w:after="0"/>
              <w:rPr>
                <w:sz w:val="21"/>
                <w:szCs w:val="21"/>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3,152,209</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60" w:type="dxa"/>
            <w:vAlign w:val="bottom"/>
            <w:tcBorders>
              <w:bottom w:val="single" w:sz="8" w:color="CCEEFF"/>
            </w:tcBorders>
          </w:tcPr>
          <w:p>
            <w:pPr>
              <w:spacing w:after="0"/>
              <w:rPr>
                <w:sz w:val="21"/>
                <w:szCs w:val="21"/>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60" w:type="dxa"/>
            <w:vAlign w:val="bottom"/>
            <w:tcBorders>
              <w:bottom w:val="single" w:sz="8" w:color="CCEEFF"/>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420" w:type="dxa"/>
            <w:vAlign w:val="bottom"/>
            <w:tcBorders>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Exercisable at December 31, 2025</w:t>
            </w:r>
          </w:p>
        </w:tc>
        <w:tc>
          <w:tcPr>
            <w:tcW w:w="4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99"/>
              </w:rPr>
              <w:t>2,971,418</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5.52</w:t>
            </w:r>
          </w:p>
        </w:tc>
        <w:tc>
          <w:tcPr>
            <w:tcW w:w="1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4.36</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Warrants issued during the Current Year include the following:</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April 21, 2025 refinancing of the Company’s term loan debt (see Note 6), the Company issued warrants to purchase an aggregate of 1,107,455 shares of the common stock to UTG and warrants to purchase 30,000 shares of common stock to Restore Capital (EQ-W), LLC. The warrants issued to UTG are exercisable for a period of seven years from the date of issuance at the following exercise prices: 131,100 shares at $6.60 per share, and 195,271 shares at each of $7.50, $10.00, $12.50, $15.00, and $17.50 per share. The warrants issued to Restore Capital (EQ-W), LLC are exercisable for a period of seven years from the date of issuance at an exercise price of $6.67 per share.</w:t>
      </w:r>
    </w:p>
    <w:p>
      <w:pPr>
        <w:spacing w:after="0" w:line="18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Also in connection with the April 21, 2025 refinancing, the Company and certain holders amended certain warrants that had been previously issued on December 12, 2024: (i) the exercise price of previously outstanding warrants to purchase 107,333 shares of common stock was reduced from $6.315 per share to $2.2477 per share, and (ii) the number of shares issuable under previously outstanding warrants to purchase an aggregate of 22,998 shares of common stock was reduced to 17,250 shares of common stock, and the exercise price of such warrants was reduced from $6.315 per share to $3.00 per share. These amendments resulted in a net reduction of 5,748 in the total warrants outstanding.</w:t>
      </w:r>
    </w:p>
    <w:p>
      <w:pPr>
        <w:spacing w:after="0" w:line="18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connection with the August 2025 public offering and private placement transactions (the details of which are disclosed above), the Company issued the placement agent certain warrants to purchase up to 80,791 shares of common stock.</w:t>
      </w:r>
    </w:p>
    <w:p>
      <w:pPr>
        <w:spacing w:after="0" w:line="16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Finally, in connection with the December 2025 private investment in public equity transaction (the details of which are disclosed above), the Company issued warrants to purchase an aggregate of up to 1,675,754 shares of common stock, including 835,023 investor warrants, 773,929 pre-funded warrants, and 66,802 placement agent warrants.</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Warrants issued during the Prior Year included (i) warrants to purchase up to 18,293 shares of common stock issued in connection with the March 19, 2024 Offering (see “2024 Public Offering and Private Placement Transactions” discussed above) and (ii) warrants to purchase up to 145,664 shares of common stock issued in connection with the December 12, 2024 debt refinancing transaction (see Note 6).</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was no compensation expense recognized related to the aforementioned warrants in the Current Year or Prior Year.</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connection with the entrance into the Halston Master License in 2023 (see Note 5), the Company issued to G-III a ten-year warrant to purchase up to 100,000 shares of the Company’s common stock at an exercise price of $15.00 per share, which vests based upon certain annual royalty targets being satisfied under the license agreement. The fair value of this warrant is being recognized as a reduction of revenue over the term of the related license agreement, with an offsetting increase to stockholders’ equity as additional paid-in capital. The amount of contra-revenue recognized related to this</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2" w:name="page83"/>
    <w:bookmarkEnd w:id="8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warrant during the Current Year and Prior Year was approximately $0.04 million in each period. As of December 31, 2025, no portion of this warrant had vested.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has not paid any dividends to date.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Earnings (Loss) Per Share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is a reconciliation of the numerator and denominator of the basic and diluted net loss per share computations for the years ended December 31, 2025 and 2024:</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860" w:type="dxa"/>
            <w:vAlign w:val="bottom"/>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580" w:type="dxa"/>
            <w:vAlign w:val="bottom"/>
            <w:vMerge w:val="restart"/>
          </w:tcPr>
          <w:p>
            <w:pPr>
              <w:ind w:left="538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8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80" w:type="dxa"/>
            <w:vAlign w:val="bottom"/>
            <w:vMerge w:val="continue"/>
          </w:tcPr>
          <w:p>
            <w:pPr>
              <w:spacing w:after="0"/>
              <w:rPr>
                <w:sz w:val="12"/>
                <w:szCs w:val="12"/>
                <w:color w:val="auto"/>
              </w:rPr>
            </w:pPr>
          </w:p>
        </w:tc>
        <w:tc>
          <w:tcPr>
            <w:tcW w:w="380" w:type="dxa"/>
            <w:vAlign w:val="bottom"/>
          </w:tcPr>
          <w:p>
            <w:pPr>
              <w:spacing w:after="0"/>
              <w:rPr>
                <w:sz w:val="12"/>
                <w:szCs w:val="12"/>
                <w:color w:val="auto"/>
              </w:rPr>
            </w:pPr>
          </w:p>
        </w:tc>
        <w:tc>
          <w:tcPr>
            <w:tcW w:w="1140" w:type="dxa"/>
            <w:vAlign w:val="bottom"/>
          </w:tcPr>
          <w:p>
            <w:pPr>
              <w:jc w:val="right"/>
              <w:ind w:right="53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2"/>
                <w:szCs w:val="12"/>
                <w:color w:val="auto"/>
              </w:rPr>
            </w:pPr>
          </w:p>
        </w:tc>
        <w:tc>
          <w:tcPr>
            <w:tcW w:w="680" w:type="dxa"/>
            <w:vAlign w:val="bottom"/>
            <w:gridSpan w:val="2"/>
          </w:tcPr>
          <w:p>
            <w:pPr>
              <w:jc w:val="right"/>
              <w:ind w:right="45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5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Xcel Brands, Inc. stockholders (in thousands)</w:t>
            </w:r>
          </w:p>
        </w:tc>
        <w:tc>
          <w:tcPr>
            <w:tcW w:w="3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(17,461)</w:t>
            </w:r>
          </w:p>
        </w:tc>
        <w:tc>
          <w:tcPr>
            <w:tcW w:w="6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 weighted average number of shares outstanding</w:t>
            </w:r>
          </w:p>
        </w:tc>
        <w:tc>
          <w:tcPr>
            <w:tcW w:w="3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3,435,816</w:t>
            </w:r>
          </w:p>
        </w:tc>
        <w:tc>
          <w:tcPr>
            <w:tcW w:w="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2,275,332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 Effect of warrants</w:t>
            </w:r>
          </w:p>
        </w:tc>
        <w:tc>
          <w:tcPr>
            <w:tcW w:w="3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 Effect of stock options</w:t>
            </w:r>
          </w:p>
        </w:tc>
        <w:tc>
          <w:tcPr>
            <w:tcW w:w="3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Diluted weighted average number of shares outstanding</w:t>
            </w:r>
          </w:p>
        </w:tc>
        <w:tc>
          <w:tcPr>
            <w:tcW w:w="38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3,435,816</w:t>
            </w:r>
          </w:p>
        </w:tc>
        <w:tc>
          <w:tcPr>
            <w:tcW w:w="40" w:type="dxa"/>
            <w:vAlign w:val="bottom"/>
            <w:tcBorders>
              <w:bottom w:val="single" w:sz="8" w:color="CCEEFF"/>
            </w:tcBorders>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4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2,275,332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5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 net income (loss) per share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(5.08)</w:t>
            </w:r>
          </w:p>
        </w:tc>
        <w:tc>
          <w:tcPr>
            <w:tcW w:w="6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(9.84)</w:t>
            </w:r>
          </w:p>
        </w:tc>
        <w:tc>
          <w:tcPr>
            <w:tcW w:w="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558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Diluted net income (loss) per share</w:t>
            </w:r>
          </w:p>
        </w:tc>
        <w:tc>
          <w:tcPr>
            <w:tcW w:w="380" w:type="dxa"/>
            <w:vAlign w:val="bottom"/>
            <w:tcBorders>
              <w:top w:val="single" w:sz="8" w:color="auto"/>
              <w:bottom w:val="single" w:sz="8" w:color="auto"/>
            </w:tcBorders>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(5.08)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ind w:right="2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(9.84)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As a result of the net loss presented for the Current Year and Prior Year, the Company calculated diluted loss per share using basic weighted-average shares outstanding for both years, as utilizing diluted shares would be anti-dilutive to loss per share.</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computation of basic and diluted loss per share excludes the common stock equivalents of the following potentially dilutive securities because their inclusion would be anti-dilutive:</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180" w:type="dxa"/>
            <w:vAlign w:val="bottom"/>
            <w:gridSpan w:val="3"/>
          </w:tcPr>
          <w:p>
            <w:pPr>
              <w:jc w:val="center"/>
              <w:ind w:left="979"/>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60" w:type="dxa"/>
            <w:vAlign w:val="bottom"/>
            <w:vMerge w:val="restart"/>
          </w:tcPr>
          <w:p>
            <w:pPr>
              <w:ind w:left="5460"/>
              <w:spacing w:after="0"/>
              <w:rPr>
                <w:sz w:val="20"/>
                <w:szCs w:val="20"/>
                <w:color w:val="auto"/>
              </w:rPr>
            </w:pPr>
            <w:r>
              <w:rPr>
                <w:rFonts w:ascii="Arial" w:cs="Arial" w:eastAsia="Arial" w:hAnsi="Arial"/>
                <w:sz w:val="14"/>
                <w:szCs w:val="14"/>
                <w:color w:val="auto"/>
              </w:rPr>
              <w:t>​​​</w:t>
            </w:r>
          </w:p>
        </w:tc>
        <w:tc>
          <w:tcPr>
            <w:tcW w:w="2180" w:type="dxa"/>
            <w:vAlign w:val="bottom"/>
            <w:tcBorders>
              <w:bottom w:val="single" w:sz="8" w:color="auto"/>
            </w:tcBorders>
            <w:gridSpan w:val="3"/>
          </w:tcPr>
          <w:p>
            <w:pPr>
              <w:jc w:val="center"/>
              <w:ind w:left="93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5660" w:type="dxa"/>
            <w:vAlign w:val="bottom"/>
            <w:vMerge w:val="continue"/>
          </w:tcPr>
          <w:p>
            <w:pPr>
              <w:spacing w:after="0"/>
              <w:rPr>
                <w:sz w:val="13"/>
                <w:szCs w:val="13"/>
                <w:color w:val="auto"/>
              </w:rPr>
            </w:pPr>
          </w:p>
        </w:tc>
        <w:tc>
          <w:tcPr>
            <w:tcW w:w="1460" w:type="dxa"/>
            <w:vAlign w:val="bottom"/>
          </w:tcPr>
          <w:p>
            <w:pPr>
              <w:jc w:val="right"/>
              <w:ind w:right="499"/>
              <w:spacing w:after="0" w:line="155" w:lineRule="exact"/>
              <w:rPr>
                <w:sz w:val="20"/>
                <w:szCs w:val="20"/>
                <w:color w:val="auto"/>
              </w:rPr>
            </w:pPr>
            <w:r>
              <w:rPr>
                <w:rFonts w:ascii="Times New Roman" w:cs="Times New Roman" w:eastAsia="Times New Roman" w:hAnsi="Times New Roman"/>
                <w:sz w:val="14"/>
                <w:szCs w:val="14"/>
                <w:b w:val="1"/>
                <w:bCs w:val="1"/>
                <w:color w:val="auto"/>
              </w:rPr>
              <w:t>2025</w:t>
            </w:r>
          </w:p>
        </w:tc>
        <w:tc>
          <w:tcPr>
            <w:tcW w:w="720" w:type="dxa"/>
            <w:vAlign w:val="bottom"/>
            <w:gridSpan w:val="2"/>
          </w:tcPr>
          <w:p>
            <w:pPr>
              <w:jc w:val="center"/>
              <w:ind w:right="440"/>
              <w:spacing w:after="0" w:line="155" w:lineRule="exact"/>
              <w:rPr>
                <w:sz w:val="20"/>
                <w:szCs w:val="20"/>
                <w:color w:val="auto"/>
              </w:rPr>
            </w:pPr>
            <w:r>
              <w:rPr>
                <w:rFonts w:ascii="Arial" w:cs="Arial" w:eastAsia="Arial" w:hAnsi="Arial"/>
                <w:sz w:val="14"/>
                <w:szCs w:val="14"/>
                <w:color w:val="auto"/>
              </w:rPr>
              <w:t>​​​</w:t>
            </w:r>
          </w:p>
        </w:tc>
        <w:tc>
          <w:tcPr>
            <w:tcW w:w="1060" w:type="dxa"/>
            <w:vAlign w:val="bottom"/>
          </w:tcPr>
          <w:p>
            <w:pPr>
              <w:jc w:val="right"/>
              <w:ind w:right="515"/>
              <w:spacing w:after="0" w:line="155" w:lineRule="exact"/>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977,695</w:t>
            </w: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472,392</w:t>
            </w:r>
          </w:p>
        </w:tc>
        <w:tc>
          <w:tcPr>
            <w:tcW w:w="0" w:type="dxa"/>
            <w:vAlign w:val="bottom"/>
          </w:tcPr>
          <w:p>
            <w:pPr>
              <w:spacing w:after="0"/>
              <w:rPr>
                <w:sz w:val="1"/>
                <w:szCs w:val="1"/>
                <w:color w:val="auto"/>
              </w:rPr>
            </w:pPr>
          </w:p>
        </w:tc>
      </w:tr>
      <w:tr>
        <w:trPr>
          <w:trHeight w:val="216"/>
        </w:trPr>
        <w:tc>
          <w:tcPr>
            <w:tcW w:w="5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Warrants</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3,152,209</w:t>
            </w:r>
          </w:p>
        </w:tc>
        <w:tc>
          <w:tcPr>
            <w:tcW w:w="2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263,957</w:t>
            </w:r>
          </w:p>
        </w:tc>
        <w:tc>
          <w:tcPr>
            <w:tcW w:w="0" w:type="dxa"/>
            <w:vAlign w:val="bottom"/>
          </w:tcPr>
          <w:p>
            <w:pPr>
              <w:spacing w:after="0"/>
              <w:rPr>
                <w:sz w:val="1"/>
                <w:szCs w:val="1"/>
                <w:color w:val="auto"/>
              </w:rPr>
            </w:pPr>
          </w:p>
        </w:tc>
      </w:tr>
      <w:tr>
        <w:trPr>
          <w:trHeight w:val="210"/>
        </w:trPr>
        <w:tc>
          <w:tcPr>
            <w:tcW w:w="5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4,129,904</w:t>
            </w:r>
          </w:p>
        </w:tc>
        <w:tc>
          <w:tcPr>
            <w:tcW w:w="2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736,349</w:t>
            </w:r>
          </w:p>
        </w:tc>
        <w:tc>
          <w:tcPr>
            <w:tcW w:w="0" w:type="dxa"/>
            <w:vAlign w:val="bottom"/>
          </w:tcPr>
          <w:p>
            <w:pPr>
              <w:spacing w:after="0"/>
              <w:rPr>
                <w:sz w:val="1"/>
                <w:szCs w:val="1"/>
                <w:color w:val="auto"/>
              </w:rPr>
            </w:pPr>
          </w:p>
        </w:tc>
      </w:tr>
      <w:tr>
        <w:trPr>
          <w:trHeight w:val="20"/>
        </w:trPr>
        <w:tc>
          <w:tcPr>
            <w:tcW w:w="566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is party to operating leases for real estate, and for certain equipment and storage space with a term of 12 months or less. The Company is currently not a party to any finance leases. As of December 31, 2025, the Company’s real estate leases have a weighted-average remaining lease term of approximately 3.97 years, and the lease liabilities are measured using a weighted-average discount rate of 8.13%.</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3" w:name="page84"/>
    <w:bookmarkEnd w:id="8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1333 Broadway Lease</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Company has an operating lease for approximately 29,600 square feet of office space at 1333 Broadway, 10th floor, New York, New York, which commenced on March 1, 2016 and expires on October 30, 2027. The average annual fixed rent over the term of this lease is approximately $1.3 million per year, and the lease requires the Company to pay additional rents related to increases in certain taxes and other costs on the property.</w:t>
      </w:r>
    </w:p>
    <w:p>
      <w:pPr>
        <w:spacing w:after="0" w:line="180" w:lineRule="exact"/>
        <w:rPr>
          <w:sz w:val="20"/>
          <w:szCs w:val="20"/>
          <w:color w:val="auto"/>
        </w:rPr>
      </w:pPr>
    </w:p>
    <w:p>
      <w:pPr>
        <w:jc w:val="both"/>
        <w:ind w:left="60" w:right="79"/>
        <w:spacing w:after="0" w:line="256" w:lineRule="auto"/>
        <w:rPr>
          <w:sz w:val="20"/>
          <w:szCs w:val="20"/>
          <w:color w:val="auto"/>
        </w:rPr>
      </w:pPr>
      <w:r>
        <w:rPr>
          <w:rFonts w:ascii="Times New Roman" w:cs="Times New Roman" w:eastAsia="Times New Roman" w:hAnsi="Times New Roman"/>
          <w:sz w:val="18"/>
          <w:szCs w:val="18"/>
          <w:color w:val="auto"/>
        </w:rPr>
        <w:t>On January 26, 2024, the Company (as sublessor) entered into an agreement for the sublease of the offices located at 1333 Broadway to a third-party subtenant through October 30, 2027. The average annual fixed rent over the term of the sublease is approximately $0.8 million per year. As a result of entering into the sublease, the Company recognized non-cash impairment charges of approximately $3.1 million during the Prior Year related to the right-of-use asset. Also in connection with entering into the sublease, the Company recognized a non-cash impairment charge of approximately $0.4 million during the Prior Year related to leasehold improvement assets at this location.</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this lease had a remaining lease term of approximately 1.83 years.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550 Seventh Avenue Lease</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Effective February 29, 2024, the Company entered into an operating lease for new corporate offices located at 550 Seventh Avenue, 11th floor, New York, New York. This lease commenced in April 2024 and expires in April 2031. The average annual lease cost over the term of this lease is approximately $0.5 million per year.</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Upon commencement of the lease during the Prior Year, the Company recognized a right-of-use asset and corresponding lease liability related to this lease of approximately $2.6 million; the discount rate used for the measurement of this right-of-use asset and lease liability was based on the Company’s incremental borrowing rate at the time of 9.60%.</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this lease had a remaining minimum lease term of approximately 6.33 years.</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Summary Lease Information</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total lease expense included in selling, general and administrative expenses on the Company's consolidated statements of operations was approximately $0.7 million and $0.9 million, respectively, and was comprised of the following:</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42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 w:type="dxa"/>
            <w:vAlign w:val="bottom"/>
          </w:tcPr>
          <w:p>
            <w:pPr>
              <w:spacing w:after="0"/>
              <w:rPr>
                <w:sz w:val="15"/>
                <w:szCs w:val="15"/>
                <w:color w:val="auto"/>
              </w:rPr>
            </w:pPr>
          </w:p>
        </w:tc>
        <w:tc>
          <w:tcPr>
            <w:tcW w:w="38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(721)</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r>
      <w:tr>
        <w:trPr>
          <w:trHeight w:val="210"/>
        </w:trPr>
        <w:tc>
          <w:tcPr>
            <w:tcW w:w="6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cost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0"/>
        </w:trPr>
        <w:tc>
          <w:tcPr>
            <w:tcW w:w="6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Cash paid in the Current Year and Prior Year for amounts included in the measurement of operating lease liabilities was approximately $1.9 million and $1.6 million, respectively. Cash received from subleasing in the Current Year and Prior Year was approximately $0.8 million and $0.5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4" w:name="page85"/>
    <w:bookmarkEnd w:id="8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of December 31, 2025, the maturities of lease liabilities were as follows:</w:t>
      </w: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Year</w:t>
            </w:r>
          </w:p>
        </w:tc>
        <w:tc>
          <w:tcPr>
            <w:tcW w:w="3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73"/>
        </w:trPr>
        <w:tc>
          <w:tcPr>
            <w:tcW w:w="7600" w:type="dxa"/>
            <w:vAlign w:val="bottom"/>
            <w:vMerge w:val="continue"/>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9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0"/>
        </w:trPr>
        <w:tc>
          <w:tcPr>
            <w:tcW w:w="7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2,060</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0" w:type="dxa"/>
            <w:vAlign w:val="bottom"/>
          </w:tcPr>
          <w:p>
            <w:pPr>
              <w:spacing w:after="0"/>
              <w:rPr>
                <w:sz w:val="1"/>
                <w:szCs w:val="1"/>
                <w:color w:val="auto"/>
              </w:rPr>
            </w:pPr>
          </w:p>
        </w:tc>
      </w:tr>
      <w:tr>
        <w:trPr>
          <w:trHeight w:val="21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c>
          <w:tcPr>
            <w:tcW w:w="0" w:type="dxa"/>
            <w:vAlign w:val="bottom"/>
          </w:tcPr>
          <w:p>
            <w:pPr>
              <w:spacing w:after="0"/>
              <w:rPr>
                <w:sz w:val="1"/>
                <w:szCs w:val="1"/>
                <w:color w:val="auto"/>
              </w:rPr>
            </w:pPr>
          </w:p>
        </w:tc>
      </w:tr>
      <w:tr>
        <w:trPr>
          <w:trHeight w:val="21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6,476</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Discount</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0" w:type="dxa"/>
            <w:vAlign w:val="bottom"/>
          </w:tcPr>
          <w:p>
            <w:pPr>
              <w:spacing w:after="0"/>
              <w:rPr>
                <w:sz w:val="1"/>
                <w:szCs w:val="1"/>
                <w:color w:val="auto"/>
              </w:rPr>
            </w:pPr>
          </w:p>
        </w:tc>
      </w:tr>
      <w:tr>
        <w:trPr>
          <w:trHeight w:val="20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1,687</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Non-current portion of lease liabilities</w:t>
            </w:r>
          </w:p>
        </w:tc>
        <w:tc>
          <w:tcPr>
            <w:tcW w:w="2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3,678</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Company has employment contracts with certain executives. The total future minimum compensation payments due under these contracts for the remainder of their current terms are $2.20 million, of which $2.01 million and $0.18 million will be paid during the years ending December 31, 2026 and 2027, respectively.</w:t>
      </w:r>
    </w:p>
    <w:p>
      <w:pPr>
        <w:spacing w:after="0" w:line="1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addition, the Company’s employment contracts with certain executives contain performance-based bonus provisions, which include bonuses based on the Company achieving revenues in excess of established targets and/or on operating results.</w:t>
      </w:r>
    </w:p>
    <w:p>
      <w:pPr>
        <w:spacing w:after="0" w:line="176"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Certain of the employment agreements contain severance and/or change in control provisions. Aggregate potential severance compensation amounted to approximately $2.71 million as of December 31,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Lori Goldstein Earn-Out</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the April 1, 2021 purchase of the Lori Goldstein trademarks, the Company had agreed to pay the seller additional cash consideration (the “Lori Goldstein Earn-Out”) of up to $12.5 million, based on royalties earned during the six calendar year period commencing in 2021. The Lori Goldstein Earn-Out was initially recorded as a liability of $6.6 million, based on the difference between the fair value of the acquired assets of the Lori Goldstein brand and the total consideration paid, in accordance with the guidance in ASC Subtopic 805-50. Through January 1, 2024, the Company paid $0.2 million to the seller, and as of January 1, 2024, the remaining balance of the contingent obligation was $6.4 million, of which approximately $1.03 million had been earned and was payable to the seller.</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During the year ended December 31, 2024, the Company paid approximately $0.3 million of the $1.0 million earned to the seller. However, as a result of the June 30, 2024 divestiture of the Lori Goldstein brand (as described in Note 3), the seller waived their rights with respect to the Lori Goldstein Earn-Out amounts that had been previously earned and had not yet been paid, and terminated their rights to any future payments under the Lori Goldstein Earn-Out. As a result, the Company de-recognized approximately $1.03 million of accrued Lori Goldstein Earn-Out payments and the remaining balance of approximately $5.05 million of contingent obligations recorded on the Company’s balance sheet. As of December 31, 2024, there were no liability amounts remaining on the Company’s consolidated balance sheet related to the Lori Goldstein Earn-Out.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5" w:name="page86"/>
    <w:bookmarkEnd w:id="8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Contingent Obligation – Isaac Mizrahi Transaction</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connection with the May 31, 2022 transaction related to the sale of a majority interest in the Isaac Mizrahi Brand, the Company agreed with WHP that, in the event that IM Topco receives less than $13.3 million in aggregate royalties for any four consecutive calendar quarters over a three-year period ending on May 31, 2025, WHP would be entitled to receive from Xcel up to $16 million, less all amounts of net cash flow distributed to WHP on an accumulated basis, as an adjustment to the purchase price previously paid by WHP. Such amount would be payable by the Company in either cash or equity interests in IM Topco held by the Company. In November 2023, this agreement was amended such that the purchase price adjustment provision was waived until the measurement period ending March 31, 2024.</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April 12, 2024, this agreement was further amended such that the purchase price adjustment provision within the membership purchase agreement was waived until the measurement period ending September 30, 2025. This amendment also provided that if (i) IM Topco royalties are less than $13.5 million for the twelve-month period ending March 31, 2025 or (ii) IM Topco royalties are less than $18.0 million for the year ending December 31, 2025 or (iii) Xcel fails to make certain payments to IM Topco under the terms of the license agreement between Xcel and IM Topco (see Note 11) on or before January 30, 2025, then Xcel shall transfer equity interests in IM Topco to WHP equal to 12.5% of the total outstanding equity interests of IM Topco, such that Xcel’s ownership interest in IM Topco would decrease from 30% to 17.5%, and WHP’s ownership interest in IM Topco would increase from 70% to 82.5%.</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During the Prior Year, management concluded that, based on current trends in and projections of IM Topco’s royalty revenues as well as the Company’s decision to not make the remaining royalty payments to IM Topco, it was virtually certain that the Company would be required to make such transfer of equity interests to WHP in 2025. As such, the Company estimated and recorded a contingent obligation of $4.21 million in the accompanying consolidated balance sheets, and recognized a corresponding non-cash charge in the consolidated statements of operations for the Prior Year.</w:t>
      </w:r>
    </w:p>
    <w:p>
      <w:pPr>
        <w:spacing w:after="0" w:line="183" w:lineRule="exact"/>
        <w:rPr>
          <w:sz w:val="20"/>
          <w:szCs w:val="20"/>
          <w:color w:val="auto"/>
        </w:rPr>
      </w:pPr>
    </w:p>
    <w:p>
      <w:pPr>
        <w:jc w:val="both"/>
        <w:ind w:left="60" w:right="59"/>
        <w:spacing w:after="0" w:line="281" w:lineRule="auto"/>
        <w:rPr>
          <w:sz w:val="20"/>
          <w:szCs w:val="20"/>
          <w:color w:val="auto"/>
        </w:rPr>
      </w:pPr>
      <w:r>
        <w:rPr>
          <w:rFonts w:ascii="Times New Roman" w:cs="Times New Roman" w:eastAsia="Times New Roman" w:hAnsi="Times New Roman"/>
          <w:sz w:val="17"/>
          <w:szCs w:val="17"/>
          <w:color w:val="auto"/>
        </w:rPr>
        <w:t>During the Current Year, the Company adjusted the carrying value of the contingent obligation to its estimated fair value of $3.97 million, and recognized a $(0.24) million credit in the consolidated statements of operations. On and effective April 15, 2025, such equity interests were transferred to WHP in full satisfaction and settlement of this contractual obligation, and the previously recorded liability was de-recognized by reducing the value of the asset for the investment in IM Topco.</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From time to time, the Company becomes involved in legal claims and litigation in the ordinary course of business. The Company routinely assesses all its litigation and threatened litigation as to the probability of ultimately incurring a liability and records its best estimate of the ultimate loss in situations where it assesses the likelihood of loss as probable.</w:t>
      </w:r>
    </w:p>
    <w:p>
      <w:pPr>
        <w:spacing w:after="0" w:line="176"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the opinion of management, based on consultations with legal counsel, the disposition of litigation pending against the Company as of December 31, 2025 is unlikely to have, individually or in the aggregate, a materially adverse effect on the Company’s business, financial position,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6" w:name="page87"/>
    <w:bookmarkEnd w:id="8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0" w:lineRule="exact"/>
        <w:rPr>
          <w:sz w:val="20"/>
          <w:szCs w:val="20"/>
          <w:color w:val="auto"/>
        </w:rPr>
      </w:pP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provision for income taxes in the consolidated statements of operations consists of the following:</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200" w:type="dxa"/>
            <w:vAlign w:val="bottom"/>
          </w:tcPr>
          <w:p>
            <w:pPr>
              <w:spacing w:after="0"/>
              <w:rPr>
                <w:sz w:val="20"/>
                <w:szCs w:val="20"/>
                <w:color w:val="auto"/>
              </w:rPr>
            </w:pPr>
          </w:p>
        </w:tc>
        <w:tc>
          <w:tcPr>
            <w:tcW w:w="212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rPr>
              <w:t>Years Ended December 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580" w:type="dxa"/>
            <w:vAlign w:val="bottom"/>
            <w:vMerge w:val="continue"/>
          </w:tcPr>
          <w:p>
            <w:pPr>
              <w:spacing w:after="0"/>
              <w:rPr>
                <w:sz w:val="18"/>
                <w:szCs w:val="18"/>
                <w:color w:val="auto"/>
              </w:rPr>
            </w:pP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4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State and local</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current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Deferred:</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Federal</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State and local</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58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provision</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75</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220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The reconciliation of the federal statutory income tax rate to the Company’s effective tax rate reflected in the income tax provision shown in the consolidated statements of operations is as follows:</w:t>
      </w:r>
    </w:p>
    <w:p>
      <w:pPr>
        <w:spacing w:after="0" w:line="171" w:lineRule="exact"/>
        <w:rPr>
          <w:sz w:val="20"/>
          <w:szCs w:val="20"/>
          <w:color w:val="auto"/>
        </w:rPr>
      </w:pPr>
    </w:p>
    <w:p>
      <w:pPr>
        <w:ind w:left="6360"/>
        <w:spacing w:after="0"/>
        <w:rPr>
          <w:sz w:val="20"/>
          <w:szCs w:val="20"/>
          <w:color w:val="auto"/>
        </w:rPr>
      </w:pPr>
      <w:r>
        <w:rPr>
          <w:rFonts w:ascii="Times New Roman" w:cs="Times New Roman" w:eastAsia="Times New Roman" w:hAnsi="Times New Roman"/>
          <w:sz w:val="18"/>
          <w:szCs w:val="18"/>
          <w:b w:val="1"/>
          <w:bCs w:val="1"/>
          <w:color w:val="auto"/>
        </w:rPr>
        <w:t>Years Ended December 31,</w:t>
      </w:r>
    </w:p>
    <w:p>
      <w:pPr>
        <w:spacing w:after="0" w:line="51" w:lineRule="exact"/>
        <w:rPr>
          <w:sz w:val="20"/>
          <w:szCs w:val="20"/>
          <w:color w:val="auto"/>
        </w:rPr>
      </w:pPr>
    </w:p>
    <w:tbl>
      <w:tblPr>
        <w:tblLayout w:type="fixed"/>
        <w:tblInd w:w="40" w:type="dxa"/>
        <w:tblCellMar>
          <w:top w:w="0" w:type="dxa"/>
          <w:left w:w="0" w:type="dxa"/>
          <w:bottom w:w="0" w:type="dxa"/>
          <w:right w:w="0" w:type="dxa"/>
        </w:tblCellMar>
      </w:tblPr>
      <w:tr>
        <w:trPr>
          <w:trHeight w:val="20"/>
        </w:trPr>
        <w:tc>
          <w:tcPr>
            <w:tcW w:w="592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r>
      <w:tr>
        <w:trPr>
          <w:trHeight w:val="190"/>
        </w:trPr>
        <w:tc>
          <w:tcPr>
            <w:tcW w:w="5920" w:type="dxa"/>
            <w:vAlign w:val="bottom"/>
          </w:tcPr>
          <w:p>
            <w:pPr>
              <w:ind w:left="576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6"/>
                <w:szCs w:val="16"/>
                <w:color w:val="auto"/>
              </w:rPr>
            </w:pPr>
          </w:p>
        </w:tc>
        <w:tc>
          <w:tcPr>
            <w:tcW w:w="920" w:type="dxa"/>
            <w:vAlign w:val="bottom"/>
            <w:gridSpan w:val="3"/>
          </w:tcPr>
          <w:p>
            <w:pPr>
              <w:jc w:val="right"/>
              <w:ind w:right="20"/>
              <w:spacing w:after="0" w:line="189" w:lineRule="exact"/>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6"/>
                <w:szCs w:val="16"/>
                <w:color w:val="auto"/>
              </w:rPr>
            </w:pPr>
          </w:p>
        </w:tc>
      </w:tr>
      <w:tr>
        <w:trPr>
          <w:trHeight w:val="209"/>
        </w:trPr>
        <w:tc>
          <w:tcPr>
            <w:tcW w:w="5920" w:type="dxa"/>
            <w:vAlign w:val="bottom"/>
          </w:tcPr>
          <w:p>
            <w:pPr>
              <w:spacing w:after="0"/>
              <w:rPr>
                <w:sz w:val="18"/>
                <w:szCs w:val="18"/>
                <w:color w:val="auto"/>
              </w:rPr>
            </w:pPr>
          </w:p>
        </w:tc>
        <w:tc>
          <w:tcPr>
            <w:tcW w:w="1100" w:type="dxa"/>
            <w:vAlign w:val="bottom"/>
            <w:tcBorders>
              <w:top w:val="single" w:sz="8" w:color="auto"/>
            </w:tcBorders>
            <w:gridSpan w:val="4"/>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Percent</w:t>
            </w:r>
          </w:p>
        </w:tc>
        <w:tc>
          <w:tcPr>
            <w:tcW w:w="160" w:type="dxa"/>
            <w:vAlign w:val="bottom"/>
          </w:tcPr>
          <w:p>
            <w:pPr>
              <w:spacing w:after="0"/>
              <w:rPr>
                <w:sz w:val="18"/>
                <w:szCs w:val="18"/>
                <w:color w:val="auto"/>
              </w:rPr>
            </w:pPr>
          </w:p>
        </w:tc>
        <w:tc>
          <w:tcPr>
            <w:tcW w:w="940" w:type="dxa"/>
            <w:vAlign w:val="bottom"/>
            <w:tcBorders>
              <w:top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Percent</w:t>
            </w:r>
          </w:p>
        </w:tc>
      </w:tr>
      <w:tr>
        <w:trPr>
          <w:trHeight w:val="210"/>
        </w:trPr>
        <w:tc>
          <w:tcPr>
            <w:tcW w:w="59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r>
      <w:tr>
        <w:trPr>
          <w:trHeight w:val="216"/>
        </w:trPr>
        <w:tc>
          <w:tcPr>
            <w:tcW w:w="59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U.S. Federal Statutory Tax Rate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(3,651)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21.00 %</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21.00 %</w:t>
            </w:r>
          </w:p>
        </w:tc>
      </w:tr>
      <w:tr>
        <w:trPr>
          <w:trHeight w:val="216"/>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State and Local Income Taxes, Net of Federal Income Tax Effect</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(1,302)</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40" w:type="dxa"/>
            <w:vAlign w:val="bottom"/>
          </w:tcPr>
          <w:p>
            <w:pPr>
              <w:spacing w:after="0"/>
              <w:rPr>
                <w:sz w:val="18"/>
                <w:szCs w:val="18"/>
                <w:color w:val="auto"/>
              </w:rPr>
            </w:pPr>
          </w:p>
        </w:tc>
      </w:tr>
      <w:tr>
        <w:trPr>
          <w:trHeight w:val="216"/>
        </w:trPr>
        <w:tc>
          <w:tcPr>
            <w:tcW w:w="59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Changes in Valuation Allowances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98"/>
              </w:rPr>
              <w:t>(29.04)</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(28.60)</w:t>
            </w:r>
          </w:p>
        </w:tc>
      </w:tr>
      <w:tr>
        <w:trPr>
          <w:trHeight w:val="216"/>
        </w:trPr>
        <w:tc>
          <w:tcPr>
            <w:tcW w:w="59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Nontaxable or Nondeductible Items</w:t>
            </w: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920" w:type="dxa"/>
            <w:vAlign w:val="bottom"/>
            <w:tcBorders>
              <w:right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 compensation</w:t>
            </w:r>
          </w:p>
        </w:tc>
        <w:tc>
          <w:tcPr>
            <w:tcW w:w="18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(0.02)</w:t>
            </w:r>
          </w:p>
        </w:tc>
      </w:tr>
      <w:tr>
        <w:trPr>
          <w:trHeight w:val="216"/>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Life insurance</w:t>
            </w:r>
          </w:p>
        </w:tc>
        <w:tc>
          <w:tcPr>
            <w:tcW w:w="1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(0.06)</w:t>
            </w:r>
          </w:p>
        </w:tc>
        <w:tc>
          <w:tcPr>
            <w:tcW w:w="16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(0.10)</w:t>
            </w:r>
          </w:p>
        </w:tc>
      </w:tr>
      <w:tr>
        <w:trPr>
          <w:trHeight w:val="216"/>
        </w:trPr>
        <w:tc>
          <w:tcPr>
            <w:tcW w:w="5920" w:type="dxa"/>
            <w:vAlign w:val="bottom"/>
            <w:tcBorders>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Other Adjustments</w:t>
            </w: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r>
      <w:tr>
        <w:trPr>
          <w:trHeight w:val="216"/>
        </w:trPr>
        <w:tc>
          <w:tcPr>
            <w:tcW w:w="5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 true-ups</w:t>
            </w:r>
          </w:p>
        </w:tc>
        <w:tc>
          <w:tcPr>
            <w:tcW w:w="18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(0.61)</w:t>
            </w:r>
          </w:p>
        </w:tc>
      </w:tr>
      <w:tr>
        <w:trPr>
          <w:trHeight w:val="210"/>
        </w:trPr>
        <w:tc>
          <w:tcPr>
            <w:tcW w:w="5920" w:type="dxa"/>
            <w:vAlign w:val="bottom"/>
            <w:tcBorders>
              <w:top w:val="single" w:sz="8" w:color="CCEEFF"/>
              <w:bottom w:val="single" w:sz="8" w:color="CCEEFF"/>
              <w:right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Effective Tax Rate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240" w:type="dxa"/>
            <w:vAlign w:val="bottom"/>
            <w:tcBorders>
              <w:top w:val="single" w:sz="8" w:color="CCEEFF"/>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79"/>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(0.99)</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r>
      <w:tr>
        <w:trPr>
          <w:trHeight w:val="20"/>
        </w:trPr>
        <w:tc>
          <w:tcPr>
            <w:tcW w:w="5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the table presented above, taxes related to the state and city of New York made up the majority (greater than 50%) of the tax effect in the “State and local rate, net of federal tax benefit” category.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7" w:name="page88"/>
    <w:bookmarkEnd w:id="8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significant components of net deferred tax assets (liabilities) of the Company consist of the following:</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 in thousands)</w:t>
            </w:r>
          </w:p>
        </w:tc>
        <w:tc>
          <w:tcPr>
            <w:tcW w:w="20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6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6620" w:type="dxa"/>
            <w:vAlign w:val="bottom"/>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gridSpan w:val="2"/>
          </w:tcPr>
          <w:p>
            <w:pPr>
              <w:jc w:val="right"/>
              <w:ind w:right="34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Pr>
          <w:p>
            <w:pPr>
              <w:jc w:val="right"/>
              <w:ind w:right="231"/>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2024</w:t>
            </w:r>
          </w:p>
        </w:tc>
        <w:tc>
          <w:tcPr>
            <w:tcW w:w="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66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assets</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state and local net operating loss carryforwards</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17,115</w:t>
            </w:r>
          </w:p>
        </w:tc>
        <w:tc>
          <w:tcPr>
            <w:tcW w:w="5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compensation and other accrued expenses</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Charitable contribution carryover</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19,605</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Valuation allowance</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(17,930)</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(12,881)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assets, net of valuation allowance</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Deferred tax liabilities</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Basis difference arising from intangible assets of acquisition</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tax liabilities</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deferred tax assets</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assessing the realizability of deferred tax assets, including the net operating loss carryforwards (NOLs), the Company assesses the available positive and negative evidence to estimate if sufficient future taxable income will be generated to utilize its existing deferred tax assets. Based on its assessment, the Company has provided a full valuation allowance against its net deferred tax assets as their future utilization remains uncertain at this time.</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of December 31, 2025 and 2024, the Company had approximately $59.1 million and $44.4 million, respectively, of federal net operating loss carryforwards ("NOLs") available to offset future taxable income. The federal NOL as of December 31, 2017 of $0.3 million has an expiration period through 2037. The federal NOLs generated during tax years beginning after December 31, 2017 of $58.8 million have an indefinite life and do not expire. The Company has approximately $72.7 million and $54.1 million of state NOLs as of December 31, 2025 and December 31, 2024, respectively. The state NOLs expire at various times between 2035 and 2045.</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As of December 31, 2025 and 2024, management does not believe the Company has any material uncertain tax positions that would require it to measure and reflect the potential lack of sustainability of a position on audit in its consolidated financial statements. The Company will continue to evaluate its uncertain tax positions in future periods to determine if measurement and recognition in its consolidated financial statements is necessary. The Company does not believe there will be any material changes in its unrecognized tax positions over the next year.</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 Topco, LLC</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As described in Note 3, the Company held a noncontrolling interest in IM Topco through October 1, 2025.</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Services Agreement</w:t>
      </w:r>
    </w:p>
    <w:p>
      <w:pPr>
        <w:spacing w:after="0" w:line="227"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Company was party to a services agreement with IM Topco that had been originally effective May 31 2022 and subsequently amended from time to time, pursuant to which the Company agreed to provide certain design and support services (including assistance with the operations of the interactive television business and related talent support) to IM</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88" w:name="page89"/>
    <w:bookmarkEnd w:id="8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Topco in exchange for a service fee. In April 2024, the services agreement was amended to set the service fees at $150,000 per year.</w:t>
      </w:r>
    </w:p>
    <w:p>
      <w:pPr>
        <w:spacing w:after="0" w:line="16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accordance with the terms of this services agreement, the Company recognized service fee income of $112,500 and $150,000 for the years ended December 31, 2025 and 2024,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Company was previously party to a license agreement with IM Topco, pursuant to which IM Topco granted the Company a license to use certain Isaac Mizrahi trademarks related to women’s sportswear products in exchange for the payment of royalties to IM Topco. This license agreement was later terminated in favor of a new similar license agreement between IM Topco and an unrelated third party; however, as part of such termination, Xcel had provided a guarantee to IM Topco for the payment of any difference between (i) the royalties received by IM Topco under the new agreement and (ii) the amount of royalties that IM Topco would have received under the original license agreement with Xcel. For both the Current Year and Prior Year, royalties received by IM Topco from the third-party agreement were expected to exceed the guaranteed royalties that IM Topco would have received under the original license agreement with Xcel, and thus no royalty expense for any shortfall was recognized for either such period.</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Additionally, pursuant to the terms of a 2023 amendment to the May 2022 membership purchase agreement, Xcel had agreed to make additional royalty payments to IM Topco totaling $450,000, of which $75,000 was paid during the year ended December 31, 2023, and $237,500 was paid during the year ended December 31, 2024. No payments of these additional royalties were made during the year ended December 31, 2025.</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Effective September 26, 2025, pursuant to the terms of a settlement agreement entered into with IM Topco and WHP (see Note 3 for additional details), the Company was released from any current or future liability related to the aforementioned guarantee to IM Topco and the aforementioned additional royalty payments.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Offerings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August 2025 Public Offering and Private Placement Transactions </w:t>
      </w:r>
      <w:r>
        <w:rPr>
          <w:rFonts w:ascii="Times New Roman" w:cs="Times New Roman" w:eastAsia="Times New Roman" w:hAnsi="Times New Roman"/>
          <w:sz w:val="18"/>
          <w:szCs w:val="18"/>
          <w:color w:val="auto"/>
        </w:rPr>
        <w:t>– In connection with the public offering which closed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4, 2025 (see Note 7 for additional details), Robert W. D’Loren, Chairman and Chief Executive Officer of the Company, and Mark DiSanto, a director of the Company, purchased 124,200 and 91,800 shares of common stock, respectively, at $1.10 per share, the same price at which the shares were sold to other purchasers in the public offering. Also, in connection with this public offering, on August 1, 2025, the Company entered into subscription agreements with each of Mr. D’Loren and Mr. DiSanto to purchase 82,159 and 60,883 shares of common stock, respectively, at a price of $1.38 per share; the purchase of such shares closed concurrently with the public offering.</w:t>
      </w:r>
    </w:p>
    <w:p>
      <w:pPr>
        <w:spacing w:after="0" w:line="183"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December 2025 Private Investment in Public Equity Transaction </w:t>
      </w:r>
      <w:r>
        <w:rPr>
          <w:rFonts w:ascii="Times New Roman" w:cs="Times New Roman" w:eastAsia="Times New Roman" w:hAnsi="Times New Roman"/>
          <w:sz w:val="18"/>
          <w:szCs w:val="18"/>
          <w:color w:val="auto"/>
        </w:rPr>
        <w:t>– In connection with the private placement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closed on December 18, 2025 (see Note 7 for additional details), Mr. D’Loren purchased 81,466 shares of common stock and 40,733 warrants for a total purchase price of $100,000.</w:t>
      </w:r>
    </w:p>
    <w:p>
      <w:pPr>
        <w:spacing w:after="0" w:line="17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March 2024 Public Offering and Private Placement Transactions </w:t>
      </w:r>
      <w:r>
        <w:rPr>
          <w:rFonts w:ascii="Times New Roman" w:cs="Times New Roman" w:eastAsia="Times New Roman" w:hAnsi="Times New Roman"/>
          <w:sz w:val="18"/>
          <w:szCs w:val="18"/>
          <w:color w:val="auto"/>
        </w:rPr>
        <w:t>– In connection with the public offering which closed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19, 2024 (see Note 7 for additional details), Mr. D’Loren, Mr. DiSanto, and Seth Burroughs, Executive Vice President of Business Development and Treasury of the Company, purchased 14,625, 14,625, and 3,250 shares of common stock, respectively, at $6.50 per share, the same price at which the shares were sold to other purchasers in the public offering. Also, in connection with this public offering, on March 14, 2024, the Company entered into subscription</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9" w:name="page90"/>
    <w:bookmarkEnd w:id="8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agreements with each of Messrs. D’Loren, DiSanto, and Burroughs to purchase 13,258, 13,258, and 2,946 shares, respectively, at a price of $9.80 per share, the purchase of which closed concurrently with the public offering.</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Refinancing</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December 2024 refinancing of the Company’s term loan debt (see Note 6 for additional details), IPX Capital, LLC (“IPX”), a company controlled by Mr. D’Loren, made a $250,000 advance to one of the Company’s subsidiaries, of which $200,000 was repaid to IPX upon the closing of the debt refinancing transaction. Additionally, IPX purchased a 12.5% undivided, last-out, subordinated participation interest in a portion of the new term loan debt for a purchase price of $500,000, and received a pro rata share of warrants received by the Term B Lenders to purchase shares of the Company’s common stock.</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connection with the April 2025 refinancing of the Company’s term loan debt (see Note 6 for additional details), IPX’s participation in Term Loan B was repaid and IPX purchased a $500,000 undivided, last-out, subordinated participation interest in Term Loan A.</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Guarantee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Since October 2024, in connection with a required increase to a standby letter of credit associated with the Company’s real estate lease for offices located at 1333 Broadway (see Note 9), Mr. D’Loren has provided a personal guarantee to the financial institution providing such letter of credit, in order to satisfy a portion of the associated collateral requirements for the letter of credit.</w:t>
      </w:r>
    </w:p>
    <w:p>
      <w:pPr>
        <w:spacing w:after="0" w:line="176" w:lineRule="exact"/>
        <w:rPr>
          <w:sz w:val="20"/>
          <w:szCs w:val="20"/>
          <w:color w:val="auto"/>
        </w:rPr>
      </w:pPr>
    </w:p>
    <w:p>
      <w:pPr>
        <w:ind w:left="60"/>
        <w:spacing w:after="0"/>
        <w:tabs>
          <w:tab w:leader="none" w:pos="420" w:val="left"/>
        </w:tabs>
        <w:rPr>
          <w:sz w:val="20"/>
          <w:szCs w:val="20"/>
          <w:color w:val="auto"/>
        </w:rPr>
      </w:pPr>
      <w:r>
        <w:rPr>
          <w:rFonts w:ascii="Times New Roman" w:cs="Times New Roman" w:eastAsia="Times New Roman" w:hAnsi="Times New Roman"/>
          <w:sz w:val="18"/>
          <w:szCs w:val="18"/>
          <w:b w:val="1"/>
          <w:bCs w:val="1"/>
          <w:color w:val="auto"/>
        </w:rPr>
        <w:t>12.</w:t>
        <w:tab/>
        <w:t>Subsequent Events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Shares Issued to Chief Executive Officer</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In accordance with the terms of the amended employment agreement with Mr. D’Loren (see Note 7 for details), the Company issued the following shares of common stock to Mr. D’Loren: 13,058 shares of common stock on January 2, 2026, 9,771 shares of common stock on February 2, 2026, and 9,906 shares of common stock on February 27, 2026.</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Executive Stock Option Cancellation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Effective January 21, 2026, certain stock options originally issued in 2019 to Messrs D’Loren, Haran, and Burroughs to purchase an aggregate of 350,000 shares of common stock, were cancelled through mutual agreement between the Company and the respective executives. None of these options had vested, and no compensation was paid to the executives in exchange for such cancellation.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January 2026 Equity Line Facility</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On January 21, 2026, the Company entered into a common stock purchase agreement with White Lion Capital, LLC (“White Lion”), pursuant to which White Lion has committed to purchase up to $15.0 million of the Company’s common stock. Under the terms and conditions of this agreement, the Company has the right, but not the obligation, to sell to White Lion, and White Lion is obligated to purchase, up to $15.0 million of the Company’s common stock. The actual amount and timing of any sales of Common Stock will be determined by the Company at its discretion.</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aggregate number of shares that the Company can sell White Lion under this agreement is limited to and may not exceed 1,178,173 shares (subject to adjustment for any reorganization, recapitalization, non-cash dividend, stock split, reverse stock split, or other similar transaction), which is equal to 19.99% of the total shares of the Company’s common stock outstanding immediately prior to the execution of the agreement, unless (i) the Company obtains stockholder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0" w:name="page91"/>
    <w:bookmarkEnd w:id="9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approval to issue additional shares in excess of this amount, or (ii) the average price paid for all shares of Common Stock issued under the agreement equals or exceeds certain levels as specified in the agreement.</w:t>
      </w:r>
    </w:p>
    <w:p>
      <w:pPr>
        <w:spacing w:after="0" w:line="162"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consideration for White Lion’s execution and entry into such arrangement, the Company agreed to issue White Lion $37,500 worth of common stock, with the number of shares issued determined based on the closing price of the Company’s stock on the business day immediately preceding the day on which the related registration statement is declared effective by the SEC. Additionally, pursuant to the terms of an advisory agreement between the Company and Maxim Group LLC, the Company agreed to pay Maxim Group LLC a cash fee equal to 4.0% of the gross proceeds received from any sales of securities to White Lion under this arrangement.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Amendments and Refinancing</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February 20, 2026 and March 20, 2026, the Company entered into the fifth and sixth amendments to the loan and security agreement with the term loan debt lenders and FEAC Agent, LLC. Pursuant to such amendments, (i) the Company prepaid $500,000 on Term Loan A (paid from the Blocked Account, as defined in the loan and security agreement) in connection with the fifth amendment and irrevocably authorized FAEC Agent, LLC, as the administrative agent to transfer up to $500,000 (the “Sixth Amendment Cash Collateral”) from the Blocked Account to an account maintained by the Administrative Agent to be held as cash collateral securing the Obligations (as defined in the loan and security agreement);</w:t>
      </w:r>
    </w:p>
    <w:p>
      <w:pPr>
        <w:spacing w:after="0" w:line="5" w:lineRule="exact"/>
        <w:rPr>
          <w:sz w:val="20"/>
          <w:szCs w:val="20"/>
          <w:color w:val="auto"/>
        </w:rPr>
      </w:pPr>
    </w:p>
    <w:p>
      <w:pPr>
        <w:jc w:val="both"/>
        <w:ind w:left="60" w:right="59" w:hanging="10"/>
        <w:spacing w:after="0" w:line="252" w:lineRule="auto"/>
        <w:tabs>
          <w:tab w:leader="none" w:pos="3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irrevocably authorized the administrative agent to: (a) apply all or any portion of the Sixth Amendment Cash Collateral to repay the Term Loan A, or (b) return all or any portion of the Sixth Amendment Cash Collateral to the Company, in each case at the lenders’ sole discretion; (iii) the liquid asset covenant requirement was reduced to: (a) at all times prior to the repayment in full of the First Out Obligations (as defined in the loan and security agreement), $500,000 minus that amount of Sixth Amendment Cash Collateral used to repay Term Loan A, and (b) at all times after the repayment in full of the First Out Obligations, $0; and (iv) the transaction closing date was extended to March 24, 2026.</w:t>
      </w:r>
    </w:p>
    <w:p>
      <w:pPr>
        <w:spacing w:after="0" w:line="19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April 13, 2026, the Company entered into the seventh amendment to the loan and security agreement with the term loan debt lenders and FEAC Agent, LLC, which provided for, among other things: the ability of the Company to consummate the issuance of certain senior secured notes (as described below); the ability for IPX to convert its $500,000 Term Loan A to common shares of the Company at the price per share equal to $1.435, subject to adjustment; modifications to certain payment terms; modifications to certain financial covenants; modifications to certain financial reporting requirements; and the amendment of the FEAC Agent, LLC’s role to include certain limitations. In connection with the seventh amendment, FEAC Agent LLC’s affiliated lenders entered into agreements whereby a $500,000 portion of Term Loan A was sold and assigned to IPX, and the entirety of Term Loan B was sold and assigned to UTG. Additionally, the Company was relieved of its obligation to pay the remaining $325,000 amendment fee as specified in the fourth amendment.</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Also on April 13, 2026, the Company entered into certain agreements with Smithline Family Trust II (“SFT”), Quick Capital, LLC (“Quick”), and IPX (collectively, the “Purchasers”), pursuant to which the Company issued and sold to the Purchasers 12.5% Senior Secured Notes due April 13, 2027 in the original principal amount of $3,005,780 (the “Secured Notes”) and 100,579 shares of the Company’s common stock. The Secured Notes were issued with an original issue discount, such that the cash proceeds received by the Company were $2,600,000. The Company is required to make $100,000 monthly payments on the Secured Notes commencing October 13, 2026, with the balance due at maturity. The Company’s obligations under the Secured Notes are guaranteed by certain direct and indirect subsidiaries of the Company pursuant to a subsidiary guarantee, and are secured by the assets of the Company and the subsidiary guarantors pursuant to a security agreement.</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At any time after the occurrence of an event of default under the Secured Notes and for so long as such event of default is continuing, the Secured Notes are convertible into shares of common stock of the Company (i) initially at a fixed conversion price equal to $1.165 per share and (ii) after May 17, 2026, at a price equal to the lesser of (a) 85% multiplied by the lowest volume weighted average price of the common stock during the 10-trading day period prior to conversion and (b) $1.165. In addition, to the extent that Company is listed on the Nasdaq Capital Market, the aggregate number of</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1" w:name="page92"/>
    <w:bookmarkEnd w:id="9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XCEL BRANDS,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2025 and 2024</w:t>
      </w:r>
    </w:p>
    <w:p>
      <w:pPr>
        <w:spacing w:after="0" w:line="20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shares of common stock issuable to the Purchasers and any subsequent holder of the Secured Note shall not exceed 19.9% of the total number of shares of common stock outstanding or of the voting power of the common stock as of April 13, 2026 less the shares issued pursuant to the securities purchase agreement unless the Company has obtained stockholder approval in compliance with Nasdaq Listing Rule 5635(d) to authorize the issuance of shares of common stock in connection with the conversion or exchange of all Secured Notes.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Company granted the Purchasers certain piggyback registration rights with respect to the shares of common stock issuable upon conversion of the Secured Notes.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Fees incurred in connection with the transactions described above were approximately $0.1 million.</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part of the transactions described above, IPX purchased $57,803 original principal amount of the Secured Notes and purchased 1,742 shares of common stock, on the same terms as the other Purchasers, except that the shares of common stock purchased by IPX were priced at current market value.</w:t>
      </w:r>
    </w:p>
    <w:p>
      <w:pPr>
        <w:spacing w:after="0" w:line="1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net proceeds received from the April 13, 2026 issuance of the Secured Notes and shares as described above were used to repay $2.25 million of the Term Loan A debt, and an additional $1 million of the Term Loan A debt was paid with the Company’s restricted cash. As such, following the funding and completion of the transactions described above, the Company’s debt obligations will be as follows: (1) Senior Secured Notes in the principal amount of $2.6 million, with payments commencing October 13, 2026 and a maturity date of April 13, 2027, (2) Term Loan A in the principal amount of $0.5 million, payable on the maturity date of September 20, 2027, and (3) Term Loan B in the amount of $9.9 million, payable on the maturity date of December 12, 2028.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2" w:name="page93"/>
    <w:bookmarkEnd w:id="9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Changes in and Disagreements with Accountants on Accounting and Financial Disclosure</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were no disagreements with our auditors which would require disclosure under Item 304(b) of Regulation S-K.</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maintains disclosure controls and procedures that are designed to ensure that information required to be disclosed in its Exchange Act reports is recorded, processed, summarized, and reported within the time periods specified in the SEC’s rules and forms, and that such information is accumulated and communicated to the Company’s management, including the Company’s Chief Executive Officer and Principal Financial Officer, as appropriate, to allow timely decisions regarding required disclosure. Such controls and procedures, by their nature, can provide only reasonable assurance regarding management’s control objectives.</w:t>
      </w:r>
    </w:p>
    <w:p>
      <w:pPr>
        <w:spacing w:after="0" w:line="18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Our Chief Executive Officer and Chief Financial Officer evaluated the effectiveness of our disclosure controls and procedures as defined in Rule 13a 15(f) and 15d 15(f) of the Securities Exchange Act of 1934, as amended (the “Exchange Act”), as of December 31, 2025. Based on that evaluation, our Chief Executive Officer and Chief Financial Officer concluded that our disclosure controls and procedures were effective as of December 31, 2025, to ensure that all information required to be disclosed in the reports that we file or submit under the Exchange Act is recorded, processed, summarized, and reported within the time specified in SEC rules and forms and is accumulated and communicated to our management, including our principal executive and principal accounting officers to allow timely decisions regarding required disclosure.</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Internal control over financial reporting is a process designed by, or under the supervision of, the chief executive officer and principal financial officer and effected by our board of directors, management, and other personnel, to provide reasonable assurance regarding the reliability of financial reporting and the preparation of financial statements for external purposes in accordance with generally accepted accounting principles.</w:t>
      </w:r>
    </w:p>
    <w:p>
      <w:pPr>
        <w:spacing w:after="0" w:line="183"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we conducted an evaluation of the design and effectiveness of our internal control over financial reporting based on the criteria set forth in Internal Control-Integrated Framework (2013) issued by the Committee of Sponsoring Organizations of the Treadway Commission (“COSO”). Based on our evaluation under the framework described above, our management has concluded that our internal control over financial reporting was effective as of December 31, 2025.</w:t>
      </w:r>
    </w:p>
    <w:p>
      <w:pPr>
        <w:spacing w:after="0" w:line="18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This annual report does not include an attestation report of the Company’s independent registered public accounting firm regarding internal control over financial reporting. We were not required to have, nor have we, engaged the Company’s independent registered public accounting firm to perform an audit of internal control over financial reporting pursuant to the rules of the Securities and Exchange Commission that permit us to provide only management’s report in this annual report.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There was no change in the Company’s internal control over financial reporting (as defined in Exchange Act Rules 13a-15(f) and 15d-15(f)) during our most recent completed fiscal quarter that has materially affected, or is reasonably likely to materially affect, the Company’s internal control over financial reporting.</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3" w:name="page94"/>
    <w:bookmarkEnd w:id="9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names, ages, and positions of our executive officers and directors as of the date hereof. Executive officers are appointed by our board of directors. Each executive officer holds office until resignation, is removed by the Board, or a successor is elected and qualified. Each director holds office until a successor is elected and qualified or earlier resignation or removal.</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600" w:type="dxa"/>
            <w:vAlign w:val="bottom"/>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​​​AGE ​​​</w:t>
            </w:r>
          </w:p>
        </w:tc>
        <w:tc>
          <w:tcPr>
            <w:tcW w:w="384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09"/>
        </w:trPr>
        <w:tc>
          <w:tcPr>
            <w:tcW w:w="2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Robert W. D’Loren</w:t>
            </w: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60" w:type="dxa"/>
            <w:vAlign w:val="bottom"/>
            <w:tcBorders>
              <w:top w:val="single" w:sz="8" w:color="CCEEFF"/>
            </w:tcBorders>
            <w:shd w:val="clear" w:color="auto" w:fill="CCEEFF"/>
          </w:tcPr>
          <w:p>
            <w:pPr>
              <w:spacing w:after="0"/>
              <w:rPr>
                <w:sz w:val="18"/>
                <w:szCs w:val="18"/>
                <w:color w:val="auto"/>
              </w:rPr>
            </w:pPr>
          </w:p>
        </w:tc>
        <w:tc>
          <w:tcPr>
            <w:tcW w:w="58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Chairman of the Board of Directors and Chief Executive Officer and President</w:t>
            </w:r>
          </w:p>
        </w:tc>
      </w:tr>
      <w:tr>
        <w:trPr>
          <w:trHeight w:val="198"/>
        </w:trPr>
        <w:tc>
          <w:tcPr>
            <w:tcW w:w="246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James F. Haran</w:t>
            </w:r>
          </w:p>
        </w:tc>
        <w:tc>
          <w:tcPr>
            <w:tcW w:w="46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65</w:t>
            </w:r>
          </w:p>
        </w:tc>
        <w:tc>
          <w:tcPr>
            <w:tcW w:w="160" w:type="dxa"/>
            <w:vAlign w:val="bottom"/>
          </w:tcPr>
          <w:p>
            <w:pPr>
              <w:spacing w:after="0"/>
              <w:rPr>
                <w:sz w:val="17"/>
                <w:szCs w:val="17"/>
                <w:color w:val="auto"/>
              </w:rPr>
            </w:pPr>
          </w:p>
        </w:tc>
        <w:tc>
          <w:tcPr>
            <w:tcW w:w="58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Chief Financial Officer and Assistant Secretary, and Principal Financial and</w:t>
            </w:r>
          </w:p>
        </w:tc>
      </w:tr>
      <w:tr>
        <w:trPr>
          <w:trHeight w:val="234"/>
        </w:trPr>
        <w:tc>
          <w:tcPr>
            <w:tcW w:w="2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Accounting Officer</w:t>
            </w:r>
          </w:p>
        </w:tc>
        <w:tc>
          <w:tcPr>
            <w:tcW w:w="3840" w:type="dxa"/>
            <w:vAlign w:val="bottom"/>
          </w:tcPr>
          <w:p>
            <w:pPr>
              <w:spacing w:after="0"/>
              <w:rPr>
                <w:sz w:val="20"/>
                <w:szCs w:val="20"/>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Seth Burroughs</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60" w:type="dxa"/>
            <w:vAlign w:val="bottom"/>
            <w:shd w:val="clear" w:color="auto" w:fill="CCEEFF"/>
          </w:tcPr>
          <w:p>
            <w:pPr>
              <w:spacing w:after="0"/>
              <w:rPr>
                <w:sz w:val="18"/>
                <w:szCs w:val="18"/>
                <w:color w:val="auto"/>
              </w:rPr>
            </w:pPr>
          </w:p>
        </w:tc>
        <w:tc>
          <w:tcPr>
            <w:tcW w:w="5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Executive Vice President of Business Development and Treasury and Secretary</w:t>
            </w: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DiSanto</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840" w:type="dxa"/>
            <w:vAlign w:val="bottom"/>
          </w:tcPr>
          <w:p>
            <w:pPr>
              <w:spacing w:after="0"/>
              <w:rPr>
                <w:sz w:val="18"/>
                <w:szCs w:val="18"/>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Fielding</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840" w:type="dxa"/>
            <w:vAlign w:val="bottom"/>
            <w:shd w:val="clear" w:color="auto" w:fill="CCEEFF"/>
          </w:tcPr>
          <w:p>
            <w:pPr>
              <w:spacing w:after="0"/>
              <w:rPr>
                <w:sz w:val="18"/>
                <w:szCs w:val="18"/>
                <w:color w:val="auto"/>
              </w:rPr>
            </w:pPr>
          </w:p>
        </w:tc>
      </w:tr>
      <w:tr>
        <w:trPr>
          <w:trHeight w:val="216"/>
        </w:trPr>
        <w:tc>
          <w:tcPr>
            <w:tcW w:w="2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Howard Liebman</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6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c>
          <w:tcPr>
            <w:tcW w:w="3840" w:type="dxa"/>
            <w:vAlign w:val="bottom"/>
          </w:tcPr>
          <w:p>
            <w:pPr>
              <w:spacing w:after="0"/>
              <w:rPr>
                <w:sz w:val="18"/>
                <w:szCs w:val="18"/>
                <w:color w:val="auto"/>
              </w:rPr>
            </w:pPr>
          </w:p>
        </w:tc>
      </w:tr>
      <w:tr>
        <w:trPr>
          <w:trHeight w:val="216"/>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Deborah Weinswig</w:t>
            </w:r>
          </w:p>
        </w:tc>
        <w:tc>
          <w:tcPr>
            <w:tcW w:w="4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6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w:t>
            </w:r>
          </w:p>
        </w:tc>
        <w:tc>
          <w:tcPr>
            <w:tcW w:w="384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Below are the biographies of each of our officers and directors as of December 31, 2025.</w:t>
      </w:r>
    </w:p>
    <w:p>
      <w:pPr>
        <w:spacing w:after="0" w:line="221" w:lineRule="exact"/>
        <w:rPr>
          <w:sz w:val="20"/>
          <w:szCs w:val="20"/>
          <w:color w:val="auto"/>
        </w:rPr>
      </w:pPr>
    </w:p>
    <w:p>
      <w:pPr>
        <w:jc w:val="both"/>
        <w:ind w:left="60" w:right="5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 D’Loren </w:t>
      </w:r>
      <w:r>
        <w:rPr>
          <w:rFonts w:ascii="Times New Roman" w:cs="Times New Roman" w:eastAsia="Times New Roman" w:hAnsi="Times New Roman"/>
          <w:sz w:val="18"/>
          <w:szCs w:val="18"/>
          <w:color w:val="auto"/>
        </w:rPr>
        <w:t>has been the Chairman of our Board and our Chief Executive Officer and President since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2011. Mr. D’Loren has been an entrepreneur, innovator, and pioneer of the consumer branded products industry for over 35 years. Mr. D’Loren has spearheaded the Company’s omni-channel platform, connecting the channels of digital, brick-and-mortar, social media, and direct-response television to create a single customer view and brand experience for Xcel’s brands. He served as Chairman and CEO of IPX Capital, LLC and its subsidiaries, a consumer products investment company, from 2009 to 2011. He continues to serve as IPX Capital LLC’s Chairman.</w:t>
      </w:r>
    </w:p>
    <w:p>
      <w:pPr>
        <w:spacing w:after="0" w:line="18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Prior to founding the Company, from June 2006 to July 2008, Mr. D’Loren was a director, President and CEO of NexCen Brands, Inc., a global brand acquisition and management company with holdings that included The Athlete’s Foot, Waverly Home, Bill Blass, MaggieMoo’s, Marble Slab Creamery, Pretzel Time, Pretzelmaker, Great American Cookies, and The Shoe Box.</w:t>
      </w:r>
    </w:p>
    <w:p>
      <w:pPr>
        <w:spacing w:after="0" w:line="180"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From 2002 to 2006, Mr. D’Loren’s work among consumer brands continued as President and CEO of UCC Capital Corporation, an intellectual property investment company where he invested in the consumer branded products, media, and entertainment sectors. From 1997 to 2002, Mr. D’Loren founded and acted as President and Chief Operating Officer of CAK Universal Credit Corporation, an intellectual property finance company. Mr. D’Loren’s total career debt and equity investments in over 30 entertainment and consumer branded products companies have exceeded $1.0 billion. In 1985, he founded and served as President and CEO of the D’Loren Organization, an investment and restructuring firm responsible for over $2 billion of transactions. Mr. D’Loren has also served as an asset manager for Fosterlane Management, as well as a manager with Deloitte.</w:t>
      </w:r>
    </w:p>
    <w:p>
      <w:pPr>
        <w:spacing w:after="0" w:line="19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Mr. D’Loren has served on the Board of Directors for Iconix Brand Group, Longaberger Company, Business Loan Center, and as a board advisor to The Athletes Foot and Bill Blass, Ltd. He also serves on the board of directors for the Achilles Track Club International. Mr. D’Loren is a Certified Public Accountant and holds an M.S. degree from Columbia University and a B.S. degree from New York University.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4" w:name="page95"/>
    <w:bookmarkEnd w:id="9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F. Haran </w:t>
      </w:r>
      <w:r>
        <w:rPr>
          <w:rFonts w:ascii="Times New Roman" w:cs="Times New Roman" w:eastAsia="Times New Roman" w:hAnsi="Times New Roman"/>
          <w:sz w:val="18"/>
          <w:szCs w:val="18"/>
          <w:color w:val="auto"/>
        </w:rPr>
        <w:t>has been our Chief Financial Officer since September 2011. Mr. Haran served as CFO of IPX Capital,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LLC and its related subsidiaries, from June 2008 to September 2011. Mr. Haran was the Executive Vice President, Capital Markets for NexCen Brands, Inc. from 2006 to May 2008 and Chief Financial Officer and Chief Credit Officer for UCC Capital Corporation, and its predecessor company, CAK Universal Credit Corp., from 1998 to 2006. Prior to joining UCC, Mr. Haran was a partner at Sidney Yoskowitz and Company P.C., a registered diversified certified public accounting firm. During his tenure, which began in 1987, his focus was on real estate and financial services companies. Mr. Haran is a Certified Public Accountant and holds a B.S. degree from State University of New York at Plattsburgh.</w:t>
      </w:r>
    </w:p>
    <w:p>
      <w:pPr>
        <w:spacing w:after="0" w:line="183"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Seth Burroughs </w:t>
      </w:r>
      <w:r>
        <w:rPr>
          <w:rFonts w:ascii="Times New Roman" w:cs="Times New Roman" w:eastAsia="Times New Roman" w:hAnsi="Times New Roman"/>
          <w:sz w:val="18"/>
          <w:szCs w:val="18"/>
          <w:color w:val="auto"/>
        </w:rPr>
        <w:t>has been our Executive Vice President of Business Development and Treasury since September 2011.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From June 2006 to October 2010, Mr. Burroughs served as Vice President of NexCen Brands, Inc. Prior to his role at NexCen, from 2003 to 2006, Mr. Burroughs served as Director of M&amp;A Advisory and Investor Relations at UCC Capital Corporation, an intellectual property investment company, where he worked on $500 million in acquisitions and $300 million in specialty financing as an advisor to consumer branded products companies in the franchising and apparel industries. From 2001 to 2003, Mr. Burroughs worked as a Senior Financial Analyst at The Pullman Group where he was involved with structuring the first securitizations of music royalties, including the Bowie Bonds, and as a Financial Analyst at Merrill Lynch’s private client group. Mr. Burroughs received a B.S. degree in economics from The Wharton School of Business at the University of Pennsylvania.</w:t>
      </w:r>
    </w:p>
    <w:p>
      <w:pPr>
        <w:spacing w:after="0" w:line="188"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DiSanto </w:t>
      </w:r>
      <w:r>
        <w:rPr>
          <w:rFonts w:ascii="Times New Roman" w:cs="Times New Roman" w:eastAsia="Times New Roman" w:hAnsi="Times New Roman"/>
          <w:sz w:val="18"/>
          <w:szCs w:val="18"/>
          <w:color w:val="auto"/>
        </w:rPr>
        <w:t>has served as a member of our Board since October 2011. Since 1988, Mr. DiSanto has served as the Chief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Executive Officer of Triple Crown Corporation, a regional real estate development and investment company with commercial and residential development projects exceeding 1.5 million square feet. Mr. DiSanto received a degree in business administration from Villanova University’s College of Commerce and Finance, a J.D. degree from the University of Toledo College of Law, and an M.S. degree in real estate development from Columbia University.</w:t>
      </w:r>
    </w:p>
    <w:p>
      <w:pPr>
        <w:spacing w:after="0" w:line="179"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Fielding </w:t>
      </w:r>
      <w:r>
        <w:rPr>
          <w:rFonts w:ascii="Times New Roman" w:cs="Times New Roman" w:eastAsia="Times New Roman" w:hAnsi="Times New Roman"/>
          <w:sz w:val="18"/>
          <w:szCs w:val="18"/>
          <w:color w:val="auto"/>
        </w:rPr>
        <w:t>was appointed as a member of our Board in July 2018. He is a 25-year veteran in the consumer retail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space, and previously served as the Global Head of Consumer Products for Dreamworks Animation and Awesomeness TV. Prior to that, Mr. Fielding served as the CEO of Claire’s Stores Inc., where he oversaw strategic growth and international development for the retail chain’s 3,000-plus stores worldwide. From May 2008 to 2012 Mr. Fielding served as the President of Disney Stores Worldwide.</w:t>
      </w:r>
    </w:p>
    <w:p>
      <w:pPr>
        <w:spacing w:after="0" w:line="17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Howard Liebman </w:t>
      </w:r>
      <w:r>
        <w:rPr>
          <w:rFonts w:ascii="Times New Roman" w:cs="Times New Roman" w:eastAsia="Times New Roman" w:hAnsi="Times New Roman"/>
          <w:sz w:val="18"/>
          <w:szCs w:val="18"/>
          <w:color w:val="auto"/>
        </w:rPr>
        <w:t>has served as a member of our Board since October 2011. He was President, Chief Operating Officer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a director of Hobart West Group, a provider of national court reporting and litigation support services, from 2007 until the sale of the business in 2008. Mr. Liebman served as a consultant to Hobart from 2006 to 2007. Mr. Liebman was President, Chief Financial Officer, and a director of Shorewood Packaging Corporation, a multinational manufacturer of high-end value-added paper and paperboard packaging for the entertainment, tobacco, cosmetics and other consumer products markets. Mr. Liebman joined Shorewood in 1994 as Executive Vice President and Chief Financial Officer, and served as its President from 1999 until Shorewood was acquired by International Paper in 2000. Mr. Liebman continued as Executive Vice President of Shorewood until his retirement in 2005. Mr. Liebman is a Certified Public Accountant and was an audit partner with Deloitte and Touche, LLP (and its predecessors) from 1974 to 1994.</w:t>
      </w:r>
    </w:p>
    <w:p>
      <w:pPr>
        <w:spacing w:after="0" w:line="18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Deborah Weinswig </w:t>
      </w:r>
      <w:r>
        <w:rPr>
          <w:rFonts w:ascii="Times New Roman" w:cs="Times New Roman" w:eastAsia="Times New Roman" w:hAnsi="Times New Roman"/>
          <w:sz w:val="18"/>
          <w:szCs w:val="18"/>
          <w:color w:val="auto"/>
        </w:rPr>
        <w:t>was appointed as a member of our Board in January 2018. She is a Managing Director of Funding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Global Retail &amp; Technology (“FGRT”), the think tank for the Hong Kong-based Fung Group, since April 2014 where she is responsible for building the team’s research capabilities and providing insights into the disruptive technologies that are reshaping today’s global retail landscape. Prior to leading FGRT, Weinswig served as Chief Customer Officer for Profitect Inc., a predictive analytics and big data software provider. From March 2002 to October 2013, Ms. Weinswig was employed by Citigroup, Inc., most recently where she was Managing Director and Head of the Global Staples &amp; Consumer Discretionary team at Citi Research. Ms. Weinswig also serves as an e-commerce expert for the International Council of Shopping Centers’ Research Task Force and was a founding member of the Oracle Retail Industry Strategy Council. Lastly, she is a member of the Board of Directors of Kiabi (affiliated with the Auchan Group). Ms. Weinswig is a Certified Public Accountant and holds an MBA from the University of Chicago.</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5" w:name="page96"/>
    <w:bookmarkEnd w:id="9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Directors’ Qualifications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furtherance of our corporate governance principles, each of our directors brings unique qualities and qualifications to our Board. We believe that all of our directors have a reputation for honesty, integrity, and adherence to high ethical standards. They each have demonstrated business acumen, leadership, and an ability to exercise sound judgment, as well as a commitment to serve the Company and our Board. The following descriptions demonstrate the qualifications of each director:</w:t>
      </w:r>
    </w:p>
    <w:p>
      <w:pPr>
        <w:spacing w:after="0" w:line="179"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Robert W. D’Loren </w:t>
      </w:r>
      <w:r>
        <w:rPr>
          <w:rFonts w:ascii="Times New Roman" w:cs="Times New Roman" w:eastAsia="Times New Roman" w:hAnsi="Times New Roman"/>
          <w:sz w:val="18"/>
          <w:szCs w:val="18"/>
          <w:color w:val="auto"/>
        </w:rPr>
        <w:t>has extensive experience in and knowledge of the licensing and commercial business industries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financial markets. This knowledge and experience, including his experience as director, president, and chief executive officer of a global brand management company, provide us with valuable insight to formulate and create our acquisition strategy and how to manage and license acquired brands.</w:t>
      </w:r>
    </w:p>
    <w:p>
      <w:pPr>
        <w:spacing w:after="0" w:line="176"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Mark DiSanto </w:t>
      </w:r>
      <w:r>
        <w:rPr>
          <w:rFonts w:ascii="Times New Roman" w:cs="Times New Roman" w:eastAsia="Times New Roman" w:hAnsi="Times New Roman"/>
          <w:sz w:val="18"/>
          <w:szCs w:val="18"/>
          <w:color w:val="auto"/>
        </w:rPr>
        <w:t>has considerable experience in building and running businesses and brings his strong business acumen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Board.</w:t>
      </w:r>
    </w:p>
    <w:p>
      <w:pPr>
        <w:spacing w:after="0" w:line="155" w:lineRule="exact"/>
        <w:rPr>
          <w:sz w:val="20"/>
          <w:szCs w:val="20"/>
          <w:color w:val="auto"/>
        </w:rPr>
      </w:pPr>
    </w:p>
    <w:p>
      <w:pPr>
        <w:jc w:val="both"/>
        <w:ind w:left="60" w:right="5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James Fielding </w:t>
      </w:r>
      <w:r>
        <w:rPr>
          <w:rFonts w:ascii="Times New Roman" w:cs="Times New Roman" w:eastAsia="Times New Roman" w:hAnsi="Times New Roman"/>
          <w:sz w:val="18"/>
          <w:szCs w:val="18"/>
          <w:color w:val="auto"/>
        </w:rPr>
        <w:t>brings extensive senior level experience in the consumer retail space, as well as strong relationships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media and retail industries.</w:t>
      </w:r>
    </w:p>
    <w:p>
      <w:pPr>
        <w:spacing w:after="0" w:line="155" w:lineRule="exact"/>
        <w:rPr>
          <w:sz w:val="20"/>
          <w:szCs w:val="20"/>
          <w:color w:val="auto"/>
        </w:rPr>
      </w:pPr>
    </w:p>
    <w:p>
      <w:pPr>
        <w:jc w:val="both"/>
        <w:ind w:left="60" w:right="7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Howard Liebman </w:t>
      </w:r>
      <w:r>
        <w:rPr>
          <w:rFonts w:ascii="Times New Roman" w:cs="Times New Roman" w:eastAsia="Times New Roman" w:hAnsi="Times New Roman"/>
          <w:sz w:val="18"/>
          <w:szCs w:val="18"/>
          <w:color w:val="auto"/>
        </w:rPr>
        <w:t>brings comprehensive knowledge of accounting, the capital markets, mergers and acquisitions, financial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reporting, and financial strategies from his extensive public accounting experience and prior service as Chief Financial Officer of a public company.</w:t>
      </w:r>
    </w:p>
    <w:p>
      <w:pPr>
        <w:spacing w:after="0" w:line="171" w:lineRule="exact"/>
        <w:rPr>
          <w:sz w:val="20"/>
          <w:szCs w:val="20"/>
          <w:color w:val="auto"/>
        </w:rPr>
      </w:pPr>
    </w:p>
    <w:p>
      <w:pPr>
        <w:jc w:val="both"/>
        <w:ind w:left="60" w:right="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Deborah Weinswig </w:t>
      </w:r>
      <w:r>
        <w:rPr>
          <w:rFonts w:ascii="Times New Roman" w:cs="Times New Roman" w:eastAsia="Times New Roman" w:hAnsi="Times New Roman"/>
          <w:sz w:val="18"/>
          <w:szCs w:val="18"/>
          <w:color w:val="auto"/>
        </w:rPr>
        <w:t>brings thought leadership in the retail and licensing industries, particularly in the areas of sourcing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logistics.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Board Nominee Agreement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April 21, 2025, Xcel and UTG Capital, Inc., or UTG, entered into a Board Nomination Agreement pursuant to which Xcel granted UTG the right to nominate one individual to serve as a member of the Company’s board of directors, provided the individual is reasonably satisfactory to the Company’s board of directors (and/or board committee with authority over nominations of individuals to serve as directors of the Company) during the Nomination Period. The term “Nomination Period” means the period commencing on the date of the Board Nomination Agreement and ending on the earlier of (i) the date all of the loans under the December 12, 2024 loan agreement (as amended) have been repaid and (ii) the date UTG no longer holds a participation of at least $1,000,000 principal amount in the Term Loan B; provided, however, that if prior to the earlier of such dates, UTG and/or its affiliates exercise certain warrants issued to UTG for at least 300,000 shares of common stock, the Nomination Period shall continue for so long as UTG and/or its affiliate continue to hold 300,000 shares of common stock issued upon exercise of such warrants.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Employment Agreements with Executives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Robert W. D’Loren</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February 28, 2019, and effective as of January 1, 2019, the Company entered into a three-year employment agreement with Robert W. D’Loren for him to continue to serve as Chief Executive Officer of the Company, referred to as the D’Loren Employment Agreement. Following the initial three-year term, the agreement has automatically renewed for successive one-year terms, and will be automatically renewed for one-year terms thereafter unless either party gives written notice of intent to terminate at least 90 days prior to the termination of the then current term. Pursuant to the D’Loren Employment Agreement, Mr. D’Loren’s annual base salary is $0.89 million. The Company’s board of directors or the compensation committee may approve increases (but not decreases) from time to time. Following the initial three-year term, Mr. D’Loren’s base salary will be reviewed at least annually. Mr. D’Loren also receives an allowance for an automobile appropriate for his level of position and the Company pays (in addition to monthly lease or other payments) all of the related expenses for gasoline, insurance, maintenance, repairs, or any other costs with Mr. D’Loren’s automobile.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6" w:name="page97"/>
    <w:bookmarkEnd w:id="9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July 30, 2024, the Company entered into an amendment of the D’Loren Employment Agreement. Pursuant to this amendment, the Company agreed with Mr. D’Loren that commencing July 16, 2024 and ending December 31, 2025, Mr. D’Loren shall accept and the Company shall pay for each month 40% of Mr. D’Loren’s pro rata portion of base salary for each such month through the issuance of shares of the Company’s common stock. The shares of common stock will be issued on the last day of each month, and the number of shares issuable for each month to Mr. D’Loren shall be determined by dividing 40% of his pro-rated base salary for such month by the closing sale price of the Company’s common stock on the last trading day of such month. Mr. D’Loren is permitted to pay the withholding tax through the exchange of a portion of the shares.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Bonus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Mr. D’Loren will be eligible to receive an annual cash bonus in an amount equal to (i) 2.5% of all income generated from the sales of the Company’s products and by the trademarks and other intellectual property owned, operated or managed by us (“IP Income”), in excess of $8.0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and (ii) 5% of the Company’s adjusted EBITDA (as defined in the D’Loren Employment Agreement) for such fiscal year. Mr. D’Loren shall have the right to elect to receive the cash bonus through the issuance of shares of the Company’s common stock.</w:t>
      </w:r>
    </w:p>
    <w:p>
      <w:pPr>
        <w:spacing w:after="0" w:line="18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Pursuant to the D’Loren Agreement, Mr. D’Loren was granted an option to purchase up to 257,895 shares of the Company’s common stock at an exercise price of $17.20 per share. The option is exercisable until February 28, 2029 and shall vest, subject to Mr. D’Loren remaining employed by the Company and based upon the Company’s common stock achieving the following target prices: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620" w:type="dxa"/>
            <w:vAlign w:val="bottom"/>
          </w:tcPr>
          <w:p>
            <w:pPr>
              <w:ind w:left="2920"/>
              <w:spacing w:after="0"/>
              <w:rPr>
                <w:sz w:val="20"/>
                <w:szCs w:val="20"/>
                <w:color w:val="auto"/>
              </w:rPr>
            </w:pPr>
            <w:r>
              <w:rPr>
                <w:rFonts w:ascii="Times New Roman" w:cs="Times New Roman" w:eastAsia="Times New Roman" w:hAnsi="Times New Roman"/>
                <w:sz w:val="14"/>
                <w:szCs w:val="14"/>
                <w:b w:val="1"/>
                <w:bCs w:val="1"/>
                <w:color w:val="auto"/>
              </w:rPr>
              <w:t>Target Prices</w:t>
            </w:r>
          </w:p>
        </w:tc>
        <w:tc>
          <w:tcPr>
            <w:tcW w:w="2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 Option Shares Vesting</w:t>
            </w:r>
          </w:p>
        </w:tc>
      </w:tr>
      <w:tr>
        <w:trPr>
          <w:trHeight w:val="210"/>
        </w:trPr>
        <w:tc>
          <w:tcPr>
            <w:tcW w:w="6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$30.00</w:t>
            </w:r>
          </w:p>
        </w:tc>
        <w:tc>
          <w:tcPr>
            <w:tcW w:w="16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73,684</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$50.00</w:t>
            </w:r>
          </w:p>
        </w:tc>
        <w:tc>
          <w:tcPr>
            <w:tcW w:w="22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62,632</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$70.00</w:t>
            </w:r>
          </w:p>
        </w:tc>
        <w:tc>
          <w:tcPr>
            <w:tcW w:w="228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51,579</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$90.00</w:t>
            </w:r>
          </w:p>
        </w:tc>
        <w:tc>
          <w:tcPr>
            <w:tcW w:w="2280" w:type="dxa"/>
            <w:vAlign w:val="bottom"/>
            <w:gridSpan w:val="2"/>
          </w:tcPr>
          <w:p>
            <w:pPr>
              <w:jc w:val="right"/>
              <w:ind w:right="690"/>
              <w:spacing w:after="0"/>
              <w:rPr>
                <w:sz w:val="20"/>
                <w:szCs w:val="20"/>
                <w:color w:val="auto"/>
              </w:rPr>
            </w:pPr>
            <w:r>
              <w:rPr>
                <w:rFonts w:ascii="Times New Roman" w:cs="Times New Roman" w:eastAsia="Times New Roman" w:hAnsi="Times New Roman"/>
                <w:sz w:val="18"/>
                <w:szCs w:val="18"/>
                <w:color w:val="auto"/>
              </w:rPr>
              <w:t>40,526</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$110.00</w:t>
            </w:r>
          </w:p>
        </w:tc>
        <w:tc>
          <w:tcPr>
            <w:tcW w:w="2280" w:type="dxa"/>
            <w:vAlign w:val="bottom"/>
            <w:gridSpan w:val="2"/>
            <w:shd w:val="clear" w:color="auto" w:fill="CCEEFF"/>
          </w:tcPr>
          <w:p>
            <w:pPr>
              <w:jc w:val="right"/>
              <w:ind w:right="690"/>
              <w:spacing w:after="0"/>
              <w:rPr>
                <w:sz w:val="20"/>
                <w:szCs w:val="20"/>
                <w:color w:val="auto"/>
              </w:rPr>
            </w:pPr>
            <w:r>
              <w:rPr>
                <w:rFonts w:ascii="Times New Roman" w:cs="Times New Roman" w:eastAsia="Times New Roman" w:hAnsi="Times New Roman"/>
                <w:sz w:val="18"/>
                <w:szCs w:val="18"/>
                <w:color w:val="auto"/>
              </w:rPr>
              <w:t>29,474</w:t>
            </w: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None of these option shares had vested as of December 31, 2025, and subsequently, effective January 21, 2026, such option was cancelled through mutual agreement between the Company and Mr. D’Loren.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Severance</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If Mr. D’Loren’s employment is terminated by the Company without cause, or if Mr. D’Loren resigns with good reason, or if the Company fails to renew the term, then Mr. D’Loren will be entitled to receive his unpaid base salary and cash bonuses through the termination date and a lump sum payment equal to the base salary in effect on the termination date for the longer of two years from the termination date or the remainder of the then-current term. Additionally, Mr. D’Loren would be entitled to two hundred times the average annual cash bonuses paid in the preceding 12 months. Mr. D’Loren would also be entitled to continue to participate in the Company’s group medical plan or receive reimbursement for premiums paid for other medical insurance in an amount not to exceed the cost to participate in the Company’s plan, subject to certain conditions, for a period of 36 months from the termination date.</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event Mr. D’Loren’s employment is terminated within 12 months following a change of control by the Company without cause or by Mr. D’Loren with good reason, he would be entitled to a lump sum payment equal to two times (i) his base salary in effect on the termination date for the longer of two years from the termination date or the remainder of the then-current term and (ii) two times the average annual cash bonuses paid in the preceding 12 months, minus $100. “Change of control,” as defined in Mr. D’Loren’s employment agreement, means a merger or consolidation to which we are a party, a sale, lease or other transfer, exclusive license or other disposition of all or substantially all of our assets, a sale or transfer by our stockholders of voting control, in a single transaction or a series of transactions or, if during any</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7" w:name="page98"/>
    <w:bookmarkEnd w:id="9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twelve consecutive month period, the individuals who at the beginning of such period, constitute the board of directors of the Company (the “Incumbent Directors”) cease (other than due to death) to constitute a majority of the members of the board at the end of such period; provided that directors elected by or on the recommendation of a majority of the directors who so qualify as Incumbent Directors shall be deemed to be Incumbent Directors. Upon a change of control, notwithstanding the vesting and exercisability schedule in any stock option or other grant agreement between Mr. D’Loren and the Company, all unvested stock options, shares of restricted stock and other equity awards granted by the Company to Mr. D’Loren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Non-Competition and Non-Solicitation</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During the term of his employment by the Company and for a one-year period after the termination of such employment (unless Mr. D’Loren’s employment was terminated without cause or was terminated by him for good reason, in which case only for his term of employment and a six-month period after the termination of such employment), Mr. D’Loren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his employment. Also, during his employment and for a one-year period after the termination of such employment, Mr. D’Loren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James Haran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28, 2019, and effective as of January 1, 2019, the Company entered into a two-year employment agreement with James Haran for him to continue to serve as the Company’s Chief Financial Officer, referred to as the Haran Employment Agreement. Following the initial two-year term, the agreement has automatically renewed for successive one-year terms, and will be automatically renewed for one-year terms thereafter unless either party gives written notice of intent to terminate at least 30 days prior to the expiration of the then current term. Pursuant to the Haran Employment Agreement, Mr. Haran’s annual base salary is $0.37 million per annum. The board of directors or the compensation committee may approve increases (but not decreases) from time to time. Following the initial two-year term, the base salary shall be reviewed at least annually. In addition, Mr. Haran receives a car allowance of $1,500 per month.</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Bonus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Mr. Haran will be eligible to receive a performance cash bonus in an amount equal to (i) 0.23% of all IP Income in excess of $12.0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plus (ii) 0.375% of the Company’s adjusted EBITDA (as defined in the Haran Employment Agreement) for such fiscal year. Notwithstanding the foregoing, for (i) 2019, $0.04 million of Mr. Haran’s bonus was guaranteed, of which $0.01 million was paid to Mr. Haran upon execution of the Haran Employment Agreement and $0.03 million was paid prior to June 30, 2019, and (ii) for 2020, $0.03 million of Mr. Haran’s bonus was guaranteed and paid prior to June 30, 2020, in each case.</w:t>
      </w:r>
    </w:p>
    <w:p>
      <w:pPr>
        <w:spacing w:after="0" w:line="192"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Haran Employment Agreement, Mr. Haran was granted an option to purchase up to 55,263 shares of the Company’s common stock at an exercise price of $17.20 per share. The option is exercisable until February 28, 2029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8" w:name="page99"/>
    <w:bookmarkEnd w:id="9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shall vest, subject to Mr. Haran remaining employed with the Company and based upon the Company’s common stock achieving target prices as follows: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2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Target Prices</w:t>
            </w:r>
          </w:p>
        </w:tc>
        <w:tc>
          <w:tcPr>
            <w:tcW w:w="2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 Option Shares Vesting</w:t>
            </w:r>
          </w:p>
        </w:tc>
      </w:tr>
      <w:tr>
        <w:trPr>
          <w:trHeight w:val="210"/>
        </w:trPr>
        <w:tc>
          <w:tcPr>
            <w:tcW w:w="6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15,790</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22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13,421</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$70.00</w:t>
            </w:r>
          </w:p>
        </w:tc>
        <w:tc>
          <w:tcPr>
            <w:tcW w:w="228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11,052</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$90.00</w:t>
            </w:r>
          </w:p>
        </w:tc>
        <w:tc>
          <w:tcPr>
            <w:tcW w:w="22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8,684</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$110.00</w:t>
            </w:r>
          </w:p>
        </w:tc>
        <w:tc>
          <w:tcPr>
            <w:tcW w:w="228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6,316</w:t>
            </w: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None of these option shares had vested as of December 31, 2025, and subsequently, effective January 21, 2026, such option was cancelled through mutual agreement between the Company and Mr. Haran.</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Severance</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Mr. Haran’s employment is terminated by the Company without cause, or if Mr. Haran resigns with good reason, or if the Company fails to renew the term, then Mr. Haran will be entitled to receive his unpaid base salary and cash bonuses through the termination date and a lump sum payment equal to his base salary in effect on the termination date for 12 months. Mr. Haran would also be entitled to continue to participate in our group medical plan, subject to certain conditions, for a period of 12 months from the termination date.</w:t>
      </w:r>
    </w:p>
    <w:p>
      <w:pPr>
        <w:spacing w:after="0" w:line="18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event Mr. Haran’s employment is terminated within 12 months following a change of control by the Company without cause or by Mr. Haran with good reason, Mr. Haran would be entitled to a lump sum payment equal to his base salary in effect on the termination date for 12 months following such termination. “Change of control,” as defined in Mr. Haran’s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Haran and us, all unvested stock options, shares of restricted stock and other equity awards granted by us to Mr. Haran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Non-Competition and Non-Solicitation</w:t>
      </w:r>
    </w:p>
    <w:p>
      <w:pPr>
        <w:spacing w:after="0" w:line="227"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During the term of his employment by the Company and for a one-year period after the termination of such employment, Mr. Haran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such employment. Also, during his employment and for a one-year period after the termination of his employment, Mr. Haran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99" w:name="page100"/>
    <w:bookmarkEnd w:id="9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Seth Burroughs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February 28, 2019, and effective as of January 1, 2019, the Company entered into a two-year employment agreement with Seth Burroughs for him to continue to serve as the Company’s Executive Vice President – Business Development and Treasury, referred to as the Burroughs Employment Agreement. Following the initial two-year term, the agreement has automatically renewed for successive one-year terms, and will be automatically renewed for one-year terms thereafter unless either party gives written notice of intent to terminate at least 30 days prior to the expiration of the then current term. Pursuant to the Burroughs Employment Agreement, Mr. Burroughs’ annual base salary is $0.34 million per annum. The board of directors or the compensation committee may approve increases (but not decreases) from time to time. Following the initial two-year term, the base salary shall be reviewed at least annually.</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On July 30, 2024, the Company entered into an amendment of the Burroughs Employment Agreement. Pursuant to this amendment, the Company agreed with Mr. Burroughs that commencing July 16, 2024 and ending December 31, 2025, Mr. Burroughs shall accept and the Company shall pay for each month 40% of Mr. Burroughs’ pro rata portion of base salary for each such month through the issuance of shares of the Company’s common stock. The shares of common stock will be issued on the last day of each month, and the number of shares issuable for each month to Mr. Burroughs shall be determined by dividing 40% of his pro-rated base salary for such month by the closing sale price of the Company’s common stock on the last trading day of such month. Mr. Burroughs is permitted to pay the withholding tax through the exchange of a portion of the shares.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Bonus</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Mr. Burroughs will be eligible to receive a performance cash bonus in an amount equal to (i) 0.23% of all IP Income in excess of $12.0 million earned and received by us in such fiscal year; provided that any IP income generated through net sales shall be multiplied by (x) 7% in the case of net sales from wholesale sales, and private label sales and (y) 3% in the case of net sales from e-commerce sales through the Company’s web sites plus (ii) 0.375% of the Company’s adjusted EBITDA (as defined in the Haran Employment Agreement) for such fiscal year.</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Pursuant to the Burroughs Employment Agreement, Mr. Burroughs was granted an option to purchase up to 36,842 shares of the Company’s common stock at an exercise price of $17.20 per share. The option is exercisable until February 28, 2029 and shall vest, subject to Mr. Burroughs remaining employed with the Company and based upon the Company’s common stock achieving target prices as follows: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6620" w:type="dxa"/>
            <w:vAlign w:val="bottom"/>
          </w:tcPr>
          <w:p>
            <w:pPr>
              <w:ind w:left="2900"/>
              <w:spacing w:after="0"/>
              <w:rPr>
                <w:sz w:val="20"/>
                <w:szCs w:val="20"/>
                <w:color w:val="auto"/>
              </w:rPr>
            </w:pPr>
            <w:r>
              <w:rPr>
                <w:rFonts w:ascii="Times New Roman" w:cs="Times New Roman" w:eastAsia="Times New Roman" w:hAnsi="Times New Roman"/>
                <w:sz w:val="14"/>
                <w:szCs w:val="14"/>
                <w:b w:val="1"/>
                <w:bCs w:val="1"/>
                <w:color w:val="auto"/>
              </w:rPr>
              <w:t>Target Prices</w:t>
            </w:r>
          </w:p>
        </w:tc>
        <w:tc>
          <w:tcPr>
            <w:tcW w:w="22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 Option Shares Vesting</w:t>
            </w:r>
          </w:p>
        </w:tc>
      </w:tr>
      <w:tr>
        <w:trPr>
          <w:trHeight w:val="209"/>
        </w:trPr>
        <w:tc>
          <w:tcPr>
            <w:tcW w:w="66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$30.00</w:t>
            </w:r>
          </w:p>
        </w:tc>
        <w:tc>
          <w:tcPr>
            <w:tcW w:w="140" w:type="dxa"/>
            <w:vAlign w:val="bottom"/>
            <w:tcBorders>
              <w:top w:val="single" w:sz="8" w:color="CCEEFF"/>
            </w:tcBorders>
            <w:shd w:val="clear" w:color="auto" w:fill="CCEEFF"/>
          </w:tcPr>
          <w:p>
            <w:pPr>
              <w:spacing w:after="0"/>
              <w:rPr>
                <w:sz w:val="18"/>
                <w:szCs w:val="18"/>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10,526</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w:t>
            </w:r>
          </w:p>
        </w:tc>
        <w:tc>
          <w:tcPr>
            <w:tcW w:w="22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8,947</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$70.00</w:t>
            </w:r>
          </w:p>
        </w:tc>
        <w:tc>
          <w:tcPr>
            <w:tcW w:w="228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7,369</w:t>
            </w:r>
          </w:p>
        </w:tc>
      </w:tr>
      <w:tr>
        <w:trPr>
          <w:trHeight w:val="216"/>
        </w:trPr>
        <w:tc>
          <w:tcPr>
            <w:tcW w:w="6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$90.00</w:t>
            </w:r>
          </w:p>
        </w:tc>
        <w:tc>
          <w:tcPr>
            <w:tcW w:w="2280" w:type="dxa"/>
            <w:vAlign w:val="bottom"/>
            <w:gridSpan w:val="2"/>
          </w:tcPr>
          <w:p>
            <w:pPr>
              <w:jc w:val="center"/>
              <w:ind w:left="94"/>
              <w:spacing w:after="0"/>
              <w:rPr>
                <w:sz w:val="20"/>
                <w:szCs w:val="20"/>
                <w:color w:val="auto"/>
              </w:rPr>
            </w:pPr>
            <w:r>
              <w:rPr>
                <w:rFonts w:ascii="Times New Roman" w:cs="Times New Roman" w:eastAsia="Times New Roman" w:hAnsi="Times New Roman"/>
                <w:sz w:val="18"/>
                <w:szCs w:val="18"/>
                <w:color w:val="auto"/>
              </w:rPr>
              <w:t>5,790</w:t>
            </w:r>
          </w:p>
        </w:tc>
      </w:tr>
      <w:tr>
        <w:trPr>
          <w:trHeight w:val="216"/>
        </w:trPr>
        <w:tc>
          <w:tcPr>
            <w:tcW w:w="6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$110.00</w:t>
            </w:r>
          </w:p>
        </w:tc>
        <w:tc>
          <w:tcPr>
            <w:tcW w:w="2280" w:type="dxa"/>
            <w:vAlign w:val="bottom"/>
            <w:gridSpan w:val="2"/>
            <w:shd w:val="clear" w:color="auto" w:fill="CCEEFF"/>
          </w:tcPr>
          <w:p>
            <w:pPr>
              <w:jc w:val="center"/>
              <w:ind w:left="94"/>
              <w:spacing w:after="0"/>
              <w:rPr>
                <w:sz w:val="20"/>
                <w:szCs w:val="20"/>
                <w:color w:val="auto"/>
              </w:rPr>
            </w:pPr>
            <w:r>
              <w:rPr>
                <w:rFonts w:ascii="Times New Roman" w:cs="Times New Roman" w:eastAsia="Times New Roman" w:hAnsi="Times New Roman"/>
                <w:sz w:val="18"/>
                <w:szCs w:val="18"/>
                <w:color w:val="auto"/>
              </w:rPr>
              <w:t>4,210</w:t>
            </w: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None of these option shares had vested as of December 31, 2025, and subsequently, effective January 21, 2026, such option was cancelled through mutual agreement between the Company and Mr. Burroughs.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Severance</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If Mr. Burrough’s employment is terminated by the Company without cause, or if Mr. Burroughs resigns with good reason, or if the Company fails to renew the term, then Mr. Burroughs will be entitled to receive his unpaid base salary and cash bonuses through the termination date and a lump sum payment equal to his base salary in effect on the termination date for 12 months. Mr. Burroughs would also be entitled to continue to participate in our group medical plan, subject to certain conditions, for a period of 12 months from the termination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0" w:name="page101"/>
    <w:bookmarkEnd w:id="10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of Control</w:t>
      </w:r>
    </w:p>
    <w:p>
      <w:pPr>
        <w:spacing w:after="0" w:line="22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the event Mr. Burroughs’ employment is terminated within 12 months following a change of control by the Company without cause or by Mr. Burroughs with good reason, Mr. Burroughs would be entitled to a lump sum payment equal to his base salary in effect on the termination date for 12 months following such termination. “Change of control,” as defined in Mr. Burroughs’ employment agreement, means a merger or consolidation to which we are a party, a sale, lease or other transfer, exclusive license or other disposition of all or substantially all of our assets, or a sale or transfer by our stockholders of voting control, in a single transaction or a series of transactions. Upon a change of control, notwithstanding the vesting and exercisability schedule in any stock option or other grant agreement between Mr. Burroughs and us, all unvested stock options, shares of restricted stock and other equity awards granted by us to Mr. Burroughs pursuant to any such agreement shall immediately vest, and all such stock options shall become exercisable and remain exercisable for the lesser of 180 days after the date the change of control occurs or the remaining term of the applicable option.</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Non-Competition and Non-Solicitation</w:t>
      </w:r>
    </w:p>
    <w:p>
      <w:pPr>
        <w:spacing w:after="0" w:line="227"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During the term of his employment by the Company and for a one-year period after the termination of such employment, Mr. Burroughs may not permit his name to be used by or participate in any business or enterprise (other than the mere passive ownership of not more than 5% of the outstanding stock of any class of a publicly held corporation whose stock is traded on a national securities exchange or in the over-the-counter market) that engages or proposes to engage in our business in the United States, its territories and possessions and any foreign country in which we do business as of the date of termination of such employment. Also, during his employment and for a one-year period after the termination of his employment, Mr. Burroughs may not, directly or indirectly, solicit, induce or attempt to induce any customer, supplier, licensee, or other business relation of the Company or any of its subsidiaries to cease doing business with the Company or any of its subsidiaries; or solicit, induce or attempt to induce any person who is, or was during the then-most recent 12-month period, a corporate officer, general manager or other employee of the Company or any of its subsidiaries, to terminate such employee’s employment with the Company or any of its subsidiaries; or hire any such person unless such person’s employment was terminated by the Company or any of its subsidiaries; or in any way interfere with the relationship between any such customer, supplier, licensee, employee or business relation and the Company or any of its subsidiaries.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There are no family relationships among our directors or officers.</w:t>
      </w:r>
    </w:p>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Independence of the Board of Directors</w:t>
      </w:r>
    </w:p>
    <w:p>
      <w:pPr>
        <w:spacing w:after="0" w:line="216"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board has determined that Messrs. Howard Liebman, Mark DiSanto, James Fielding, and Ms. Deborah Weinswig meet the director independence requirements under the applicable listing rule of the NASDAQ Stock Market LLC (“NASDAQ”). Each current member of the Audit Committee, Compensation Committee, and Nominating Committee is independent and meets the applicable rules and regulations regarding independence for such committee, including those set forth in the applicable NASDAQ rules, and each member is free of any relationship that would interfere with his individual exercise of independent judgment.</w:t>
      </w:r>
    </w:p>
    <w:p>
      <w:pPr>
        <w:spacing w:after="0" w:line="17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202" w:lineRule="exact"/>
        <w:rPr>
          <w:sz w:val="20"/>
          <w:szCs w:val="20"/>
          <w:color w:val="auto"/>
        </w:rPr>
      </w:pPr>
    </w:p>
    <w:p>
      <w:pPr>
        <w:jc w:val="both"/>
        <w:ind w:left="60" w:right="59"/>
        <w:spacing w:after="0" w:line="220" w:lineRule="exact"/>
        <w:rPr>
          <w:sz w:val="20"/>
          <w:szCs w:val="20"/>
          <w:color w:val="auto"/>
        </w:rPr>
      </w:pPr>
      <w:r>
        <w:rPr>
          <w:rFonts w:ascii="Times New Roman" w:cs="Times New Roman" w:eastAsia="Times New Roman" w:hAnsi="Times New Roman"/>
          <w:sz w:val="18"/>
          <w:szCs w:val="18"/>
          <w:color w:val="auto"/>
        </w:rPr>
        <w:t>To our knowledge, based solely on a review of Forms 3 and 4 and any amendments thereto furnished to our Company pursuant to Rule 16a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3(e) under the Securities Exchange Act of 1934, or representations that no Forms 5 were required, all Section 16(a) filing requirements applicable to our officers, directors, and beneficial owners of more than 10% of our equity securities were timely filed, except that Deborah Weinswig, Robert D’Loren, and Seth Burroughs each filed a late Form on one occasion.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1" w:name="page102"/>
    <w:bookmarkEnd w:id="10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1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September 29, 2011, we adopted a code of ethics that applies to our officers, employees, and directors, including our Chief Executive Officer, Chief Financial Officer, and senior executives. Our Code of Ethics can be accessed on our website, www.xcelbrands.com.</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Insider Trading Policy</w:t>
      </w:r>
    </w:p>
    <w:p>
      <w:pPr>
        <w:spacing w:after="0" w:line="20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adopted an insider trading policy (the “Trading Policy”) that is designed to promote compliance with federal securities laws, rules, and regulations, as well as the rules and regulations of the NASDAQ Stock Market. The Trading Policy provides Xcel’s standards on trading and causing the trading of our securities or securities of other publicly traded companies while in possession of confidential information. It prohibits trading in certain circumstances and applies to all of our directors, officers, and employees, as well as independent contractors or consultants who have access to material nonpublic information of Xcel. Additionally, our Trading Policy imposes special additional trading restrictions applicable to all of our directors and executive officers. The Trading Policy is annexed to this Annual Report as an exhibit and the full text of the Trading Policy is available on our website at www.xcelbrands.com.</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Audit Committee and Audit Committee Financial Expert</w:t>
      </w:r>
    </w:p>
    <w:p>
      <w:pPr>
        <w:spacing w:after="0" w:line="21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Our board of directors has appointed an Audit Committee which consists of Mr. Liebman, Mr. DiSanto, and Ms. Weinswig. Each of such persons has been determined to be an “independent director” under the applicable NASDAQ and SEC rules, which is the independence standard that was adopted by our board of directors. The board of directors has determined that Mr. Liebman meets the requirements to serve as the Audit Committee Financial Expert by our board of directors. The Audit Committee operates under a written charter adopted by our board of directors. The Audit Committee assists the board of directors by providing oversight of our accounting and financial reporting processes, appoints the independent registered public accounting firm, reviews with the registered independent registered public accounting firm the scope and results of the audit engagement, approves professional services provided by the independent registered public accounting firm, reviews the independence of the independent registered public accounting firm, considers the range of audit and non-audit fees and reviews the adequacy of internal accounting controls.</w:t>
      </w:r>
    </w:p>
    <w:p>
      <w:pPr>
        <w:spacing w:after="0" w:line="16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1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Our board of directors has appointed a Compensation Committee consisting of Messrs. DiSanto and Fielding. Each of such persons has been determined to be an “independent director” under the applicable NASDAQ rules. Our board of directors has adopted a written Compensation Committee Charter that sets forth the committee’s responsibilities. The committee is responsible for determining all forms of compensation for our executive officers, and establishing and maintaining executive compensation practices designed to enhance long-term stockholder value.</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Nominating Committee</w:t>
      </w:r>
    </w:p>
    <w:p>
      <w:pPr>
        <w:spacing w:after="0" w:line="20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board of directors has appointed a Nominating Committee consisting of Messrs. DiSanto and Liebman. Each of such persons has been determined to be an “independent director” under the applicable NASDAQ rules. Our board of directors has adopted a written Nominating Committee Charter that sets forth the committee’s responsibilities.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2" w:name="page103"/>
    <w:bookmarkEnd w:id="10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0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regarding all cash and non-cash compensation earned, during the years ended December 31, 2025 and 2024, by our principal executive officer and our two other most highly compensated executive officers, which we refer to collectively as the named executive officers, for services in all capacities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3"/>
                <w:szCs w:val="13"/>
                <w:color w:val="auto"/>
              </w:rPr>
            </w:pPr>
          </w:p>
        </w:tc>
        <w:tc>
          <w:tcPr>
            <w:tcW w:w="22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3"/>
                <w:szCs w:val="13"/>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3"/>
                <w:szCs w:val="13"/>
                <w:color w:val="auto"/>
              </w:rPr>
            </w:pPr>
          </w:p>
        </w:tc>
        <w:tc>
          <w:tcPr>
            <w:tcW w:w="70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260" w:type="dxa"/>
            <w:vAlign w:val="bottom"/>
            <w:gridSpan w:val="2"/>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6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80" w:type="dxa"/>
            <w:vAlign w:val="bottom"/>
          </w:tcPr>
          <w:p>
            <w:pPr>
              <w:spacing w:after="0"/>
              <w:rPr>
                <w:sz w:val="12"/>
                <w:szCs w:val="12"/>
                <w:color w:val="auto"/>
              </w:rPr>
            </w:pPr>
          </w:p>
        </w:tc>
        <w:tc>
          <w:tcPr>
            <w:tcW w:w="700" w:type="dxa"/>
            <w:vAlign w:val="bottom"/>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 (2), (3)</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(4)</w:t>
            </w:r>
          </w:p>
        </w:tc>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(5)</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(6)</w:t>
            </w:r>
          </w:p>
        </w:tc>
        <w:tc>
          <w:tcPr>
            <w:tcW w:w="14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920" w:type="dxa"/>
            <w:vAlign w:val="bottom"/>
            <w:shd w:val="clear" w:color="auto" w:fill="CCEEFF"/>
          </w:tcPr>
          <w:p>
            <w:pPr>
              <w:ind w:left="20"/>
              <w:spacing w:after="0" w:line="119" w:lineRule="exact"/>
              <w:rPr>
                <w:sz w:val="20"/>
                <w:szCs w:val="20"/>
                <w:color w:val="auto"/>
              </w:rPr>
            </w:pPr>
            <w:r>
              <w:rPr>
                <w:rFonts w:ascii="Times New Roman" w:cs="Times New Roman" w:eastAsia="Times New Roman" w:hAnsi="Times New Roman"/>
                <w:sz w:val="13"/>
                <w:szCs w:val="13"/>
                <w:color w:val="auto"/>
              </w:rPr>
              <w:t>Robert W.</w:t>
            </w:r>
          </w:p>
        </w:tc>
        <w:tc>
          <w:tcPr>
            <w:tcW w:w="140" w:type="dxa"/>
            <w:vAlign w:val="bottom"/>
            <w:shd w:val="clear" w:color="auto" w:fill="CCEEFF"/>
          </w:tcPr>
          <w:p>
            <w:pPr>
              <w:spacing w:after="0"/>
              <w:rPr>
                <w:sz w:val="10"/>
                <w:szCs w:val="10"/>
                <w:color w:val="auto"/>
              </w:rPr>
            </w:pPr>
          </w:p>
        </w:tc>
        <w:tc>
          <w:tcPr>
            <w:tcW w:w="114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CEO and Chairman</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2025</w:t>
            </w:r>
          </w:p>
        </w:tc>
        <w:tc>
          <w:tcPr>
            <w:tcW w:w="24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888,500</w:t>
            </w:r>
          </w:p>
        </w:tc>
        <w:tc>
          <w:tcPr>
            <w:tcW w:w="30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46,531</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121,497</w:t>
            </w:r>
          </w:p>
        </w:tc>
        <w:tc>
          <w:tcPr>
            <w:tcW w:w="2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24,283</w:t>
            </w:r>
          </w:p>
        </w:tc>
        <w:tc>
          <w:tcPr>
            <w:tcW w:w="2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1,080,811</w:t>
            </w: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D’Loren</w:t>
            </w:r>
          </w:p>
        </w:tc>
        <w:tc>
          <w:tcPr>
            <w:tcW w:w="140" w:type="dxa"/>
            <w:vAlign w:val="bottom"/>
            <w:shd w:val="clear" w:color="auto" w:fill="CCEEFF"/>
          </w:tcPr>
          <w:p>
            <w:pPr>
              <w:spacing w:after="0"/>
              <w:rPr>
                <w:sz w:val="12"/>
                <w:szCs w:val="12"/>
                <w:color w:val="auto"/>
              </w:rPr>
            </w:pPr>
          </w:p>
        </w:tc>
        <w:tc>
          <w:tcPr>
            <w:tcW w:w="1140" w:type="dxa"/>
            <w:vAlign w:val="bottom"/>
            <w:gridSpan w:val="2"/>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vMerge w:val="continue"/>
            <w:shd w:val="clear" w:color="auto" w:fill="CCEEFF"/>
          </w:tcPr>
          <w:p>
            <w:pPr>
              <w:spacing w:after="0"/>
              <w:rPr>
                <w:sz w:val="12"/>
                <w:szCs w:val="12"/>
                <w:color w:val="auto"/>
              </w:rPr>
            </w:pPr>
          </w:p>
        </w:tc>
        <w:tc>
          <w:tcPr>
            <w:tcW w:w="240" w:type="dxa"/>
            <w:vAlign w:val="bottom"/>
            <w:gridSpan w:val="2"/>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660" w:type="dxa"/>
            <w:vAlign w:val="bottom"/>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260" w:type="dxa"/>
            <w:vAlign w:val="bottom"/>
            <w:gridSpan w:val="2"/>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220" w:type="dxa"/>
            <w:vAlign w:val="bottom"/>
            <w:gridSpan w:val="2"/>
            <w:vMerge w:val="continue"/>
            <w:shd w:val="clear" w:color="auto" w:fill="CCEEFF"/>
          </w:tcPr>
          <w:p>
            <w:pPr>
              <w:spacing w:after="0"/>
              <w:rPr>
                <w:sz w:val="12"/>
                <w:szCs w:val="12"/>
                <w:color w:val="auto"/>
              </w:rPr>
            </w:pPr>
          </w:p>
        </w:tc>
        <w:tc>
          <w:tcPr>
            <w:tcW w:w="86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2024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888,500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33,382</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14,374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936,256</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2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James F. Haran</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CFO</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2025</w:t>
            </w:r>
          </w:p>
        </w:tc>
        <w:tc>
          <w:tcPr>
            <w:tcW w:w="240" w:type="dxa"/>
            <w:vAlign w:val="bottom"/>
            <w:gridSpan w:val="2"/>
            <w:shd w:val="clear" w:color="auto" w:fill="CCEEFF"/>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366,000</w:t>
            </w:r>
          </w:p>
        </w:tc>
        <w:tc>
          <w:tcPr>
            <w:tcW w:w="30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22,864</w:t>
            </w:r>
          </w:p>
        </w:tc>
        <w:tc>
          <w:tcPr>
            <w:tcW w:w="26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1,154</w:t>
            </w:r>
          </w:p>
        </w:tc>
        <w:tc>
          <w:tcPr>
            <w:tcW w:w="2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390,018</w:t>
            </w:r>
          </w:p>
        </w:tc>
        <w:tc>
          <w:tcPr>
            <w:tcW w:w="0" w:type="dxa"/>
            <w:vAlign w:val="bottom"/>
          </w:tcPr>
          <w:p>
            <w:pPr>
              <w:spacing w:after="0"/>
              <w:rPr>
                <w:sz w:val="1"/>
                <w:szCs w:val="1"/>
                <w:color w:val="auto"/>
              </w:rPr>
            </w:pPr>
          </w:p>
        </w:tc>
      </w:tr>
      <w:tr>
        <w:trPr>
          <w:trHeight w:val="171"/>
        </w:trPr>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2024</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366,000</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769</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366,769</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92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4"/>
                <w:szCs w:val="14"/>
                <w:color w:val="auto"/>
              </w:rPr>
              <w:t>Seth Burroughs</w:t>
            </w: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60" w:type="dxa"/>
            <w:vAlign w:val="bottom"/>
            <w:shd w:val="clear" w:color="auto" w:fill="CCEEFF"/>
          </w:tcPr>
          <w:p>
            <w:pPr>
              <w:jc w:val="center"/>
              <w:ind w:right="8"/>
              <w:spacing w:after="0" w:line="126" w:lineRule="exact"/>
              <w:rPr>
                <w:sz w:val="20"/>
                <w:szCs w:val="20"/>
                <w:color w:val="auto"/>
              </w:rPr>
            </w:pPr>
            <w:r>
              <w:rPr>
                <w:rFonts w:ascii="Times New Roman" w:cs="Times New Roman" w:eastAsia="Times New Roman" w:hAnsi="Times New Roman"/>
                <w:sz w:val="14"/>
                <w:szCs w:val="14"/>
                <w:color w:val="auto"/>
              </w:rPr>
              <w:t>EVP - Business</w:t>
            </w: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2025</w:t>
            </w:r>
          </w:p>
        </w:tc>
        <w:tc>
          <w:tcPr>
            <w:tcW w:w="240" w:type="dxa"/>
            <w:vAlign w:val="bottom"/>
            <w:gridSpan w:val="2"/>
            <w:shd w:val="clear" w:color="auto" w:fill="CCEEFF"/>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277,067</w:t>
            </w:r>
          </w:p>
        </w:tc>
        <w:tc>
          <w:tcPr>
            <w:tcW w:w="300" w:type="dxa"/>
            <w:vAlign w:val="bottom"/>
            <w:gridSpan w:val="2"/>
            <w:shd w:val="clear" w:color="auto" w:fill="CCEEFF"/>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40"/>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6,580</w:t>
            </w:r>
          </w:p>
        </w:tc>
        <w:tc>
          <w:tcPr>
            <w:tcW w:w="18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19,471</w:t>
            </w:r>
          </w:p>
        </w:tc>
        <w:tc>
          <w:tcPr>
            <w:tcW w:w="26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44</w:t>
            </w:r>
          </w:p>
        </w:tc>
        <w:tc>
          <w:tcPr>
            <w:tcW w:w="2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303,162</w:t>
            </w:r>
          </w:p>
        </w:tc>
        <w:tc>
          <w:tcPr>
            <w:tcW w:w="0" w:type="dxa"/>
            <w:vAlign w:val="bottom"/>
          </w:tcPr>
          <w:p>
            <w:pPr>
              <w:spacing w:after="0"/>
              <w:rPr>
                <w:sz w:val="1"/>
                <w:szCs w:val="1"/>
                <w:color w:val="auto"/>
              </w:rPr>
            </w:pPr>
          </w:p>
        </w:tc>
      </w:tr>
      <w:tr>
        <w:trPr>
          <w:trHeight w:val="148"/>
        </w:trPr>
        <w:tc>
          <w:tcPr>
            <w:tcW w:w="9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jc w:val="center"/>
              <w:ind w:right="8"/>
              <w:spacing w:after="0" w:line="149" w:lineRule="exact"/>
              <w:rPr>
                <w:sz w:val="20"/>
                <w:szCs w:val="20"/>
                <w:color w:val="auto"/>
              </w:rPr>
            </w:pPr>
            <w:r>
              <w:rPr>
                <w:rFonts w:ascii="Times New Roman" w:cs="Times New Roman" w:eastAsia="Times New Roman" w:hAnsi="Times New Roman"/>
                <w:sz w:val="14"/>
                <w:szCs w:val="14"/>
                <w:color w:val="auto"/>
              </w:rPr>
              <w:t>Development</w:t>
            </w:r>
          </w:p>
        </w:tc>
        <w:tc>
          <w:tcPr>
            <w:tcW w:w="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2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2024</w:t>
            </w:r>
          </w:p>
        </w:tc>
        <w:tc>
          <w:tcPr>
            <w:tcW w:w="2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340,600</w:t>
            </w:r>
          </w:p>
        </w:tc>
        <w:tc>
          <w:tcPr>
            <w:tcW w:w="300" w:type="dxa"/>
            <w:vAlign w:val="bottom"/>
            <w:gridSpan w:val="2"/>
            <w:shd w:val="clear" w:color="auto" w:fill="CCEEFF"/>
          </w:tcPr>
          <w:p>
            <w:pPr>
              <w:jc w:val="right"/>
              <w:ind w:right="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340,600</w:t>
            </w:r>
          </w:p>
        </w:tc>
        <w:tc>
          <w:tcPr>
            <w:tcW w:w="0" w:type="dxa"/>
            <w:vAlign w:val="bottom"/>
          </w:tcPr>
          <w:p>
            <w:pPr>
              <w:spacing w:after="0"/>
              <w:rPr>
                <w:sz w:val="1"/>
                <w:szCs w:val="1"/>
                <w:color w:val="auto"/>
              </w:rPr>
            </w:pPr>
          </w:p>
        </w:tc>
      </w:tr>
      <w:tr>
        <w:trPr>
          <w:trHeight w:val="171"/>
        </w:trPr>
        <w:tc>
          <w:tcPr>
            <w:tcW w:w="9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and Treasury</w:t>
            </w: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9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left="380" w:right="79" w:hanging="330"/>
        <w:spacing w:after="0" w:line="261"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July 30, 2024 amendment of the employment agreements with Robert W. D’Loren’s and Seth Burroughs (see “Employment Agreements with Executives” in Item 10), commencing July 16, 2024, and through December 31, 2025 and August 31, 2025, respectively, 40% of each of Mr. D’Loren’s and Mr. Burrough’s salary was paid in shares of the Company’s common stock rather than in cash.</w:t>
      </w:r>
    </w:p>
    <w:p>
      <w:pPr>
        <w:spacing w:after="0" w:line="139" w:lineRule="exact"/>
        <w:rPr>
          <w:rFonts w:ascii="Times New Roman" w:cs="Times New Roman" w:eastAsia="Times New Roman" w:hAnsi="Times New Roman"/>
          <w:sz w:val="18"/>
          <w:szCs w:val="18"/>
          <w:color w:val="auto"/>
        </w:rPr>
      </w:pPr>
    </w:p>
    <w:p>
      <w:pPr>
        <w:jc w:val="both"/>
        <w:ind w:left="380" w:right="7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compensation paid to Mr. D’Loren in stock in 2024 was $162,892, which amounted to 24,037 shares on a gross basis (12,933 shares issued on a net basis, after the exchange of shares for withholding taxes). Salary compensation paid to Mr. D’Loren in stock in 2025 was $325,783, which amounted to 189,801 shares on a gross basis (101,005 shares issued on a net basis, after the exchange of shares for withholding taxes).</w:t>
      </w:r>
    </w:p>
    <w:p>
      <w:pPr>
        <w:spacing w:after="0" w:line="152" w:lineRule="exact"/>
        <w:rPr>
          <w:rFonts w:ascii="Times New Roman" w:cs="Times New Roman" w:eastAsia="Times New Roman" w:hAnsi="Times New Roman"/>
          <w:sz w:val="18"/>
          <w:szCs w:val="18"/>
          <w:color w:val="auto"/>
        </w:rPr>
      </w:pPr>
    </w:p>
    <w:p>
      <w:pPr>
        <w:jc w:val="both"/>
        <w:ind w:left="380" w:right="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compensation paid to Mr. Burroughs in stock in 2024 was $62,443, which amounted to 9,213 shares on a gross basis (4,569 shares issued on a net basis, after the exchange of shares for withholding taxes). Salary compensation paid to Mr. Burroughs in stock in 2025 was $90,827, which amounted to 45,219 shares on a gross basis (20,993 shares on a net basis, after the exchange of shares for withholding taxes).</w:t>
      </w:r>
    </w:p>
    <w:p>
      <w:pPr>
        <w:spacing w:after="0" w:line="139" w:lineRule="exact"/>
        <w:rPr>
          <w:rFonts w:ascii="Times New Roman" w:cs="Times New Roman" w:eastAsia="Times New Roman" w:hAnsi="Times New Roman"/>
          <w:sz w:val="18"/>
          <w:szCs w:val="18"/>
          <w:color w:val="auto"/>
        </w:rPr>
      </w:pPr>
    </w:p>
    <w:p>
      <w:pPr>
        <w:jc w:val="both"/>
        <w:ind w:left="380" w:right="79" w:hanging="330"/>
        <w:spacing w:after="0" w:line="261"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D’Loren’s salary amount for 2024 includes the amount of a voluntary temporary deferral of salary of $125,000, which was earned by Mr. D’Loren and accrued at December 31, 2024 and was paid to Mr. D’Loren in 2025. Mr. D’Loren’s salary amount for 2025 includes $29,617 of compensation which was accrued but not paid at December 31, 2025, and was paid in stock in 2026.</w:t>
      </w:r>
    </w:p>
    <w:p>
      <w:pPr>
        <w:spacing w:after="0" w:line="139" w:lineRule="exact"/>
        <w:rPr>
          <w:rFonts w:ascii="Times New Roman" w:cs="Times New Roman" w:eastAsia="Times New Roman" w:hAnsi="Times New Roman"/>
          <w:sz w:val="18"/>
          <w:szCs w:val="18"/>
          <w:color w:val="auto"/>
        </w:rPr>
      </w:pPr>
    </w:p>
    <w:p>
      <w:pPr>
        <w:ind w:left="380" w:hanging="330"/>
        <w:spacing w:after="0"/>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September 1, 2025, Mr. Burroughs’ salary was reduced to $150,000.</w:t>
      </w:r>
    </w:p>
    <w:p>
      <w:pPr>
        <w:spacing w:after="0" w:line="198" w:lineRule="exact"/>
        <w:rPr>
          <w:rFonts w:ascii="Times New Roman" w:cs="Times New Roman" w:eastAsia="Times New Roman" w:hAnsi="Times New Roman"/>
          <w:sz w:val="18"/>
          <w:szCs w:val="18"/>
          <w:color w:val="auto"/>
        </w:rPr>
      </w:pPr>
    </w:p>
    <w:p>
      <w:pPr>
        <w:ind w:left="380" w:right="79" w:hanging="330"/>
        <w:spacing w:after="0" w:line="282" w:lineRule="auto"/>
        <w:tabs>
          <w:tab w:leader="none" w:pos="3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Bonuses include amounts paid in accordance with the executives’ respective employment agreements (see “Employment Agreements with Executives” in Item 10).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3" w:name="page104"/>
    <w:bookmarkEnd w:id="10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380" w:right="79" w:hanging="330"/>
        <w:spacing w:after="0" w:line="266" w:lineRule="auto"/>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D’Loren was granted 8,750 and 25,000 shares of restricted stock on May 28, 2025 and December 3, 2025, respectively, all of which vested immediately. Mr. Burroughs was granted 2,500 shares of restricted stock on May 28, 2025, all of which vested immediately.</w:t>
      </w:r>
    </w:p>
    <w:p>
      <w:pPr>
        <w:spacing w:after="0" w:line="148"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28, 2025, the Company granted Messrs. D’Loren and Burroughs options to purchase 8,750 and 2,500 shares of common stock, respectively. The exercise price of the options is $2.6321 per share, and the options vested immediately upon grant.</w:t>
      </w:r>
    </w:p>
    <w:p>
      <w:pPr>
        <w:spacing w:after="0" w:line="135" w:lineRule="exact"/>
        <w:rPr>
          <w:rFonts w:ascii="Times New Roman" w:cs="Times New Roman" w:eastAsia="Times New Roman" w:hAnsi="Times New Roman"/>
          <w:sz w:val="18"/>
          <w:szCs w:val="18"/>
          <w:color w:val="auto"/>
        </w:rPr>
      </w:pPr>
    </w:p>
    <w:p>
      <w:pPr>
        <w:jc w:val="both"/>
        <w:ind w:left="380" w:right="59"/>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 2025, the Company granted options to purchase an aggregate of 340,201 shares of common stock to certain members of executive management: 250,674 to Mr. D’Loren, 53,716 to Mr. Haran, and 35,811 to Mr. Burroughs. The exercise price of the options is $0.94 per share, and the vesting of such options is dependent upon the Company’s common stock achieving certain specified stock trading prices.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Outstanding Equity Awards as of December 31, 2025</w:t>
      </w: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4"/>
                <w:szCs w:val="14"/>
                <w:b w:val="1"/>
                <w:bCs w:val="1"/>
                <w:color w:val="auto"/>
              </w:rPr>
              <w:t>Options and Warrant Awards</w:t>
            </w: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60" w:type="dxa"/>
            <w:vAlign w:val="bottom"/>
            <w:tcBorders>
              <w:bottom w:val="single" w:sz="8" w:color="auto"/>
            </w:tcBorders>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4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60" w:type="dxa"/>
            <w:vAlign w:val="bottom"/>
          </w:tcPr>
          <w:p>
            <w:pPr>
              <w:spacing w:after="0"/>
              <w:rPr>
                <w:sz w:val="10"/>
                <w:szCs w:val="10"/>
                <w:color w:val="auto"/>
              </w:rPr>
            </w:pPr>
          </w:p>
        </w:tc>
        <w:tc>
          <w:tcPr>
            <w:tcW w:w="8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gridSpan w:val="2"/>
            <w:vMerge w:val="restart"/>
          </w:tcPr>
          <w:p>
            <w:pPr>
              <w:jc w:val="center"/>
              <w:ind w:right="129"/>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 or</w:t>
            </w:r>
          </w:p>
        </w:tc>
        <w:tc>
          <w:tcPr>
            <w:tcW w:w="16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89"/>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89"/>
              <w:spacing w:after="0" w:line="149" w:lineRule="exact"/>
              <w:rPr>
                <w:sz w:val="20"/>
                <w:szCs w:val="20"/>
                <w:color w:val="auto"/>
              </w:rPr>
            </w:pPr>
            <w:r>
              <w:rPr>
                <w:rFonts w:ascii="Times New Roman" w:cs="Times New Roman" w:eastAsia="Times New Roman" w:hAnsi="Times New Roman"/>
                <w:sz w:val="14"/>
                <w:szCs w:val="14"/>
                <w:b w:val="1"/>
                <w:bCs w:val="1"/>
                <w:color w:val="auto"/>
              </w:rPr>
              <w:t>Shares of</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&amp;</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&amp;</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100" w:type="dxa"/>
            <w:vAlign w:val="bottom"/>
          </w:tcPr>
          <w:p>
            <w:pPr>
              <w:spacing w:after="0"/>
              <w:rPr>
                <w:sz w:val="12"/>
                <w:szCs w:val="12"/>
                <w:color w:val="auto"/>
              </w:rPr>
            </w:pPr>
          </w:p>
        </w:tc>
        <w:tc>
          <w:tcPr>
            <w:tcW w:w="700" w:type="dxa"/>
            <w:vAlign w:val="bottom"/>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Warrant</w:t>
            </w:r>
          </w:p>
        </w:tc>
        <w:tc>
          <w:tcPr>
            <w:tcW w:w="1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 that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48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Pr>
          <w:p>
            <w:pPr>
              <w:spacing w:after="0"/>
              <w:rPr>
                <w:sz w:val="12"/>
                <w:szCs w:val="12"/>
                <w:color w:val="auto"/>
              </w:rPr>
            </w:pPr>
          </w:p>
        </w:tc>
        <w:tc>
          <w:tcPr>
            <w:tcW w:w="980" w:type="dxa"/>
            <w:vAlign w:val="bottom"/>
            <w:vMerge w:val="restart"/>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w w:val="99"/>
              </w:rPr>
              <w:t>Title</w:t>
            </w:r>
          </w:p>
        </w:tc>
        <w:tc>
          <w:tcPr>
            <w:tcW w:w="160" w:type="dxa"/>
            <w:vAlign w:val="bottom"/>
          </w:tcPr>
          <w:p>
            <w:pPr>
              <w:spacing w:after="0"/>
              <w:rPr>
                <w:sz w:val="12"/>
                <w:szCs w:val="12"/>
                <w:color w:val="auto"/>
              </w:rPr>
            </w:pPr>
          </w:p>
        </w:tc>
        <w:tc>
          <w:tcPr>
            <w:tcW w:w="78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1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gridSpan w:val="3"/>
            <w:vMerge w:val="continue"/>
          </w:tcPr>
          <w:p>
            <w:pPr>
              <w:spacing w:after="0"/>
              <w:rPr>
                <w:sz w:val="12"/>
                <w:szCs w:val="12"/>
                <w:color w:val="auto"/>
              </w:rPr>
            </w:pPr>
          </w:p>
        </w:tc>
        <w:tc>
          <w:tcPr>
            <w:tcW w:w="8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300" w:type="dxa"/>
            <w:vAlign w:val="bottom"/>
            <w:gridSpan w:val="2"/>
            <w:vMerge w:val="restart"/>
          </w:tcPr>
          <w:p>
            <w:pPr>
              <w:jc w:val="right"/>
              <w:ind w:right="63"/>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center"/>
              <w:ind w:right="109"/>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300" w:type="dxa"/>
            <w:vAlign w:val="bottom"/>
            <w:gridSpan w:val="2"/>
            <w:vMerge w:val="continue"/>
          </w:tcPr>
          <w:p>
            <w:pPr>
              <w:spacing w:after="0"/>
              <w:rPr>
                <w:sz w:val="15"/>
                <w:szCs w:val="15"/>
                <w:color w:val="auto"/>
              </w:rPr>
            </w:pPr>
          </w:p>
        </w:tc>
        <w:tc>
          <w:tcPr>
            <w:tcW w:w="360" w:type="dxa"/>
            <w:vAlign w:val="bottom"/>
          </w:tcPr>
          <w:p>
            <w:pPr>
              <w:spacing w:after="0"/>
              <w:rPr>
                <w:sz w:val="15"/>
                <w:szCs w:val="15"/>
                <w:color w:val="auto"/>
              </w:rPr>
            </w:pPr>
          </w:p>
        </w:tc>
        <w:tc>
          <w:tcPr>
            <w:tcW w:w="980" w:type="dxa"/>
            <w:vAlign w:val="bottom"/>
            <w:vMerge w:val="continue"/>
          </w:tcPr>
          <w:p>
            <w:pPr>
              <w:spacing w:after="0"/>
              <w:rPr>
                <w:sz w:val="15"/>
                <w:szCs w:val="15"/>
                <w:color w:val="auto"/>
              </w:rPr>
            </w:pPr>
          </w:p>
        </w:tc>
        <w:tc>
          <w:tcPr>
            <w:tcW w:w="9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Exercisable</w:t>
            </w:r>
          </w:p>
        </w:tc>
        <w:tc>
          <w:tcPr>
            <w:tcW w:w="1340" w:type="dxa"/>
            <w:vAlign w:val="bottom"/>
            <w:gridSpan w:val="6"/>
          </w:tcPr>
          <w:p>
            <w:pPr>
              <w:jc w:val="right"/>
              <w:ind w:right="36"/>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Unexercisable</w:t>
            </w:r>
            <w:r>
              <w:rPr>
                <w:rFonts w:ascii="Times New Roman" w:cs="Times New Roman" w:eastAsia="Times New Roman" w:hAnsi="Times New Roman"/>
                <w:sz w:val="14"/>
                <w:szCs w:val="14"/>
                <w:color w:val="auto"/>
              </w:rPr>
              <w:t xml:space="preserve"> ​​​</w:t>
            </w:r>
          </w:p>
        </w:tc>
        <w:tc>
          <w:tcPr>
            <w:tcW w:w="5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Price</w:t>
            </w: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b w:val="1"/>
                <w:bCs w:val="1"/>
                <w:color w:val="auto"/>
              </w:rPr>
              <w:t>Date</w:t>
            </w:r>
          </w:p>
        </w:tc>
        <w:tc>
          <w:tcPr>
            <w:tcW w:w="160" w:type="dxa"/>
            <w:vAlign w:val="bottom"/>
            <w:vMerge w:val="continue"/>
          </w:tcPr>
          <w:p>
            <w:pPr>
              <w:spacing w:after="0"/>
              <w:rPr>
                <w:sz w:val="15"/>
                <w:szCs w:val="15"/>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300" w:type="dxa"/>
            <w:vAlign w:val="bottom"/>
            <w:gridSpan w:val="2"/>
            <w:vMerge w:val="continue"/>
          </w:tcPr>
          <w:p>
            <w:pPr>
              <w:spacing w:after="0"/>
              <w:rPr>
                <w:sz w:val="15"/>
                <w:szCs w:val="15"/>
                <w:color w:val="auto"/>
              </w:rPr>
            </w:pPr>
          </w:p>
        </w:tc>
        <w:tc>
          <w:tcPr>
            <w:tcW w:w="920" w:type="dxa"/>
            <w:vAlign w:val="bottom"/>
            <w:gridSpan w:val="2"/>
          </w:tcPr>
          <w:p>
            <w:pPr>
              <w:jc w:val="center"/>
              <w:ind w:right="89"/>
              <w:spacing w:after="0"/>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156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Robert W. D’Loren</w:t>
            </w: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1340" w:type="dxa"/>
            <w:vAlign w:val="bottom"/>
            <w:tcBorders>
              <w:top w:val="single" w:sz="8" w:color="auto"/>
            </w:tcBorders>
            <w:gridSpan w:val="2"/>
            <w:shd w:val="clear" w:color="auto" w:fill="CCEEFF"/>
          </w:tcPr>
          <w:p>
            <w:pPr>
              <w:jc w:val="center"/>
              <w:ind w:right="88"/>
              <w:spacing w:after="0" w:line="119" w:lineRule="exact"/>
              <w:rPr>
                <w:sz w:val="20"/>
                <w:szCs w:val="20"/>
                <w:color w:val="auto"/>
              </w:rPr>
            </w:pPr>
            <w:r>
              <w:rPr>
                <w:rFonts w:ascii="Times New Roman" w:cs="Times New Roman" w:eastAsia="Times New Roman" w:hAnsi="Times New Roman"/>
                <w:sz w:val="13"/>
                <w:szCs w:val="13"/>
                <w:color w:val="auto"/>
              </w:rPr>
              <w:t>CEO, Chairman</w:t>
            </w:r>
          </w:p>
        </w:tc>
        <w:tc>
          <w:tcPr>
            <w:tcW w:w="160" w:type="dxa"/>
            <w:vAlign w:val="bottom"/>
            <w:tcBorders>
              <w:top w:val="single" w:sz="8" w:color="CCEEFF"/>
            </w:tcBorders>
            <w:shd w:val="clear" w:color="auto" w:fill="CCEEFF"/>
          </w:tcPr>
          <w:p>
            <w:pPr>
              <w:spacing w:after="0"/>
              <w:rPr>
                <w:sz w:val="10"/>
                <w:szCs w:val="10"/>
                <w:color w:val="auto"/>
              </w:rPr>
            </w:pPr>
          </w:p>
        </w:tc>
        <w:tc>
          <w:tcPr>
            <w:tcW w:w="780" w:type="dxa"/>
            <w:vAlign w:val="bottom"/>
            <w:tcBorders>
              <w:top w:val="single" w:sz="8" w:color="auto"/>
            </w:tcBorders>
            <w:shd w:val="clear" w:color="auto" w:fill="CCEEFF"/>
          </w:tcPr>
          <w:p>
            <w:pPr>
              <w:ind w:left="5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86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257,895</w:t>
            </w:r>
          </w:p>
        </w:tc>
        <w:tc>
          <w:tcPr>
            <w:tcW w:w="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w w:val="92"/>
              </w:rPr>
              <w:t>(1)</w:t>
            </w:r>
          </w:p>
        </w:tc>
        <w:tc>
          <w:tcPr>
            <w:tcW w:w="2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jc w:val="right"/>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46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17.20</w:t>
            </w:r>
          </w:p>
        </w:tc>
        <w:tc>
          <w:tcPr>
            <w:tcW w:w="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ind w:left="40"/>
              <w:spacing w:after="0" w:line="119" w:lineRule="exact"/>
              <w:rPr>
                <w:sz w:val="20"/>
                <w:szCs w:val="20"/>
                <w:color w:val="auto"/>
              </w:rPr>
            </w:pPr>
            <w:r>
              <w:rPr>
                <w:rFonts w:ascii="Times New Roman" w:cs="Times New Roman" w:eastAsia="Times New Roman" w:hAnsi="Times New Roman"/>
                <w:sz w:val="13"/>
                <w:szCs w:val="13"/>
                <w:color w:val="auto"/>
              </w:rPr>
              <w:t>2/28/2029</w:t>
            </w:r>
          </w:p>
        </w:tc>
        <w:tc>
          <w:tcPr>
            <w:tcW w:w="160" w:type="dxa"/>
            <w:vAlign w:val="bottom"/>
            <w:tcBorders>
              <w:top w:val="single" w:sz="8" w:color="CCEEFF"/>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w w:val="92"/>
              </w:rPr>
              <w:t>(2)</w:t>
            </w:r>
          </w:p>
        </w:tc>
        <w:tc>
          <w:tcPr>
            <w:tcW w:w="72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jc w:val="right"/>
              <w:ind w:right="23"/>
              <w:spacing w:after="0" w:line="120"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shd w:val="clear" w:color="auto" w:fill="CCEEFF"/>
          </w:tcPr>
          <w:p>
            <w:pPr>
              <w:spacing w:after="0"/>
              <w:rPr>
                <w:sz w:val="10"/>
                <w:szCs w:val="10"/>
                <w:color w:val="auto"/>
              </w:rPr>
            </w:pPr>
          </w:p>
        </w:tc>
        <w:tc>
          <w:tcPr>
            <w:tcW w:w="480" w:type="dxa"/>
            <w:vAlign w:val="bottom"/>
            <w:tcBorders>
              <w:top w:val="single" w:sz="8" w:color="auto"/>
            </w:tcBorders>
            <w:shd w:val="clear" w:color="auto" w:fill="CCEEFF"/>
          </w:tcPr>
          <w:p>
            <w:pPr>
              <w:ind w:left="280"/>
              <w:spacing w:after="0" w:line="119"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250,674</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12/3/2030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gridSpan w:val="2"/>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56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James F. Haran</w:t>
            </w: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980" w:type="dxa"/>
            <w:vAlign w:val="bottom"/>
          </w:tcPr>
          <w:p>
            <w:pPr>
              <w:jc w:val="center"/>
              <w:ind w:right="428"/>
              <w:spacing w:after="0" w:line="126" w:lineRule="exact"/>
              <w:rPr>
                <w:sz w:val="20"/>
                <w:szCs w:val="20"/>
                <w:color w:val="auto"/>
              </w:rPr>
            </w:pPr>
            <w:r>
              <w:rPr>
                <w:rFonts w:ascii="Times New Roman" w:cs="Times New Roman" w:eastAsia="Times New Roman" w:hAnsi="Times New Roman"/>
                <w:sz w:val="14"/>
                <w:szCs w:val="14"/>
                <w:color w:val="auto"/>
              </w:rPr>
              <w:t>CFO</w:t>
            </w:r>
          </w:p>
        </w:tc>
        <w:tc>
          <w:tcPr>
            <w:tcW w:w="160" w:type="dxa"/>
            <w:vAlign w:val="bottom"/>
          </w:tcPr>
          <w:p>
            <w:pPr>
              <w:spacing w:after="0"/>
              <w:rPr>
                <w:sz w:val="10"/>
                <w:szCs w:val="10"/>
                <w:color w:val="auto"/>
              </w:rPr>
            </w:pPr>
          </w:p>
        </w:tc>
        <w:tc>
          <w:tcPr>
            <w:tcW w:w="780" w:type="dxa"/>
            <w:vAlign w:val="bottom"/>
          </w:tcPr>
          <w:p>
            <w:pPr>
              <w:ind w:left="5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55,263</w:t>
            </w:r>
          </w:p>
        </w:tc>
        <w:tc>
          <w:tcPr>
            <w:tcW w:w="20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17.20</w:t>
            </w:r>
          </w:p>
        </w:tc>
        <w:tc>
          <w:tcPr>
            <w:tcW w:w="60" w:type="dxa"/>
            <w:vAlign w:val="bottom"/>
          </w:tcPr>
          <w:p>
            <w:pPr>
              <w:spacing w:after="0"/>
              <w:rPr>
                <w:sz w:val="10"/>
                <w:szCs w:val="10"/>
                <w:color w:val="auto"/>
              </w:rPr>
            </w:pPr>
          </w:p>
        </w:tc>
        <w:tc>
          <w:tcPr>
            <w:tcW w:w="960" w:type="dxa"/>
            <w:vAlign w:val="bottom"/>
            <w:gridSpan w:val="3"/>
          </w:tcPr>
          <w:p>
            <w:pPr>
              <w:ind w:left="140"/>
              <w:spacing w:after="0" w:line="126" w:lineRule="exact"/>
              <w:rPr>
                <w:sz w:val="20"/>
                <w:szCs w:val="20"/>
                <w:color w:val="auto"/>
              </w:rPr>
            </w:pPr>
            <w:r>
              <w:rPr>
                <w:rFonts w:ascii="Times New Roman" w:cs="Times New Roman" w:eastAsia="Times New Roman" w:hAnsi="Times New Roman"/>
                <w:sz w:val="14"/>
                <w:szCs w:val="14"/>
                <w:color w:val="auto"/>
              </w:rPr>
              <w:t>2/28/2029 (2)</w:t>
            </w:r>
          </w:p>
        </w:tc>
        <w:tc>
          <w:tcPr>
            <w:tcW w:w="72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23"/>
              <w:spacing w:after="0" w:line="126"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0"/>
                <w:szCs w:val="10"/>
                <w:color w:val="auto"/>
              </w:rPr>
            </w:pPr>
          </w:p>
        </w:tc>
        <w:tc>
          <w:tcPr>
            <w:tcW w:w="480" w:type="dxa"/>
            <w:vAlign w:val="bottom"/>
          </w:tcPr>
          <w:p>
            <w:pPr>
              <w:ind w:lef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53,716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60" w:type="dxa"/>
            <w:vAlign w:val="bottom"/>
          </w:tcPr>
          <w:p>
            <w:pPr>
              <w:spacing w:after="0"/>
              <w:rPr>
                <w:sz w:val="16"/>
                <w:szCs w:val="16"/>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color w:val="auto"/>
              </w:rPr>
              <w:t>12/3/2030</w:t>
            </w: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gridSpan w:val="2"/>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156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Seth Burroughs</w:t>
            </w:r>
          </w:p>
        </w:tc>
        <w:tc>
          <w:tcPr>
            <w:tcW w:w="160" w:type="dxa"/>
            <w:vAlign w:val="bottom"/>
            <w:shd w:val="clear" w:color="auto" w:fill="CCEEFF"/>
          </w:tcPr>
          <w:p>
            <w:pPr>
              <w:spacing w:after="0"/>
              <w:rPr>
                <w:sz w:val="10"/>
                <w:szCs w:val="10"/>
                <w:color w:val="auto"/>
              </w:rPr>
            </w:pPr>
          </w:p>
        </w:tc>
        <w:tc>
          <w:tcPr>
            <w:tcW w:w="1480" w:type="dxa"/>
            <w:vAlign w:val="bottom"/>
            <w:gridSpan w:val="3"/>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EVP - Bus. Development</w:t>
            </w:r>
          </w:p>
        </w:tc>
        <w:tc>
          <w:tcPr>
            <w:tcW w:w="160" w:type="dxa"/>
            <w:vAlign w:val="bottom"/>
            <w:shd w:val="clear" w:color="auto" w:fill="CCEEFF"/>
          </w:tcPr>
          <w:p>
            <w:pPr>
              <w:spacing w:after="0"/>
              <w:rPr>
                <w:sz w:val="10"/>
                <w:szCs w:val="10"/>
                <w:color w:val="auto"/>
              </w:rPr>
            </w:pPr>
          </w:p>
        </w:tc>
        <w:tc>
          <w:tcPr>
            <w:tcW w:w="780" w:type="dxa"/>
            <w:vAlign w:val="bottom"/>
            <w:shd w:val="clear" w:color="auto" w:fill="CCEEFF"/>
          </w:tcPr>
          <w:p>
            <w:pPr>
              <w:ind w:left="5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36,842</w:t>
            </w:r>
          </w:p>
        </w:tc>
        <w:tc>
          <w:tcPr>
            <w:tcW w:w="20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w:t>
            </w:r>
          </w:p>
        </w:tc>
        <w:tc>
          <w:tcPr>
            <w:tcW w:w="120" w:type="dxa"/>
            <w:vAlign w:val="bottom"/>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17.20</w:t>
            </w:r>
          </w:p>
        </w:tc>
        <w:tc>
          <w:tcPr>
            <w:tcW w:w="60" w:type="dxa"/>
            <w:vAlign w:val="bottom"/>
            <w:shd w:val="clear" w:color="auto" w:fill="CCEEFF"/>
          </w:tcPr>
          <w:p>
            <w:pPr>
              <w:spacing w:after="0"/>
              <w:rPr>
                <w:sz w:val="10"/>
                <w:szCs w:val="10"/>
                <w:color w:val="auto"/>
              </w:rPr>
            </w:pPr>
          </w:p>
        </w:tc>
        <w:tc>
          <w:tcPr>
            <w:tcW w:w="960" w:type="dxa"/>
            <w:vAlign w:val="bottom"/>
            <w:gridSpan w:val="3"/>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2/28/2029 (2)</w:t>
            </w:r>
          </w:p>
        </w:tc>
        <w:tc>
          <w:tcPr>
            <w:tcW w:w="720" w:type="dxa"/>
            <w:vAlign w:val="bottom"/>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23"/>
              <w:spacing w:after="0" w:line="126" w:lineRule="exact"/>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0"/>
                <w:szCs w:val="10"/>
                <w:color w:val="auto"/>
              </w:rPr>
            </w:pPr>
          </w:p>
        </w:tc>
        <w:tc>
          <w:tcPr>
            <w:tcW w:w="480" w:type="dxa"/>
            <w:vAlign w:val="bottom"/>
            <w:shd w:val="clear" w:color="auto" w:fill="CCEEFF"/>
          </w:tcPr>
          <w:p>
            <w:pPr>
              <w:ind w:left="2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center"/>
              <w:ind w:right="88"/>
              <w:spacing w:after="0"/>
              <w:rPr>
                <w:sz w:val="20"/>
                <w:szCs w:val="20"/>
                <w:color w:val="auto"/>
              </w:rPr>
            </w:pPr>
            <w:r>
              <w:rPr>
                <w:rFonts w:ascii="Times New Roman" w:cs="Times New Roman" w:eastAsia="Times New Roman" w:hAnsi="Times New Roman"/>
                <w:sz w:val="14"/>
                <w:szCs w:val="14"/>
                <w:color w:val="auto"/>
              </w:rPr>
              <w:t>&amp; Treasury</w:t>
            </w: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35,811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0.94</w:t>
            </w:r>
          </w:p>
        </w:tc>
        <w:tc>
          <w:tcPr>
            <w:tcW w:w="60" w:type="dxa"/>
            <w:vAlign w:val="bottom"/>
            <w:shd w:val="clear" w:color="auto" w:fill="CCEEFF"/>
          </w:tcPr>
          <w:p>
            <w:pPr>
              <w:spacing w:after="0"/>
              <w:rPr>
                <w:sz w:val="14"/>
                <w:szCs w:val="14"/>
                <w:color w:val="auto"/>
              </w:rPr>
            </w:pPr>
          </w:p>
        </w:tc>
        <w:tc>
          <w:tcPr>
            <w:tcW w:w="8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12/3/2030</w:t>
            </w: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4"/>
                <w:szCs w:val="14"/>
                <w:color w:val="auto"/>
              </w:rPr>
            </w:pPr>
          </w:p>
        </w:tc>
        <w:tc>
          <w:tcPr>
            <w:tcW w:w="4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156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44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options shall become exercisable based upon the Company’s common stock achieving specified target prices.</w:t>
      </w:r>
    </w:p>
    <w:p>
      <w:pPr>
        <w:spacing w:after="0" w:line="225"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January 21, 2026, these stock options were cancelled through mutual agreement between the Company and the respective executives. None of these options had vested, and no compensation was paid to the executives in exchange for such cancellation.</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Clawback Policy</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Board has adopted a clawback policy which allows us to recover performance-based compensation, whether cash or equity, from a current or former executive officer in the event of an Accounting Restatement. The clawback policy defines an Accounting Restatement as an accounting restatement of our financial statements due to our material noncompliance with any financial reporting requirement under the securities laws. Under such policy, we may recoup incentive-based compensation previously received by an executive officer that exceeds the amount of incentive-based compensation that otherwise would have been received had it been determined based on the restated amounts in the Accounting Restatement.</w:t>
      </w:r>
    </w:p>
    <w:p>
      <w:pPr>
        <w:spacing w:after="0" w:line="187"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Board has the sole discretion to determine the form and timing of the recovery, which may include repayment, forfeiture, and/or an adjustment to future performance-based compensation payouts or awards. The remedies under the clawback policy are in addition to, and not in lieu of, any legal and equitable claims available to the Company. The clawback policy is annexed to this Annual Report as an exhibit.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4" w:name="page105"/>
    <w:bookmarkEnd w:id="10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generally pay our non-employee directors $3,000 for each board of directors and committee meeting attended, up to a maximum of $12,000 per year for board of directors’ meetings and up to a maximum of $12,000 per year for committee meetings, except that the chairman of each committee receives $4,000 for each such committee meeting attended, up to a maximum of $16,000 per year.</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following table sets forth information with respect to each non-employee director’s compensation for the year ended December 31, 2025. The dollar amounts shown for Stock Awards represent the grant date fair value of the restricted stock awards or stock options granted during the fiscal year calculated in accordance with ASC Topic 718.</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Fees Earned</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vMerge w:val="restart"/>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0" w:type="dxa"/>
            <w:vAlign w:val="bottom"/>
            <w:vMerge w:val="restart"/>
          </w:tcPr>
          <w:p>
            <w:pPr>
              <w:ind w:left="16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34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Pr>
          <w:p>
            <w:pPr>
              <w:jc w:val="center"/>
              <w:ind w:right="78"/>
              <w:spacing w:after="0" w:line="149" w:lineRule="exact"/>
              <w:rPr>
                <w:sz w:val="20"/>
                <w:szCs w:val="20"/>
                <w:color w:val="auto"/>
              </w:rPr>
            </w:pPr>
            <w:r>
              <w:rPr>
                <w:rFonts w:ascii="Times New Roman" w:cs="Times New Roman" w:eastAsia="Times New Roman" w:hAnsi="Times New Roman"/>
                <w:sz w:val="14"/>
                <w:szCs w:val="14"/>
                <w:b w:val="1"/>
                <w:bCs w:val="1"/>
                <w:color w:val="auto"/>
              </w:rPr>
              <w:t>or Paid</w:t>
            </w:r>
          </w:p>
        </w:tc>
        <w:tc>
          <w:tcPr>
            <w:tcW w:w="420" w:type="dxa"/>
            <w:vAlign w:val="bottom"/>
            <w:gridSpan w:val="2"/>
            <w:vMerge w:val="restart"/>
          </w:tcPr>
          <w:p>
            <w:pPr>
              <w:jc w:val="right"/>
              <w:ind w:right="136"/>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continue"/>
          </w:tcPr>
          <w:p>
            <w:pPr>
              <w:spacing w:after="0"/>
              <w:rPr>
                <w:sz w:val="12"/>
                <w:szCs w:val="12"/>
                <w:color w:val="auto"/>
              </w:rPr>
            </w:pPr>
          </w:p>
        </w:tc>
        <w:tc>
          <w:tcPr>
            <w:tcW w:w="400" w:type="dxa"/>
            <w:vAlign w:val="bottom"/>
            <w:gridSpan w:val="2"/>
            <w:vMerge w:val="restart"/>
          </w:tcPr>
          <w:p>
            <w:pPr>
              <w:jc w:val="right"/>
              <w:ind w:right="136"/>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vMerge w:val="continue"/>
          </w:tcPr>
          <w:p>
            <w:pPr>
              <w:spacing w:after="0"/>
              <w:rPr>
                <w:sz w:val="12"/>
                <w:szCs w:val="12"/>
                <w:color w:val="auto"/>
              </w:rPr>
            </w:pPr>
          </w:p>
        </w:tc>
        <w:tc>
          <w:tcPr>
            <w:tcW w:w="440" w:type="dxa"/>
            <w:vAlign w:val="bottom"/>
            <w:gridSpan w:val="2"/>
            <w:vMerge w:val="restart"/>
          </w:tcPr>
          <w:p>
            <w:pPr>
              <w:jc w:val="right"/>
              <w:ind w:right="176"/>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60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9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in Cash</w:t>
            </w:r>
          </w:p>
        </w:tc>
        <w:tc>
          <w:tcPr>
            <w:tcW w:w="420" w:type="dxa"/>
            <w:vAlign w:val="bottom"/>
            <w:gridSpan w:val="2"/>
            <w:vMerge w:val="continue"/>
          </w:tcPr>
          <w:p>
            <w:pPr>
              <w:spacing w:after="0"/>
              <w:rPr>
                <w:sz w:val="15"/>
                <w:szCs w:val="15"/>
                <w:color w:val="auto"/>
              </w:rPr>
            </w:pPr>
          </w:p>
        </w:tc>
        <w:tc>
          <w:tcPr>
            <w:tcW w:w="920" w:type="dxa"/>
            <w:vAlign w:val="bottom"/>
          </w:tcPr>
          <w:p>
            <w:pPr>
              <w:jc w:val="center"/>
              <w:ind w:right="136"/>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400" w:type="dxa"/>
            <w:vAlign w:val="bottom"/>
            <w:gridSpan w:val="2"/>
            <w:vMerge w:val="continue"/>
          </w:tcPr>
          <w:p>
            <w:pPr>
              <w:spacing w:after="0"/>
              <w:rPr>
                <w:sz w:val="15"/>
                <w:szCs w:val="15"/>
                <w:color w:val="auto"/>
              </w:rPr>
            </w:pPr>
          </w:p>
        </w:tc>
        <w:tc>
          <w:tcPr>
            <w:tcW w:w="92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44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 DiSanto (1) (2)</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52,140</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32,209</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93,349</w:t>
            </w:r>
          </w:p>
        </w:tc>
        <w:tc>
          <w:tcPr>
            <w:tcW w:w="0" w:type="dxa"/>
            <w:vAlign w:val="bottom"/>
          </w:tcPr>
          <w:p>
            <w:pPr>
              <w:spacing w:after="0"/>
              <w:rPr>
                <w:sz w:val="1"/>
                <w:szCs w:val="1"/>
                <w:color w:val="auto"/>
              </w:rPr>
            </w:pP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Howard Liebman (1) (2)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26,000</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13,552</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21,640</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61,192</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Deborah Weinswig (1) (2)</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w:t>
            </w:r>
          </w:p>
        </w:tc>
        <w:tc>
          <w:tcPr>
            <w:tcW w:w="42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9,024</w:t>
            </w:r>
          </w:p>
        </w:tc>
        <w:tc>
          <w:tcPr>
            <w:tcW w:w="400" w:type="dxa"/>
            <w:vAlign w:val="bottom"/>
            <w:gridSpan w:val="2"/>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13,571</w:t>
            </w:r>
          </w:p>
        </w:tc>
        <w:tc>
          <w:tcPr>
            <w:tcW w:w="44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31,595</w:t>
            </w:r>
          </w:p>
        </w:tc>
        <w:tc>
          <w:tcPr>
            <w:tcW w:w="0" w:type="dxa"/>
            <w:vAlign w:val="bottom"/>
          </w:tcPr>
          <w:p>
            <w:pPr>
              <w:spacing w:after="0"/>
              <w:rPr>
                <w:sz w:val="1"/>
                <w:szCs w:val="1"/>
                <w:color w:val="auto"/>
              </w:rPr>
            </w:pP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Fielding (1) (2)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8,272</w:t>
            </w:r>
          </w:p>
        </w:tc>
        <w:tc>
          <w:tcPr>
            <w:tcW w:w="40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rPr>
              <w:t>12,227</w:t>
            </w:r>
          </w:p>
        </w:tc>
        <w:tc>
          <w:tcPr>
            <w:tcW w:w="440" w:type="dxa"/>
            <w:vAlign w:val="bottom"/>
            <w:gridSpan w:val="2"/>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26,499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194310</wp:posOffset>
            </wp:positionV>
            <wp:extent cx="141414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75" w:lineRule="exact"/>
        <w:rPr>
          <w:sz w:val="20"/>
          <w:szCs w:val="20"/>
          <w:color w:val="auto"/>
        </w:rPr>
      </w:pPr>
    </w:p>
    <w:p>
      <w:pPr>
        <w:jc w:val="both"/>
        <w:ind w:left="380" w:right="79" w:hanging="330"/>
        <w:spacing w:after="0" w:line="258"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28, 2025, each non-employee director was granted options to purchase 2,500 shares of common stock, for an aggregate of 10,000 options. The exercise price of the options is $2.6321 per share; 50% of the options vested on May 28, 2025 and the remaining 50% will vest on May 1, 2026. Also on May 28, 2025, Mr. DiSanto was granted additional options to purchase 6,250 shares of stock at an exercise price of $2.6321 per share, which vested immediately upon grant.</w:t>
      </w:r>
    </w:p>
    <w:p>
      <w:pPr>
        <w:spacing w:after="0" w:line="183" w:lineRule="exact"/>
        <w:rPr>
          <w:rFonts w:ascii="Times New Roman" w:cs="Times New Roman" w:eastAsia="Times New Roman" w:hAnsi="Times New Roman"/>
          <w:sz w:val="18"/>
          <w:szCs w:val="18"/>
          <w:color w:val="auto"/>
        </w:rPr>
      </w:pPr>
    </w:p>
    <w:p>
      <w:pPr>
        <w:jc w:val="both"/>
        <w:ind w:left="380" w:right="59"/>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3, 2025, the Company granted options to purchase an aggregate of 113,500 shares to non-employee directors. These options were fully vested and exercisable upon issuance, and have an exercise price of $0.94 per share.</w:t>
      </w:r>
    </w:p>
    <w:p>
      <w:pPr>
        <w:spacing w:after="0" w:line="175" w:lineRule="exact"/>
        <w:rPr>
          <w:rFonts w:ascii="Times New Roman" w:cs="Times New Roman" w:eastAsia="Times New Roman" w:hAnsi="Times New Roman"/>
          <w:sz w:val="18"/>
          <w:szCs w:val="18"/>
          <w:color w:val="auto"/>
        </w:rPr>
      </w:pPr>
    </w:p>
    <w:p>
      <w:pPr>
        <w:jc w:val="both"/>
        <w:ind w:left="380" w:right="79" w:hanging="330"/>
        <w:spacing w:after="0" w:line="266" w:lineRule="auto"/>
        <w:tabs>
          <w:tab w:leader="none" w:pos="3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28, 2025, each non-employee director was granted 1,000 shares of restricted stock, of which 50% shall vest on each of April 1, 2026 and 2027. Also on May 28, 2025, Mr. DiSanto was granted 6,250 additional shares of restricted stock, which vested on November 1, 2025.</w:t>
      </w:r>
    </w:p>
    <w:p>
      <w:pPr>
        <w:spacing w:after="0" w:line="176" w:lineRule="exact"/>
        <w:rPr>
          <w:sz w:val="20"/>
          <w:szCs w:val="20"/>
          <w:color w:val="auto"/>
        </w:rPr>
      </w:pPr>
    </w:p>
    <w:p>
      <w:pPr>
        <w:jc w:val="both"/>
        <w:ind w:left="380" w:right="59"/>
        <w:spacing w:after="0" w:line="266" w:lineRule="auto"/>
        <w:rPr>
          <w:sz w:val="20"/>
          <w:szCs w:val="20"/>
          <w:color w:val="auto"/>
        </w:rPr>
      </w:pPr>
      <w:r>
        <w:rPr>
          <w:rFonts w:ascii="Times New Roman" w:cs="Times New Roman" w:eastAsia="Times New Roman" w:hAnsi="Times New Roman"/>
          <w:sz w:val="18"/>
          <w:szCs w:val="18"/>
          <w:color w:val="auto"/>
        </w:rPr>
        <w:t>On December 3, 2025, the Company issued an aggregate of 39,584 shares of restricted stock to non-employee directors, which shall vest on March 31, 2026. Also on December 3, 2025, the Company issued 20,000 shares of restricted stock to Mr. DiSanto, which vested immediately.</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2021 Equity Incentive Plan</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2021 Equity Incentive Plan, which we refer to as the 2021 Plan, is designed and utilized to enable the Company to offer its employees, officers, directors, consultants, and others whose past, present, and/or potential contributions to the Company have been, are, or will be important to the success of the Company, an opportunity to acquire a proprietary interest in the Company.</w:t>
      </w:r>
    </w:p>
    <w:p>
      <w:pPr>
        <w:spacing w:after="0" w:line="18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2021 Plan provides for the grant of stock options, restricted stock, restricted stock units, performance awards, or cash awards. The stock options may be incentive stock options or non-qualified stock options. A total of 1,150,000 shares of common stock are eligible for issuance under the 2021 Plan. The 2021 Plan may be administered by the board of directors or a committee consisting of two or more members of the board of directors appointed by the board of directors.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Officers and other employees of Xcel or any parent or subsidiary of Xcel who are at the time of the grant of an award employed by us or any parent or subsidiary of Xcel are eligible to be granted options or other awards under the 2021 Plan. In addition, non-qualified stock options and other awards may be granted under the 2021 Plan to any person, including,</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5" w:name="page106"/>
    <w:bookmarkEnd w:id="10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but not limited to, directors, independent agents, consultants, and attorneys who the board of directors or the committee, as the case may be, believes has contributed or will contribute to our success.</w:t>
      </w:r>
    </w:p>
    <w:p>
      <w:pPr>
        <w:spacing w:after="0" w:line="16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Cash awards may be issued under the 2021 Plan either alone or in addition to or in tandem with other awards granted under the 2021 Plan or other payments made to a participant not under the 2021 Plan. The board or committee, as the case may be, shall determine the eligible persons to whom, and the time or times at which, cash awards will be made, the amount that is subject to the cash award, the circumstances and conditions under which such amount shall be paid, in whole or in part, the time of payment, and all other terms and conditions of the awards.</w:t>
      </w:r>
    </w:p>
    <w:p>
      <w:pPr>
        <w:spacing w:after="0" w:line="18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With respect to incentive stock options granted to an eligible employee owning stock possessing more than 10% of the total combined voting power of all classes of our stock or the stock of a parent or subsidiary of our Company immediately before the grant, such incentive stock option shall not be exercisable more than 5 years from the date of grant. The exercise price of an incentive stock option will not be less than the fair market value of the shares underlying the option on the date the option is granted, provided, however, that the exercise price of an incentive stock option granted to a 10% stockholder may not be less than 110% of such fair market value. The exercise price of a non-qualified stock option may not be less than fair market value of the shares of common stock underlying the option on the date the option is granted.</w:t>
      </w:r>
    </w:p>
    <w:p>
      <w:pPr>
        <w:spacing w:after="0" w:line="18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Restricted stock awards give the recipient the right to receive a specified number of shares of common stock, subject to such terms, conditions and restrictions as the board or the committee, as the case may be, deems appropriate. Restrictions may include limitations on the right to transfer the stock until the expiration of a specified period of time and forfeiture of the stock upon the occurrence of certain events such as the termination of employment prior to expiration of a specified period of time. Restricted stock unit (“RSU”) awards will be settled in cash or shares of common stock, in an amount based on the fair market value of our common stock on the settlement date. The RSUs will be subject to forfeiture and restrictions on transferability as set forth in the 2021 Plan and the applicable award agreement and as may be otherwise determined by the board or the committee. There were no RSUs outstanding as of December 31, 2025.</w:t>
      </w:r>
    </w:p>
    <w:p>
      <w:pPr>
        <w:spacing w:after="0" w:line="19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Certain awards made under the 2021 Plan may be granted so that they qualify as “performance-based compensation” (as this term is used in Internal Revenue Code Section 162(m) and the regulations thereunder) and are exempt from the deduction limitation imposed by Code Section 162(m). Under Internal Revenue Code Section 162(m), our tax deduction may be limited to the extent total compensation paid to the chief executive officer, or any of the four most highly compensated executive officers (other than the chief executive officer) exceeds $1 million in any one tax year. Among other criteria, awards only qualify as performance-based awards if at the time of grant the compensation committee is comprised solely of two or more “outside directors” (as this term is used in Internal Revenue Code Section 162(m) and the regulations thereunder). In addition, we must obtain stockholder approval of material terms of performance goals for such performance-based compensation.</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All stock options and certain stock awards, performance awards, and stock units granted under the 2021 Plan, and the compensation attributable to such awards, are intended to (i) qualify as performance-based awards or (ii) be otherwise exempt from the deduction limitation imposed by Internal Revenue Code Section 162(m). No awards may be granted on or after the fifth anniversary of the effective date of the 2021 Plan.</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2021 Equity Incentive Plan became effective April 19, 2022. Prior to the effectiveness of the 2021 Plan, the Company made awards under our Amended and Restated 2011 Equity Incentive Plan (the “2011 Plan”), the key terms and provisions of which were substantially similar to the 2021 Plan described above, with the major difference being the number of shares of common stock eligible for issuance. Stock-based awards (including options, warrants, and restricted stock) previously granted under our 2011 Plan remain outstanding, and shares of common stock may be issued to satisfy options or warrants previously granted under the 2011 Plan, although no new awards may be granted under the 2011 Plan.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following table lists, as of March 3, 2026, the number of shares of common stock beneficially owned by (i) each person or entity known to the Company to be the beneficial owner of more than 5% of the outstanding common stock;</w:t>
      </w:r>
    </w:p>
    <w:p>
      <w:pPr>
        <w:ind w:left="60" w:right="59" w:hanging="10"/>
        <w:spacing w:after="0" w:line="260" w:lineRule="auto"/>
        <w:tabs>
          <w:tab w:leader="none" w:pos="33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and director of the Company, and (iii) all officers and directors as a group. Information relating to beneficial ownership of common stock by our principal stockholders and management is based upon</w:t>
      </w:r>
    </w:p>
    <w:p>
      <w:pPr>
        <w:sectPr>
          <w:pgSz w:w="11900" w:h="16838" w:orient="portrait"/>
          <w:cols w:equalWidth="0" w:num="1">
            <w:col w:w="9019"/>
          </w:cols>
          <w:pgMar w:left="1440" w:top="513" w:right="1440" w:bottom="1440" w:gutter="0" w:footer="0" w:header="0"/>
        </w:sect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6" w:name="page107"/>
    <w:bookmarkEnd w:id="10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information furnished by each person using “beneficial ownership” concepts under the rules of the Securities and Exchange Commission. Under these rules, a person is deemed to be a beneficial owner of a security if that person has or shares voting power, which includes the power to vote or direct the voting of the security, or investment power, which includes the power to dispose of or direct the disposition of the security. The person is also deemed to be a beneficial owner of any security of which that person has a right to acquire beneficial ownership within 60 days. Under the Securities and Exchange Commission rules, more than one person may be deemed to be a beneficial owner of the same securities, and a person may be deemed to be a beneficial owner of securities as to which he or she may not have any pecuniary beneficial interest. Except as noted below, each person has sole voting and investment power. Unless otherwise indicated, the address for such person is c/o Xcel Brands, Inc., 550 Seventh Avenue, 11th Floor, New York, New York 10018.</w:t>
      </w:r>
    </w:p>
    <w:p>
      <w:pPr>
        <w:spacing w:after="0" w:line="18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percentages below are calculated based on 5,913,492 shares of common stock issued and outstanding as of April 10, 2026:</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2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Common</w:t>
            </w:r>
          </w:p>
        </w:tc>
        <w:tc>
          <w:tcPr>
            <w:tcW w:w="200" w:type="dxa"/>
            <w:vAlign w:val="bottom"/>
          </w:tcPr>
          <w:p>
            <w:pPr>
              <w:spacing w:after="0"/>
              <w:rPr>
                <w:sz w:val="12"/>
                <w:szCs w:val="12"/>
                <w:color w:val="auto"/>
              </w:rPr>
            </w:pPr>
          </w:p>
        </w:tc>
        <w:tc>
          <w:tcPr>
            <w:tcW w:w="1100" w:type="dxa"/>
            <w:vAlign w:val="bottom"/>
            <w:gridSpan w:val="2"/>
            <w:vMerge w:val="restart"/>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48"/>
        </w:trPr>
        <w:tc>
          <w:tcPr>
            <w:tcW w:w="6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w:t>
            </w:r>
          </w:p>
        </w:tc>
        <w:tc>
          <w:tcPr>
            <w:tcW w:w="18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200" w:type="dxa"/>
            <w:vAlign w:val="bottom"/>
          </w:tcPr>
          <w:p>
            <w:pPr>
              <w:spacing w:after="0"/>
              <w:rPr>
                <w:sz w:val="12"/>
                <w:szCs w:val="12"/>
                <w:color w:val="auto"/>
              </w:rPr>
            </w:pPr>
          </w:p>
        </w:tc>
        <w:tc>
          <w:tcPr>
            <w:tcW w:w="11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Beneficially</w:t>
            </w:r>
          </w:p>
        </w:tc>
        <w:tc>
          <w:tcPr>
            <w:tcW w:w="0" w:type="dxa"/>
            <w:vAlign w:val="bottom"/>
          </w:tcPr>
          <w:p>
            <w:pPr>
              <w:spacing w:after="0"/>
              <w:rPr>
                <w:sz w:val="1"/>
                <w:szCs w:val="1"/>
                <w:color w:val="auto"/>
              </w:rPr>
            </w:pPr>
          </w:p>
        </w:tc>
      </w:tr>
      <w:tr>
        <w:trPr>
          <w:trHeight w:val="173"/>
        </w:trPr>
        <w:tc>
          <w:tcPr>
            <w:tcW w:w="6480" w:type="dxa"/>
            <w:vAlign w:val="bottom"/>
            <w:vMerge w:val="continue"/>
          </w:tcPr>
          <w:p>
            <w:pPr>
              <w:spacing w:after="0"/>
              <w:rPr>
                <w:sz w:val="15"/>
                <w:szCs w:val="15"/>
                <w:color w:val="auto"/>
              </w:rPr>
            </w:pPr>
          </w:p>
        </w:tc>
        <w:tc>
          <w:tcPr>
            <w:tcW w:w="112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Owned</w:t>
            </w:r>
          </w:p>
        </w:tc>
        <w:tc>
          <w:tcPr>
            <w:tcW w:w="1300" w:type="dxa"/>
            <w:vAlign w:val="bottom"/>
            <w:gridSpan w:val="3"/>
          </w:tcPr>
          <w:p>
            <w:pPr>
              <w:jc w:val="right"/>
              <w:ind w:right="40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Owned</w:t>
            </w:r>
          </w:p>
        </w:tc>
        <w:tc>
          <w:tcPr>
            <w:tcW w:w="0" w:type="dxa"/>
            <w:vAlign w:val="bottom"/>
          </w:tcPr>
          <w:p>
            <w:pPr>
              <w:spacing w:after="0"/>
              <w:rPr>
                <w:sz w:val="1"/>
                <w:szCs w:val="1"/>
                <w:color w:val="auto"/>
              </w:rPr>
            </w:pPr>
          </w:p>
        </w:tc>
      </w:tr>
      <w:tr>
        <w:trPr>
          <w:trHeight w:val="210"/>
        </w:trPr>
        <w:tc>
          <w:tcPr>
            <w:tcW w:w="64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officers and directors:</w:t>
            </w: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D’Loren (1)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1,106,083</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18.50 %</w:t>
            </w: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James F. Haran (2)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20,401</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Seth Burroughs (3)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67,814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Howard Liebman (4)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65,644</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DiSanto (5)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472,341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Deborah Weinswig (6)</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Fielding (7)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39,750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All directors and executive officers as a group (7 persons) (8)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1,815,883</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5% Shareholders: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UTG Capital, Inc. (9)</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1,562,000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Summit Trail Advisors, LLC (10)</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245,259</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Potomac Capital Management Inc. (11)</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477,950</w:t>
            </w: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205740</wp:posOffset>
            </wp:positionV>
            <wp:extent cx="141414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3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 Less than 1%.</w:t>
      </w:r>
    </w:p>
    <w:p>
      <w:pPr>
        <w:spacing w:after="0" w:line="198" w:lineRule="exact"/>
        <w:rPr>
          <w:sz w:val="20"/>
          <w:szCs w:val="20"/>
          <w:color w:val="auto"/>
        </w:rPr>
      </w:pPr>
    </w:p>
    <w:p>
      <w:pPr>
        <w:jc w:val="both"/>
        <w:ind w:left="440" w:right="79" w:hanging="390"/>
        <w:spacing w:after="0" w:line="253" w:lineRule="auto"/>
        <w:tabs>
          <w:tab w:leader="none" w:pos="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711,282 shares of common stock held by Mr. D’Loren, (ii) 8,750 restricted shares, (iii) 64,816 immediately exercisable options and warrants held by Mr. D’Loren or by IPX Capital, LLC, a company controlled by Mr. D’Loren, (iv) 60,731 shares owned by Irrevocable Trust of Rose Dempsey (or the Irrevocable Trust) of which Mr. D’Loren and Mr. DiSanto are the trustees and as to which Mr. D’Loren has sole voting and dispositive power, (v) 167,233 shares held in the name of Isaac Mizrahi, and (vi) 93,271 shares as to which holders thereof granted to Mr. D’Loren irrevocable proxy and attorney-in-fact with respect to the shares. Certain holders or grantees have entered into agreements, pursuant to which appoint a person designated by our board of directors as their irrevocable proxy and attorney-in-fact with respect to the shares set forth in clauses (v) and (vi). Mr. D’Loren does not have any pecuniary interest in these shares described in clauses (v) and (vi) and disclaims beneficial ownership thereof. Does not include 32,667 shares held by the D’Loren Family Trust (or the Family Trust) of which Mark DiSanto is a trustee and has sole voting and dispositive power. Does not include 250,674 options that are not yet exercisable.</w:t>
      </w:r>
    </w:p>
    <w:p>
      <w:pPr>
        <w:spacing w:after="0" w:line="151" w:lineRule="exact"/>
        <w:rPr>
          <w:rFonts w:ascii="Times New Roman" w:cs="Times New Roman" w:eastAsia="Times New Roman" w:hAnsi="Times New Roman"/>
          <w:sz w:val="18"/>
          <w:szCs w:val="18"/>
          <w:color w:val="auto"/>
        </w:rPr>
      </w:pPr>
    </w:p>
    <w:p>
      <w:pPr>
        <w:ind w:left="440" w:hanging="390"/>
        <w:spacing w:after="0"/>
        <w:tabs>
          <w:tab w:leader="none" w:pos="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20,401 shares of common stock. Does not include 53,716 options that are not yet exercisable.</w:t>
      </w:r>
    </w:p>
    <w:p>
      <w:pPr>
        <w:spacing w:after="0" w:line="184" w:lineRule="exact"/>
        <w:rPr>
          <w:rFonts w:ascii="Times New Roman" w:cs="Times New Roman" w:eastAsia="Times New Roman" w:hAnsi="Times New Roman"/>
          <w:sz w:val="18"/>
          <w:szCs w:val="18"/>
          <w:color w:val="auto"/>
        </w:rPr>
      </w:pPr>
    </w:p>
    <w:p>
      <w:pPr>
        <w:ind w:left="440" w:right="79" w:hanging="390"/>
        <w:spacing w:after="0" w:line="282" w:lineRule="auto"/>
        <w:tabs>
          <w:tab w:leader="none" w:pos="4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62,814 shares of common stock, (ii) 2,500 restricted shares, and (iii) 2,500 immediately exercisable options. Does not include 35,811 options that are not yet exercisable.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07" w:name="page108"/>
    <w:bookmarkEnd w:id="10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40" w:right="79" w:hanging="390"/>
        <w:spacing w:after="0" w:line="282" w:lineRule="auto"/>
        <w:tabs>
          <w:tab w:leader="none" w:pos="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777 shares of common stock, (ii) 19,617 restricted shares, and (iii) immediately exercisable options to purchase 45,250 shares. Does not include 3,750 options that are not yet exercisable.</w:t>
      </w:r>
    </w:p>
    <w:p>
      <w:pPr>
        <w:spacing w:after="0" w:line="134" w:lineRule="exact"/>
        <w:rPr>
          <w:rFonts w:ascii="Times New Roman" w:cs="Times New Roman" w:eastAsia="Times New Roman" w:hAnsi="Times New Roman"/>
          <w:sz w:val="18"/>
          <w:szCs w:val="18"/>
          <w:color w:val="auto"/>
        </w:rPr>
      </w:pPr>
    </w:p>
    <w:p>
      <w:pPr>
        <w:jc w:val="both"/>
        <w:ind w:left="440" w:right="79" w:hanging="390"/>
        <w:spacing w:after="0" w:line="255" w:lineRule="auto"/>
        <w:tabs>
          <w:tab w:leader="none" w:pos="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20,000 shares of common stock, (ii) 22,917 restricted shares, (iii) 32,667 shares held by the D’Loren Family Trust, of which Mark DiSanto is trustee and has sole voting and dispositive power over the shares held by the D’Loren Family Trust, (iv) 337,018 shares held by Mark X. DiSanto Investment Trust, of which Mark DiSanto is trustee and has sole voting and dispositive power over the shares held by the Trust, (v) immediately exercisable options and warrants to purchase 51,500 shares, and (vi) 8,239 shares held by other trusts, of which Mark DiSanto is trustee and has sole voting and dispositive power over the shares held by the trusts. Does not include 3,750 options that are not yet exercisable.</w:t>
      </w:r>
    </w:p>
    <w:p>
      <w:pPr>
        <w:spacing w:after="0" w:line="148" w:lineRule="exact"/>
        <w:rPr>
          <w:rFonts w:ascii="Times New Roman" w:cs="Times New Roman" w:eastAsia="Times New Roman" w:hAnsi="Times New Roman"/>
          <w:sz w:val="18"/>
          <w:szCs w:val="18"/>
          <w:color w:val="auto"/>
        </w:rPr>
      </w:pPr>
    </w:p>
    <w:p>
      <w:pPr>
        <w:ind w:left="440" w:right="79" w:hanging="390"/>
        <w:spacing w:after="0" w:line="282" w:lineRule="auto"/>
        <w:tabs>
          <w:tab w:leader="none" w:pos="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13,600 restricted shares and (ii) immediately exercisable options to purchase 30,250 shares. Does not include 3,750 options that are not yet exercisable.</w:t>
      </w:r>
    </w:p>
    <w:p>
      <w:pPr>
        <w:spacing w:after="0" w:line="121" w:lineRule="exact"/>
        <w:rPr>
          <w:rFonts w:ascii="Times New Roman" w:cs="Times New Roman" w:eastAsia="Times New Roman" w:hAnsi="Times New Roman"/>
          <w:sz w:val="18"/>
          <w:szCs w:val="18"/>
          <w:color w:val="auto"/>
        </w:rPr>
      </w:pPr>
    </w:p>
    <w:p>
      <w:pPr>
        <w:ind w:left="440" w:right="79" w:hanging="390"/>
        <w:spacing w:after="0" w:line="282" w:lineRule="auto"/>
        <w:tabs>
          <w:tab w:leader="none" w:pos="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4,500 shares of common stock, (ii) 7,500 restricted shares, and (iii) immediately exercisable options to purchase 27,750 shares. Does not include 3,750 options that are not yet exercisable.</w:t>
      </w:r>
    </w:p>
    <w:p>
      <w:pPr>
        <w:spacing w:after="0" w:line="134" w:lineRule="exact"/>
        <w:rPr>
          <w:rFonts w:ascii="Times New Roman" w:cs="Times New Roman" w:eastAsia="Times New Roman" w:hAnsi="Times New Roman"/>
          <w:sz w:val="18"/>
          <w:szCs w:val="18"/>
          <w:color w:val="auto"/>
        </w:rPr>
      </w:pPr>
    </w:p>
    <w:p>
      <w:pPr>
        <w:jc w:val="both"/>
        <w:ind w:left="440" w:right="79" w:hanging="390"/>
        <w:spacing w:after="0" w:line="266" w:lineRule="auto"/>
        <w:tabs>
          <w:tab w:leader="none" w:pos="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1,258,429 shares of common stock, (ii) 74,884 restricted shares, (iii) 222,066 shares issuable upon exercise of options and warrants that are currently exercisable, and (iv) 260,504 other shares of common stock as to which holders thereof granted to Mr. D’Loren irrevocable proxy and attorney-in-fact with respect to the shares.</w:t>
      </w:r>
    </w:p>
    <w:p>
      <w:pPr>
        <w:spacing w:after="0" w:line="135" w:lineRule="exact"/>
        <w:rPr>
          <w:rFonts w:ascii="Times New Roman" w:cs="Times New Roman" w:eastAsia="Times New Roman" w:hAnsi="Times New Roman"/>
          <w:sz w:val="18"/>
          <w:szCs w:val="18"/>
          <w:color w:val="auto"/>
        </w:rPr>
      </w:pPr>
    </w:p>
    <w:p>
      <w:pPr>
        <w:ind w:left="440" w:right="79" w:hanging="390"/>
        <w:spacing w:after="0" w:line="282" w:lineRule="auto"/>
        <w:tabs>
          <w:tab w:leader="none" w:pos="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(i) 454,545 shares of common stock and (ii) immediately exercisable options to purchase 1,107,455 shares. The address for UTG Capital, Inc. is 251 Little Falls Drive, Wilmington, DE 19808.</w:t>
      </w:r>
    </w:p>
    <w:p>
      <w:pPr>
        <w:spacing w:after="0" w:line="161" w:lineRule="exact"/>
        <w:rPr>
          <w:rFonts w:ascii="Times New Roman" w:cs="Times New Roman" w:eastAsia="Times New Roman" w:hAnsi="Times New Roman"/>
          <w:sz w:val="18"/>
          <w:szCs w:val="18"/>
          <w:color w:val="auto"/>
        </w:rPr>
      </w:pPr>
    </w:p>
    <w:p>
      <w:pPr>
        <w:ind w:left="440" w:right="79" w:hanging="390"/>
        <w:spacing w:after="0" w:line="282" w:lineRule="auto"/>
        <w:tabs>
          <w:tab w:leader="none" w:pos="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245,259 shares of common stock. The address for Summit Trail Advisors, LLC is 2 Grand Central Tower, 140 E 45th Street, 34th Floor, New York, NY 10017.</w:t>
      </w:r>
    </w:p>
    <w:p>
      <w:pPr>
        <w:spacing w:after="0" w:line="161" w:lineRule="exact"/>
        <w:rPr>
          <w:rFonts w:ascii="Times New Roman" w:cs="Times New Roman" w:eastAsia="Times New Roman" w:hAnsi="Times New Roman"/>
          <w:sz w:val="18"/>
          <w:szCs w:val="18"/>
          <w:color w:val="auto"/>
        </w:rPr>
      </w:pPr>
    </w:p>
    <w:p>
      <w:pPr>
        <w:ind w:left="440" w:right="79" w:hanging="390"/>
        <w:spacing w:after="0" w:line="282" w:lineRule="auto"/>
        <w:tabs>
          <w:tab w:leader="none" w:pos="4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Consists of 477,950 shares of common stock. The address for Potomac Capital Management Inc. is 360 East 89th Street, Apt 8B, New York, NY, 10128.</w:t>
      </w:r>
    </w:p>
    <w:p>
      <w:pPr>
        <w:spacing w:after="0" w:line="158" w:lineRule="exact"/>
        <w:rPr>
          <w:sz w:val="20"/>
          <w:szCs w:val="20"/>
          <w:color w:val="auto"/>
        </w:rPr>
      </w:pPr>
    </w:p>
    <w:p>
      <w:pPr>
        <w:ind w:left="60" w:right="2339"/>
        <w:spacing w:after="0" w:line="479" w:lineRule="auto"/>
        <w:rPr>
          <w:sz w:val="20"/>
          <w:szCs w:val="20"/>
          <w:color w:val="auto"/>
        </w:rPr>
      </w:pPr>
      <w:r>
        <w:rPr>
          <w:rFonts w:ascii="Times New Roman" w:cs="Times New Roman" w:eastAsia="Times New Roman" w:hAnsi="Times New Roman"/>
          <w:sz w:val="18"/>
          <w:szCs w:val="18"/>
          <w:b w:val="1"/>
          <w:bCs w:val="1"/>
          <w:color w:val="auto"/>
        </w:rPr>
        <w:t xml:space="preserve">Item 13. Certain Relationships and Related Transactions, and Director Independence </w:t>
      </w:r>
      <w:r>
        <w:rPr>
          <w:rFonts w:ascii="Times New Roman" w:cs="Times New Roman" w:eastAsia="Times New Roman" w:hAnsi="Times New Roman"/>
          <w:sz w:val="18"/>
          <w:szCs w:val="18"/>
          <w:b w:val="1"/>
          <w:bCs w:val="1"/>
          <w:i w:val="1"/>
          <w:iCs w:val="1"/>
          <w:color w:val="auto"/>
        </w:rPr>
        <w:t>IM Topco, LLC</w:t>
      </w:r>
    </w:p>
    <w:p>
      <w:pPr>
        <w:spacing w:after="0" w:line="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Company held a noncontrolling interest in IM Topco, LLC (“IM Topco”) through October 1, 2025.</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Services Agreement</w:t>
      </w:r>
    </w:p>
    <w:p>
      <w:pPr>
        <w:spacing w:after="0" w:line="22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Company was party to a services agreement with IM Topco that had been originally effective May 31 2022 and subsequently amended from time to time, pursuant to which the Company agreed to provide certain design and support services (including assistance with the operations of the interactive television business and related talent support) to IM Topco in exchange for a service fee. In April 2024, the services agreement was amended to set the service fees at $150,000 per year.</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In accordance with the terms of this services agreement, the Company recognized service fee income of $112,500 and $150,000 for the years ended December 31, 2025 and 2024, respectively.</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License Agreement</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Company was previously party to a license agreement with IM Topco, pursuant to which IM Topco granted the Company a license to use certain Isaac Mizrahi trademarks related to women’s sportswear products in exchange for the payment of royalties to IM Topco. This license agreement was later terminated in favor of a new similar license agreement between IM Topco and an unrelated third party; however, as part of such termination, Xcel had provided a guarantee to IM Topco for the payment of any difference between (i) the royalties received by IM Topco under the new agreement and (ii) the amount of royalties that IM Topco would have received under the original license agreement with Xcel. For both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8" w:name="page109"/>
    <w:bookmarkEnd w:id="10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the Current Year and Prior Year, royalties received by IM Topco from the third-party agreement were expected to exceed the guaranteed royalties that IM Topco would have received under the original license agreement with Xcel, and thus no royalty expense for any shortfall was recognized for either such period.</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Additionally, pursuant to the terms of a 2023 amendment to the May 2022 membership purchase agreement, Xcel had agreed to make additional royalty payments to IM Topco totaling $450,000, of which $75,000 was paid during the year ended December 31, 2023, and $237,500 was paid during the year ended December 31, 2024. No payments of these additional royalties were made during the year ended December 31, 2025.</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Effective September 26, 2025, pursuant to the terms of a settlement agreement entered into with IM Topco and WHP (see Note 3 for additional details), the Company was released from any current or future liability related to the aforementioned guarantee to IM Topco and the aforementioned additional royalty payments.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Equity Offerings</w:t>
      </w:r>
    </w:p>
    <w:p>
      <w:pPr>
        <w:spacing w:after="0" w:line="227"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August 2025 Public Offering and Private Placement Transactions </w:t>
      </w:r>
      <w:r>
        <w:rPr>
          <w:rFonts w:ascii="Times New Roman" w:cs="Times New Roman" w:eastAsia="Times New Roman" w:hAnsi="Times New Roman"/>
          <w:sz w:val="18"/>
          <w:szCs w:val="18"/>
          <w:color w:val="auto"/>
        </w:rPr>
        <w:t>– In connection with a public offering which closed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August 4, 2025 (see Note 7 of the financial statements in Item 8 for additional details), Robert W. D’Loren, Chairman and Chief Executive Officer of the Company, and Mark DiSanto, a director of the Company, purchased 124,200 and 91,800 shares of the Company’s common stock, respectively, at $1.10 per share, the same price at which the shares were sold to other purchasers in the public offering. Also, in connection with this public offering, on August 1, 2025, the Company entered into subscription agreements with each of Mr. D’Loren and Mr. DiSanto to purchase 82,159 and 60,883 shares of the Company’s common stock, respectively, at a price of $1.38 per share; the purchase of such shares closed concurrently with the public offering.</w:t>
      </w:r>
    </w:p>
    <w:p>
      <w:pPr>
        <w:spacing w:after="0" w:line="185" w:lineRule="exact"/>
        <w:rPr>
          <w:sz w:val="20"/>
          <w:szCs w:val="20"/>
          <w:color w:val="auto"/>
        </w:rPr>
      </w:pPr>
    </w:p>
    <w:p>
      <w:pPr>
        <w:jc w:val="both"/>
        <w:ind w:left="60" w:right="5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December 2025 Private Investment in Public Equity Transaction – </w:t>
      </w:r>
      <w:r>
        <w:rPr>
          <w:rFonts w:ascii="Times New Roman" w:cs="Times New Roman" w:eastAsia="Times New Roman" w:hAnsi="Times New Roman"/>
          <w:sz w:val="18"/>
          <w:szCs w:val="18"/>
          <w:color w:val="auto"/>
        </w:rPr>
        <w:t>In connection with a private placement transaction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closed on December 18, 2025 (see Note 7 of the financial statements in Item 8 for additional details), Mr. D’Loren purchased 81,466 shares of the Company’s common stock and 40,733 warrants for a total purchase price of $100,000.</w:t>
      </w:r>
    </w:p>
    <w:p>
      <w:pPr>
        <w:spacing w:after="0" w:line="173"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March 2024 Public Offering and Private Placement Transactions – </w:t>
      </w:r>
      <w:r>
        <w:rPr>
          <w:rFonts w:ascii="Times New Roman" w:cs="Times New Roman" w:eastAsia="Times New Roman" w:hAnsi="Times New Roman"/>
          <w:sz w:val="18"/>
          <w:szCs w:val="18"/>
          <w:color w:val="auto"/>
        </w:rPr>
        <w:t>In connection with a public offering which closed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19, 2024 (see Note 7 of the financial statements in Item 8 for additional details), Mr. D’Loren, Mr. DiSanto, and Seth Burroughs, Executive Vice President of Business Development and Treasury of the Company, purchased 14,625, 14,625, and 3,250 shares of the Company’s common stock, respectively, at $6.50 per share, the same price at which the shares were sold to other purchasers in the public offering. Also, in connection with this public offering, on March 14, 2024, the Company entered into subscription agreements with each of Messrs. D’Loren, DiSanto, and Burroughs to purchase 13,258, 13,258, and 2,946 shares, respectively, at a price of $9.80 per share, the purchase of which closed concurrently with the public offering.</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Refinancing</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connection with the December 2024 refinancing of the Company’s term loan debt (see Note 6 of the financial statements in Item 8 for additional details), IPX Capital, LLC (“IPX”), a company controlled by Mr. D’Loren, made a $250,000 advance to one of the Company’s subsidiaries, of which $200,000 was repaid to IPX upon the closing of the debt refinancing transaction. Additionally, IPX purchased a 12.5% undivided, last-out, subordinated participation interest in a portion of the new term loan debt for a purchase price of $500,000, and received a pro rata share of warrants received by the Term B Lenders to purchase shares of the Company’s common stock.</w:t>
      </w:r>
    </w:p>
    <w:p>
      <w:pPr>
        <w:spacing w:after="0" w:line="18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April 21, 2025 and in connection with the refinancing of the Company’s term loan debt (see Note 6 of the financial statements in Item 8 for additional details), IPX’s participation in Term Loan B was repaid and IPX purchased a $500,000 undivided, last-out, subordinated participation interest in Term Loan A.</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Support Agreement</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On April 21, 2025, each of Robert D’Loren, Chairman of the Board and Chief Executive Officer of the Company, Seth Burroughs, Executive Vice President of the Company, and Mark D. Santo, a director of the Company, entered into a</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9" w:name="page110"/>
    <w:bookmarkEnd w:id="10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auto"/>
        </w:rPr>
        <w:t>Support Agreement whereby each individual agreed to vote in favor of any proposal to approve the issuance of the shares of common stock issuable upon exercise of the warrants issued to UTG and other lenders and warrants amended in connection with the April 21, 2025 debt refinancing transaction, in accordance with applicable Nasdaq rules.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Board Nominee Agreement</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On April 21, 2025, Xcel and UTG Capital, Inc., or UTG, entered into a Board Nomination Agreement pursuant to which Xcel granted UTG the right to nominate one individual to serve as a member of the Company’s board of directors, provided the individual is reasonably satisfactory to the Company’s board of directors (and/or board committee with authority over nominations of individuals to serve as directors of the Company) during the Nomination Period. The term “Nomination Period” means the period commencing on the date of the Board Nomination Agreement and ending on the earlier of (i) the date all of the loans under the December 12, 2024 loan agreement (as amended) have been repaid and (ii) the date UTG no longer holds a participation of at least $1,000,000 principal amount in the Term Loan B; provided, however, that if prior to the earlier of such dates, UTG and/or its affiliates exercise certain warrants issued to UTG for at least 300,000 shares of common stock, the Nomination Period shall continue for so long as UTG and/or its affiliate continue to hold 300,000 shares of common stock issued upon exercise of such warrants.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Guarantee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Since October 2024, in connection with a required increase to a standby letter of credit associated with the Company’s real estate lease for offices located at 1333 Broadway, Mr. D’Loren has provided a personal guarantee to the financial institution providing such letter of credit, in order to satisfy a portion of the associated collateral requirements for the letter of credit.</w:t>
      </w:r>
    </w:p>
    <w:p>
      <w:pPr>
        <w:spacing w:after="0" w:line="1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Fees</w:t>
      </w:r>
    </w:p>
    <w:p>
      <w:pPr>
        <w:spacing w:after="0" w:line="17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aggregate fees billed or to be billed for professional services rendered by our prior Independent Registered Public Accounting Firms, Marcum LLP (prior to May 27,2025) and CBIZ CPAs P.C. (for the period from May 27, 2025 through September 16, 2025), for the audit of our annual consolidated financial statements, review of our consolidated financial statements included in our quarterly reports for 2024 and the first two fiscal quarters of 2025, and other fees that are normally provided by the accounting firm in connection with statutory and regulatory filings or engagements for the six months ended June 30, 2025 and the year ended December 31, 2024 were approximately $343,000 and $418,000, respectively.</w:t>
      </w:r>
    </w:p>
    <w:p>
      <w:pPr>
        <w:spacing w:after="0" w:line="13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aggregate fees billed or to be billed for professional services rendered by our current Independent Registered Public Accounting Firm, Wolf &amp; Company, PC, for the audit of our annual consolidated financial statements, review of our consolidated financial statements included in our quarterly report for the third fiscal quarter of 2025, and other fees that are normally provided by the accounting firm in connection with statutory and regulatory filings or engagements for the year ended December 31, 2025 were approximately $284,000.</w:t>
      </w:r>
    </w:p>
    <w:p>
      <w:pPr>
        <w:spacing w:after="0" w:line="1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Audit-Related Fees</w:t>
      </w:r>
    </w:p>
    <w:p>
      <w:pPr>
        <w:spacing w:after="0" w:line="17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fiscal year ended December 31, 2025, fees billed by our Independent Registered Public Accounting Firms for audit-related services consisted of $150,000 for the audit of IM Topco, LLC, and approximately $157,000 for consent and comfort letter procedures related to registration filings associated with our equity offerings.</w:t>
      </w:r>
    </w:p>
    <w:p>
      <w:pPr>
        <w:spacing w:after="0" w:line="12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 the fiscal year ended December 31, 2024, fees billed by our Independent Registered Public Accounting Firm for audit-related services consisted of $113,000 for the audit of IM Topco, LLC, and $77,000 for consent and comfort letter procedures related to registration filings associated with our equity offerings.</w:t>
      </w:r>
    </w:p>
    <w:p>
      <w:pPr>
        <w:spacing w:after="0" w:line="11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Tax Fees</w:t>
      </w:r>
    </w:p>
    <w:p>
      <w:pPr>
        <w:spacing w:after="0" w:line="175"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There were no fees billed for professional services rendered by our Independent Registered Public Accounting Firm for tax compliance, tax advice, and tax planning for the fiscal years ended December 31, 2025 and 2024.</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0" w:name="page111"/>
    <w:bookmarkEnd w:id="1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All Other Fees</w:t>
      </w:r>
    </w:p>
    <w:p>
      <w:pPr>
        <w:spacing w:after="0" w:line="17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There were no fees billed for non-audit services by our Independent Registered Public Accounting Firm for the fiscal years ended December 31, 2025 and 2024.</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Determination</w:t>
      </w:r>
    </w:p>
    <w:p>
      <w:pPr>
        <w:spacing w:after="0" w:line="175"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Audit Committee considered and determined that the services performed are compatible with maintaining the independence of the independent registered public accounting firm.</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Policy on Audit Committee Pre-Approval of Audit and Permissible Non-Audit Services of Independent Auditor</w:t>
      </w:r>
    </w:p>
    <w:p>
      <w:pPr>
        <w:spacing w:after="0" w:line="175"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Audit Committee is responsible for pre-approving all audit and permitted non-audit services to be performed for us by our Independent Registered Public Accounting Firm as outlined in its Audit Committee charter. Prior to engagement of the Independent Registered Public Accounting Firm for each year’s audit, management or the Independent Registered Public Accounting Firm submits to the Audit Committee for approval an aggregate request of services expected to be rendered during the year, which the Audit Committee pre-approves. During the year, circumstances may arise when it may become necessary to engage the Independent Registered Public Accounting Firm for additional services not contemplated in the original pre-approval. In those circumstances, the Audit Committee requires specific pre-approval before engaging the Independent Registered Public Accounting Firm. The engagements of our Independent Registered Public Accounting Firm were approved by the Company’s Audit Committee.</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5020" w:type="dxa"/>
            <w:vAlign w:val="bottom"/>
            <w:gridSpan w:val="5"/>
          </w:tcPr>
          <w:p>
            <w:pPr>
              <w:jc w:val="center"/>
              <w:ind w:right="3900"/>
              <w:spacing w:after="0"/>
              <w:rPr>
                <w:sz w:val="20"/>
                <w:szCs w:val="20"/>
                <w:color w:val="auto"/>
              </w:rPr>
            </w:pPr>
            <w:r>
              <w:rPr>
                <w:rFonts w:ascii="Times New Roman" w:cs="Times New Roman" w:eastAsia="Times New Roman" w:hAnsi="Times New Roman"/>
                <w:sz w:val="18"/>
                <w:szCs w:val="18"/>
                <w:b w:val="1"/>
                <w:bCs w:val="1"/>
                <w:color w:val="auto"/>
                <w:w w:val="97"/>
              </w:rPr>
              <w:t>PART IV</w:t>
            </w:r>
          </w:p>
        </w:tc>
      </w:tr>
      <w:tr>
        <w:trPr>
          <w:trHeight w:val="432"/>
        </w:trPr>
        <w:tc>
          <w:tcPr>
            <w:tcW w:w="892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Item 15.  Exhibit and Financial Statement Schedules</w:t>
            </w:r>
          </w:p>
        </w:tc>
      </w:tr>
      <w:tr>
        <w:trPr>
          <w:trHeight w:val="432"/>
        </w:trPr>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5780" w:type="dxa"/>
            <w:vAlign w:val="bottom"/>
            <w:gridSpan w:val="6"/>
          </w:tcPr>
          <w:p>
            <w:pPr>
              <w:jc w:val="center"/>
              <w:ind w:right="3140"/>
              <w:spacing w:after="0"/>
              <w:rPr>
                <w:sz w:val="20"/>
                <w:szCs w:val="20"/>
                <w:color w:val="auto"/>
              </w:rPr>
            </w:pPr>
            <w:r>
              <w:rPr>
                <w:rFonts w:ascii="Times New Roman" w:cs="Times New Roman" w:eastAsia="Times New Roman" w:hAnsi="Times New Roman"/>
                <w:sz w:val="18"/>
                <w:szCs w:val="18"/>
                <w:b w:val="1"/>
                <w:bCs w:val="1"/>
                <w:color w:val="auto"/>
                <w:w w:val="99"/>
              </w:rPr>
              <w:t>INDEX TO EXHIBITS</w:t>
            </w:r>
          </w:p>
        </w:tc>
      </w:tr>
      <w:tr>
        <w:trPr>
          <w:trHeight w:val="423"/>
        </w:trPr>
        <w:tc>
          <w:tcPr>
            <w:tcW w:w="9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7960" w:type="dxa"/>
            <w:vAlign w:val="bottom"/>
            <w:gridSpan w:val="8"/>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20"/>
                <w:szCs w:val="20"/>
                <w:color w:val="auto"/>
              </w:rPr>
            </w:pPr>
          </w:p>
        </w:tc>
        <w:tc>
          <w:tcPr>
            <w:tcW w:w="19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200" w:type="dxa"/>
            <w:vAlign w:val="bottom"/>
          </w:tcPr>
          <w:p>
            <w:pPr>
              <w:spacing w:after="0"/>
              <w:rPr>
                <w:sz w:val="24"/>
                <w:szCs w:val="24"/>
                <w:color w:val="auto"/>
              </w:rPr>
            </w:pPr>
          </w:p>
        </w:tc>
        <w:tc>
          <w:tcPr>
            <w:tcW w:w="7760" w:type="dxa"/>
            <w:vAlign w:val="bottom"/>
            <w:gridSpan w:val="7"/>
          </w:tcPr>
          <w:p>
            <w:pPr>
              <w:spacing w:after="0"/>
              <w:rPr>
                <w:rFonts w:ascii="Times New Roman" w:cs="Times New Roman" w:eastAsia="Times New Roman" w:hAnsi="Times New Roman"/>
                <w:sz w:val="18"/>
                <w:szCs w:val="18"/>
                <w:color w:val="0000EE"/>
              </w:rPr>
            </w:pPr>
            <w:hyperlink r:id="rId149">
              <w:r>
                <w:rPr>
                  <w:rFonts w:ascii="Times New Roman" w:cs="Times New Roman" w:eastAsia="Times New Roman" w:hAnsi="Times New Roman"/>
                  <w:sz w:val="18"/>
                  <w:szCs w:val="18"/>
                  <w:color w:val="0000EE"/>
                </w:rPr>
                <w:t xml:space="preserve">Amended and Restated Certificate of Incorporation of Xcel Brands,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appropriate Exhibit to the Current Report on Form 8-K, which was filed with the SEC on October 24,</w:t>
            </w:r>
          </w:p>
        </w:tc>
      </w:tr>
      <w:tr>
        <w:trPr>
          <w:trHeight w:val="234"/>
        </w:trPr>
        <w:tc>
          <w:tcPr>
            <w:tcW w:w="960" w:type="dxa"/>
            <w:vAlign w:val="bottom"/>
          </w:tcPr>
          <w:p>
            <w:pPr>
              <w:spacing w:after="0"/>
              <w:rPr>
                <w:sz w:val="20"/>
                <w:szCs w:val="20"/>
                <w:color w:val="auto"/>
              </w:rPr>
            </w:pPr>
          </w:p>
        </w:tc>
        <w:tc>
          <w:tcPr>
            <w:tcW w:w="2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2017)</w:t>
            </w:r>
          </w:p>
        </w:tc>
        <w:tc>
          <w:tcPr>
            <w:tcW w:w="7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tcPr>
          <w:p>
            <w:pPr>
              <w:spacing w:after="0"/>
              <w:rPr>
                <w:sz w:val="24"/>
                <w:szCs w:val="24"/>
                <w:color w:val="auto"/>
              </w:rPr>
            </w:pPr>
          </w:p>
        </w:tc>
        <w:tc>
          <w:tcPr>
            <w:tcW w:w="774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rPr>
            </w:pPr>
            <w:hyperlink r:id="rId150">
              <w:r>
                <w:rPr>
                  <w:rFonts w:ascii="Times New Roman" w:cs="Times New Roman" w:eastAsia="Times New Roman" w:hAnsi="Times New Roman"/>
                  <w:sz w:val="18"/>
                  <w:szCs w:val="18"/>
                  <w:color w:val="0000EE"/>
                </w:rPr>
                <w:t>Certificate of Amendment of Amended and Restated Certificate of Incorporation of Xcel Brands, Inc.</w:t>
              </w:r>
            </w:hyperlink>
          </w:p>
        </w:tc>
        <w:tc>
          <w:tcPr>
            <w:tcW w:w="20" w:type="dxa"/>
            <w:vAlign w:val="bottom"/>
          </w:tcPr>
          <w:p>
            <w:pPr>
              <w:spacing w:after="0"/>
              <w:rPr>
                <w:sz w:val="24"/>
                <w:szCs w:val="24"/>
                <w:color w:val="auto"/>
              </w:rPr>
            </w:pPr>
          </w:p>
        </w:tc>
      </w:tr>
      <w:tr>
        <w:trPr>
          <w:trHeight w:val="218"/>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(Incorporated by reference to the appropriate Exhibit to the Current Report on Form 8-K, which was filed</w:t>
            </w:r>
          </w:p>
        </w:tc>
      </w:tr>
      <w:tr>
        <w:trPr>
          <w:trHeight w:val="234"/>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 the SEC on March 24, 2025)</w:t>
            </w:r>
          </w:p>
        </w:tc>
      </w:tr>
      <w:tr>
        <w:trPr>
          <w:trHeight w:val="39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3.3</w:t>
            </w:r>
          </w:p>
        </w:tc>
        <w:tc>
          <w:tcPr>
            <w:tcW w:w="200" w:type="dxa"/>
            <w:vAlign w:val="bottom"/>
          </w:tcPr>
          <w:p>
            <w:pPr>
              <w:spacing w:after="0"/>
              <w:rPr>
                <w:sz w:val="24"/>
                <w:szCs w:val="24"/>
                <w:color w:val="auto"/>
              </w:rPr>
            </w:pPr>
          </w:p>
        </w:tc>
        <w:tc>
          <w:tcPr>
            <w:tcW w:w="7760" w:type="dxa"/>
            <w:vAlign w:val="bottom"/>
            <w:gridSpan w:val="7"/>
          </w:tcPr>
          <w:p>
            <w:pPr>
              <w:spacing w:after="0"/>
              <w:rPr>
                <w:rFonts w:ascii="Times New Roman" w:cs="Times New Roman" w:eastAsia="Times New Roman" w:hAnsi="Times New Roman"/>
                <w:sz w:val="18"/>
                <w:szCs w:val="18"/>
                <w:color w:val="0000EE"/>
              </w:rPr>
            </w:pPr>
            <w:hyperlink r:id="rId151">
              <w:r>
                <w:rPr>
                  <w:rFonts w:ascii="Times New Roman" w:cs="Times New Roman" w:eastAsia="Times New Roman" w:hAnsi="Times New Roman"/>
                  <w:sz w:val="18"/>
                  <w:szCs w:val="18"/>
                  <w:color w:val="0000EE"/>
                </w:rPr>
                <w:t xml:space="preserve">Third Restated and Amended Bylaws of Xcel Brands, Inc.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 appropriate</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37"/>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Exhibit to the Current Report on Form 8-K, which was filed with the SEC on December 8, 2017)</w:t>
            </w:r>
          </w:p>
        </w:tc>
      </w:tr>
      <w:tr>
        <w:trPr>
          <w:trHeight w:val="39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200" w:type="dxa"/>
            <w:vAlign w:val="bottom"/>
          </w:tcPr>
          <w:p>
            <w:pPr>
              <w:spacing w:after="0"/>
              <w:rPr>
                <w:sz w:val="24"/>
                <w:szCs w:val="24"/>
                <w:color w:val="auto"/>
              </w:rPr>
            </w:pPr>
          </w:p>
        </w:tc>
        <w:tc>
          <w:tcPr>
            <w:tcW w:w="7760" w:type="dxa"/>
            <w:vAlign w:val="bottom"/>
            <w:gridSpan w:val="7"/>
          </w:tcPr>
          <w:p>
            <w:pPr>
              <w:spacing w:after="0"/>
              <w:rPr>
                <w:rFonts w:ascii="Times New Roman" w:cs="Times New Roman" w:eastAsia="Times New Roman" w:hAnsi="Times New Roman"/>
                <w:sz w:val="18"/>
                <w:szCs w:val="18"/>
                <w:color w:val="0000EE"/>
              </w:rPr>
            </w:pPr>
            <w:hyperlink r:id="rId152">
              <w:r>
                <w:rPr>
                  <w:rFonts w:ascii="Times New Roman" w:cs="Times New Roman" w:eastAsia="Times New Roman" w:hAnsi="Times New Roman"/>
                  <w:sz w:val="18"/>
                  <w:szCs w:val="18"/>
                  <w:color w:val="0000EE"/>
                </w:rPr>
                <w:t xml:space="preserve">Third Amended and Restated Equity Incentive Plan and Forms of Award Agreements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700" w:type="dxa"/>
            <w:vAlign w:val="bottom"/>
            <w:gridSpan w:val="3"/>
            <w:shd w:val="clear" w:color="auto" w:fill="0000E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r>
      <w:tr>
        <w:trPr>
          <w:trHeight w:val="218"/>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reference to the appropriate Exhibit to the Definitive Proxy Statement on Form DEF 14-A, which was filed</w:t>
            </w:r>
          </w:p>
        </w:tc>
      </w:tr>
      <w:tr>
        <w:trPr>
          <w:trHeight w:val="234"/>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with the SEC on August 15, 2016)</w:t>
            </w:r>
          </w:p>
        </w:tc>
      </w:tr>
      <w:tr>
        <w:trPr>
          <w:trHeight w:val="39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4"/>
                <w:szCs w:val="24"/>
                <w:color w:val="auto"/>
              </w:rPr>
            </w:pPr>
          </w:p>
        </w:tc>
        <w:tc>
          <w:tcPr>
            <w:tcW w:w="7760" w:type="dxa"/>
            <w:vAlign w:val="bottom"/>
            <w:gridSpan w:val="7"/>
          </w:tcPr>
          <w:p>
            <w:pPr>
              <w:spacing w:after="0"/>
              <w:rPr>
                <w:rFonts w:ascii="Times New Roman" w:cs="Times New Roman" w:eastAsia="Times New Roman" w:hAnsi="Times New Roman"/>
                <w:sz w:val="18"/>
                <w:szCs w:val="18"/>
                <w:color w:val="0000EE"/>
              </w:rPr>
            </w:pPr>
            <w:hyperlink r:id="rId153">
              <w:r>
                <w:rPr>
                  <w:rFonts w:ascii="Times New Roman" w:cs="Times New Roman" w:eastAsia="Times New Roman" w:hAnsi="Times New Roman"/>
                  <w:sz w:val="18"/>
                  <w:szCs w:val="18"/>
                  <w:color w:val="0000EE"/>
                </w:rPr>
                <w:t xml:space="preserve">2021 Equity Incentive Plan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 appropriate Exhibit to the revised Definitive</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r>
      <w:tr>
        <w:trPr>
          <w:trHeight w:val="237"/>
        </w:trPr>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Proxy Statement on Form DEF 14-A, which was filed with the SEC on October 20, 2021)</w:t>
            </w:r>
          </w:p>
        </w:tc>
      </w:tr>
      <w:tr>
        <w:trPr>
          <w:trHeight w:val="39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4"/>
                <w:szCs w:val="24"/>
                <w:color w:val="auto"/>
              </w:rPr>
            </w:pPr>
          </w:p>
        </w:tc>
        <w:tc>
          <w:tcPr>
            <w:tcW w:w="7760" w:type="dxa"/>
            <w:vAlign w:val="bottom"/>
            <w:gridSpan w:val="7"/>
          </w:tcPr>
          <w:p>
            <w:pPr>
              <w:spacing w:after="0"/>
              <w:rPr>
                <w:rFonts w:ascii="Times New Roman" w:cs="Times New Roman" w:eastAsia="Times New Roman" w:hAnsi="Times New Roman"/>
                <w:sz w:val="18"/>
                <w:szCs w:val="18"/>
                <w:color w:val="0000EE"/>
              </w:rPr>
            </w:pPr>
            <w:hyperlink r:id="rId154">
              <w:r>
                <w:rPr>
                  <w:rFonts w:ascii="Times New Roman" w:cs="Times New Roman" w:eastAsia="Times New Roman" w:hAnsi="Times New Roman"/>
                  <w:sz w:val="18"/>
                  <w:szCs w:val="18"/>
                  <w:color w:val="0000EE"/>
                </w:rPr>
                <w:t xml:space="preserve">Description of Registrant’s Securities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 appropriate Exhibit to the Annual</w:t>
            </w:r>
          </w:p>
        </w:tc>
      </w:tr>
      <w:tr>
        <w:trPr>
          <w:trHeight w:val="20"/>
        </w:trPr>
        <w:tc>
          <w:tcPr>
            <w:tcW w:w="9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740" w:type="dxa"/>
            <w:vAlign w:val="bottom"/>
            <w:gridSpan w:val="2"/>
            <w:shd w:val="clear" w:color="auto" w:fill="0000EE"/>
          </w:tcPr>
          <w:p>
            <w:pPr>
              <w:spacing w:after="0" w:line="20" w:lineRule="exact"/>
              <w:rPr>
                <w:sz w:val="1"/>
                <w:szCs w:val="1"/>
                <w:color w:val="auto"/>
              </w:rPr>
            </w:pPr>
          </w:p>
        </w:tc>
        <w:tc>
          <w:tcPr>
            <w:tcW w:w="5020" w:type="dxa"/>
            <w:vAlign w:val="bottom"/>
            <w:gridSpan w:val="5"/>
          </w:tcPr>
          <w:p>
            <w:pPr>
              <w:spacing w:after="0" w:line="20" w:lineRule="exact"/>
              <w:rPr>
                <w:sz w:val="1"/>
                <w:szCs w:val="1"/>
                <w:color w:val="auto"/>
              </w:rPr>
            </w:pPr>
          </w:p>
        </w:tc>
      </w:tr>
      <w:tr>
        <w:trPr>
          <w:trHeight w:val="218"/>
        </w:trPr>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76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Report on Form 10-K for the year ended December 31, 2020, which was filed with the SEC on April 23,</w:t>
            </w:r>
          </w:p>
        </w:tc>
      </w:tr>
      <w:tr>
        <w:trPr>
          <w:trHeight w:val="234"/>
        </w:trPr>
        <w:tc>
          <w:tcPr>
            <w:tcW w:w="960" w:type="dxa"/>
            <w:vAlign w:val="bottom"/>
          </w:tcPr>
          <w:p>
            <w:pPr>
              <w:spacing w:after="0"/>
              <w:rPr>
                <w:sz w:val="20"/>
                <w:szCs w:val="20"/>
                <w:color w:val="auto"/>
              </w:rPr>
            </w:pPr>
          </w:p>
        </w:tc>
        <w:tc>
          <w:tcPr>
            <w:tcW w:w="21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2021)</w:t>
            </w:r>
          </w:p>
        </w:tc>
        <w:tc>
          <w:tcPr>
            <w:tcW w:w="7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64"/>
        </w:trPr>
        <w:tc>
          <w:tcPr>
            <w:tcW w:w="960" w:type="dxa"/>
            <w:vAlign w:val="bottom"/>
          </w:tcPr>
          <w:p>
            <w:pPr>
              <w:spacing w:after="0"/>
              <w:rPr>
                <w:sz w:val="24"/>
                <w:szCs w:val="24"/>
                <w:color w:val="auto"/>
              </w:rPr>
            </w:pPr>
          </w:p>
        </w:tc>
        <w:tc>
          <w:tcPr>
            <w:tcW w:w="4540" w:type="dxa"/>
            <w:vAlign w:val="bottom"/>
            <w:gridSpan w:val="4"/>
          </w:tcPr>
          <w:p>
            <w:pPr>
              <w:jc w:val="center"/>
              <w:ind w:left="2390"/>
              <w:spacing w:after="0"/>
              <w:rPr>
                <w:sz w:val="20"/>
                <w:szCs w:val="20"/>
                <w:color w:val="auto"/>
              </w:rPr>
            </w:pPr>
            <w:r>
              <w:rPr>
                <w:rFonts w:ascii="Times New Roman" w:cs="Times New Roman" w:eastAsia="Times New Roman" w:hAnsi="Times New Roman"/>
                <w:sz w:val="18"/>
                <w:szCs w:val="18"/>
                <w:color w:val="auto"/>
                <w:w w:val="96"/>
              </w:rPr>
              <w:t>111</w:t>
            </w:r>
          </w:p>
        </w:tc>
        <w:tc>
          <w:tcPr>
            <w:tcW w:w="9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1"/>
        </w:trPr>
        <w:tc>
          <w:tcPr>
            <w:tcW w:w="9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11" w:name="page112"/>
    <w:bookmarkEnd w:id="1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7740" w:type="dxa"/>
            <w:vAlign w:val="bottom"/>
            <w:gridSpan w:val="11"/>
          </w:tcPr>
          <w:p>
            <w:pPr>
              <w:spacing w:after="0"/>
              <w:rPr>
                <w:rFonts w:ascii="Times New Roman" w:cs="Times New Roman" w:eastAsia="Times New Roman" w:hAnsi="Times New Roman"/>
                <w:sz w:val="18"/>
                <w:szCs w:val="18"/>
                <w:color w:val="0000EE"/>
              </w:rPr>
            </w:pPr>
            <w:hyperlink r:id="rId155">
              <w:r>
                <w:rPr>
                  <w:rFonts w:ascii="Times New Roman" w:cs="Times New Roman" w:eastAsia="Times New Roman" w:hAnsi="Times New Roman"/>
                  <w:sz w:val="18"/>
                  <w:szCs w:val="18"/>
                  <w:color w:val="0000EE"/>
                </w:rPr>
                <w:t xml:space="preserve">Warrant issued to G-III Apparel Group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 appropriate Exhibit to the Annual</w:t>
            </w:r>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Report on Form 10-K for the period year ended December 31, 2023, which was filed with the SEC on</w:t>
            </w:r>
          </w:p>
        </w:tc>
      </w:tr>
      <w:tr>
        <w:trPr>
          <w:trHeight w:val="234"/>
        </w:trPr>
        <w:tc>
          <w:tcPr>
            <w:tcW w:w="1140" w:type="dxa"/>
            <w:vAlign w:val="bottom"/>
          </w:tcPr>
          <w:p>
            <w:pPr>
              <w:spacing w:after="0"/>
              <w:rPr>
                <w:sz w:val="20"/>
                <w:szCs w:val="20"/>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April 19, 2024)</w:t>
            </w:r>
          </w:p>
        </w:tc>
      </w:tr>
      <w:tr>
        <w:trPr>
          <w:trHeight w:val="39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4.5</w:t>
            </w:r>
          </w:p>
        </w:tc>
        <w:tc>
          <w:tcPr>
            <w:tcW w:w="7740" w:type="dxa"/>
            <w:vAlign w:val="bottom"/>
            <w:gridSpan w:val="11"/>
          </w:tcPr>
          <w:p>
            <w:pPr>
              <w:spacing w:after="0"/>
              <w:rPr>
                <w:rFonts w:ascii="Times New Roman" w:cs="Times New Roman" w:eastAsia="Times New Roman" w:hAnsi="Times New Roman"/>
                <w:sz w:val="18"/>
                <w:szCs w:val="18"/>
                <w:color w:val="0000EE"/>
              </w:rPr>
            </w:pPr>
            <w:hyperlink r:id="rId156">
              <w:r>
                <w:rPr>
                  <w:rFonts w:ascii="Times New Roman" w:cs="Times New Roman" w:eastAsia="Times New Roman" w:hAnsi="Times New Roman"/>
                  <w:sz w:val="18"/>
                  <w:szCs w:val="18"/>
                  <w:color w:val="0000EE"/>
                </w:rPr>
                <w:t xml:space="preserve">Form of Representative’s Warrant issued on March 19, 2024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 appropriate</w:t>
            </w:r>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Exhibit to the Current Report on Form 8-K, which was filed with the SEC on March 19, 2024)</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4.6</w:t>
            </w:r>
          </w:p>
        </w:tc>
        <w:tc>
          <w:tcPr>
            <w:tcW w:w="7740" w:type="dxa"/>
            <w:vAlign w:val="bottom"/>
            <w:gridSpan w:val="11"/>
          </w:tcPr>
          <w:p>
            <w:pPr>
              <w:spacing w:after="0"/>
              <w:rPr>
                <w:rFonts w:ascii="Times New Roman" w:cs="Times New Roman" w:eastAsia="Times New Roman" w:hAnsi="Times New Roman"/>
                <w:sz w:val="18"/>
                <w:szCs w:val="18"/>
                <w:color w:val="0000EE"/>
              </w:rPr>
            </w:pPr>
            <w:hyperlink r:id="rId157">
              <w:r>
                <w:rPr>
                  <w:rFonts w:ascii="Times New Roman" w:cs="Times New Roman" w:eastAsia="Times New Roman" w:hAnsi="Times New Roman"/>
                  <w:sz w:val="18"/>
                  <w:szCs w:val="18"/>
                  <w:color w:val="0000EE"/>
                </w:rPr>
                <w:t xml:space="preserve">Form of Common Stock Warrant issued on December 31, 2024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w:t>
            </w:r>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appropriate Exhibit to the Current Report on Form 8-K, which was filed with the SEC on December 16,</w:t>
            </w:r>
          </w:p>
        </w:tc>
      </w:tr>
      <w:tr>
        <w:trPr>
          <w:trHeight w:val="234"/>
        </w:trPr>
        <w:tc>
          <w:tcPr>
            <w:tcW w:w="114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39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4.7</w:t>
            </w:r>
          </w:p>
        </w:tc>
        <w:tc>
          <w:tcPr>
            <w:tcW w:w="7740" w:type="dxa"/>
            <w:vAlign w:val="bottom"/>
            <w:gridSpan w:val="11"/>
          </w:tcPr>
          <w:p>
            <w:pPr>
              <w:spacing w:after="0"/>
              <w:rPr>
                <w:rFonts w:ascii="Times New Roman" w:cs="Times New Roman" w:eastAsia="Times New Roman" w:hAnsi="Times New Roman"/>
                <w:sz w:val="18"/>
                <w:szCs w:val="18"/>
                <w:color w:val="0000EE"/>
                <w:w w:val="99"/>
              </w:rPr>
            </w:pPr>
            <w:hyperlink r:id="rId158">
              <w:r>
                <w:rPr>
                  <w:rFonts w:ascii="Times New Roman" w:cs="Times New Roman" w:eastAsia="Times New Roman" w:hAnsi="Times New Roman"/>
                  <w:sz w:val="18"/>
                  <w:szCs w:val="18"/>
                  <w:color w:val="0000EE"/>
                  <w:w w:val="99"/>
                </w:rPr>
                <w:t xml:space="preserve">Form of UTG Warrant </w:t>
              </w:r>
            </w:hyperlink>
            <w:r>
              <w:rPr>
                <w:rFonts w:ascii="Times New Roman" w:cs="Times New Roman" w:eastAsia="Times New Roman" w:hAnsi="Times New Roman"/>
                <w:sz w:val="18"/>
                <w:szCs w:val="18"/>
                <w:color w:val="000000"/>
                <w:w w:val="99"/>
              </w:rPr>
              <w:t>(Incorporated</w:t>
            </w:r>
            <w:r>
              <w:rPr>
                <w:rFonts w:ascii="Times New Roman" w:cs="Times New Roman" w:eastAsia="Times New Roman" w:hAnsi="Times New Roman"/>
                <w:sz w:val="18"/>
                <w:szCs w:val="18"/>
                <w:color w:val="0000EE"/>
                <w:w w:val="99"/>
              </w:rPr>
              <w:t xml:space="preserve"> </w:t>
            </w:r>
            <w:r>
              <w:rPr>
                <w:rFonts w:ascii="Times New Roman" w:cs="Times New Roman" w:eastAsia="Times New Roman" w:hAnsi="Times New Roman"/>
                <w:sz w:val="18"/>
                <w:szCs w:val="18"/>
                <w:color w:val="000000"/>
                <w:w w:val="99"/>
              </w:rPr>
              <w:t>by reference to the appropriate Exhibit to the Current Report on Form</w:t>
            </w:r>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8-K, which was filed with the SEC on April 24, 2025)</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4.8</w:t>
            </w:r>
          </w:p>
        </w:tc>
        <w:tc>
          <w:tcPr>
            <w:tcW w:w="7740" w:type="dxa"/>
            <w:vAlign w:val="bottom"/>
            <w:gridSpan w:val="11"/>
          </w:tcPr>
          <w:p>
            <w:pPr>
              <w:spacing w:after="0"/>
              <w:rPr>
                <w:rFonts w:ascii="Times New Roman" w:cs="Times New Roman" w:eastAsia="Times New Roman" w:hAnsi="Times New Roman"/>
                <w:sz w:val="18"/>
                <w:szCs w:val="18"/>
                <w:color w:val="0000EE"/>
              </w:rPr>
            </w:pPr>
            <w:hyperlink r:id="rId159">
              <w:r>
                <w:rPr>
                  <w:rFonts w:ascii="Times New Roman" w:cs="Times New Roman" w:eastAsia="Times New Roman" w:hAnsi="Times New Roman"/>
                  <w:sz w:val="18"/>
                  <w:szCs w:val="18"/>
                  <w:color w:val="0000EE"/>
                </w:rPr>
                <w:t xml:space="preserve">Form of Restore Warrant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 appropriate Exhibit to the Current Report on</w:t>
            </w:r>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Form 8-K, which was filed with the SEC on April 24, 2025)</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4.9</w:t>
            </w:r>
          </w:p>
        </w:tc>
        <w:tc>
          <w:tcPr>
            <w:tcW w:w="7740" w:type="dxa"/>
            <w:vAlign w:val="bottom"/>
            <w:gridSpan w:val="11"/>
          </w:tcPr>
          <w:p>
            <w:pPr>
              <w:spacing w:after="0"/>
              <w:rPr>
                <w:rFonts w:ascii="Times New Roman" w:cs="Times New Roman" w:eastAsia="Times New Roman" w:hAnsi="Times New Roman"/>
                <w:sz w:val="18"/>
                <w:szCs w:val="18"/>
                <w:color w:val="0000EE"/>
              </w:rPr>
            </w:pPr>
            <w:hyperlink r:id="rId160">
              <w:r>
                <w:rPr>
                  <w:rFonts w:ascii="Times New Roman" w:cs="Times New Roman" w:eastAsia="Times New Roman" w:hAnsi="Times New Roman"/>
                  <w:sz w:val="18"/>
                  <w:szCs w:val="18"/>
                  <w:color w:val="0000EE"/>
                </w:rPr>
                <w:t xml:space="preserve">Form of Restore Warrant Amendment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 appropriate Exhibit to the Current</w:t>
            </w:r>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tcBorders>
              <w:left w:val="single" w:sz="8" w:color="0000EE"/>
            </w:tcBorders>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Report on Form 8-K, which was filed with the SEC on April 24, 2025)</w:t>
            </w:r>
          </w:p>
        </w:tc>
      </w:tr>
      <w:tr>
        <w:trPr>
          <w:trHeight w:val="39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4.10</w:t>
            </w:r>
          </w:p>
        </w:tc>
        <w:tc>
          <w:tcPr>
            <w:tcW w:w="7740" w:type="dxa"/>
            <w:vAlign w:val="bottom"/>
            <w:gridSpan w:val="11"/>
          </w:tcPr>
          <w:p>
            <w:pPr>
              <w:spacing w:after="0"/>
              <w:rPr>
                <w:rFonts w:ascii="Times New Roman" w:cs="Times New Roman" w:eastAsia="Times New Roman" w:hAnsi="Times New Roman"/>
                <w:sz w:val="18"/>
                <w:szCs w:val="18"/>
                <w:color w:val="0000EE"/>
              </w:rPr>
            </w:pPr>
            <w:hyperlink r:id="rId161">
              <w:r>
                <w:rPr>
                  <w:rFonts w:ascii="Times New Roman" w:cs="Times New Roman" w:eastAsia="Times New Roman" w:hAnsi="Times New Roman"/>
                  <w:sz w:val="18"/>
                  <w:szCs w:val="18"/>
                  <w:color w:val="0000EE"/>
                </w:rPr>
                <w:t xml:space="preserve">Form of FEAC Warrant Amendment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 appropriate Exhibit to the Current</w:t>
            </w:r>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100" w:type="dxa"/>
            <w:vAlign w:val="bottom"/>
            <w:tcBorders>
              <w:left w:val="single" w:sz="8" w:color="0000EE"/>
            </w:tcBorders>
            <w:gridSpan w:val="2"/>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Report on Form 8-K, which was filed with the SEC on April 24, 2025)</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4.11</w:t>
            </w:r>
          </w:p>
        </w:tc>
        <w:tc>
          <w:tcPr>
            <w:tcW w:w="7740" w:type="dxa"/>
            <w:vAlign w:val="bottom"/>
            <w:gridSpan w:val="11"/>
          </w:tcPr>
          <w:p>
            <w:pPr>
              <w:spacing w:after="0"/>
              <w:rPr>
                <w:rFonts w:ascii="Times New Roman" w:cs="Times New Roman" w:eastAsia="Times New Roman" w:hAnsi="Times New Roman"/>
                <w:sz w:val="18"/>
                <w:szCs w:val="18"/>
                <w:color w:val="0000EE"/>
              </w:rPr>
            </w:pPr>
            <w:hyperlink r:id="rId162">
              <w:r>
                <w:rPr>
                  <w:rFonts w:ascii="Times New Roman" w:cs="Times New Roman" w:eastAsia="Times New Roman" w:hAnsi="Times New Roman"/>
                  <w:sz w:val="18"/>
                  <w:szCs w:val="18"/>
                  <w:color w:val="0000EE"/>
                </w:rPr>
                <w:t xml:space="preserve">Form of Placement Agent’s Warrants issued on August 1, 2025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w:t>
            </w:r>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0" w:type="dxa"/>
            <w:vAlign w:val="bottom"/>
            <w:tcBorders>
              <w:left w:val="single" w:sz="8" w:color="0000EE"/>
            </w:tcBorders>
            <w:gridSpan w:val="4"/>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720" w:type="dxa"/>
            <w:vAlign w:val="bottom"/>
            <w:tcBorders>
              <w:left w:val="single" w:sz="8" w:color="0000EE"/>
            </w:tcBorders>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appropriate Exhibit to the Current Report on Form 8-K, which was filed with the SEC on August 7, 2025)</w:t>
            </w:r>
          </w:p>
        </w:tc>
      </w:tr>
      <w:tr>
        <w:trPr>
          <w:trHeight w:val="39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4.12</w:t>
            </w:r>
          </w:p>
        </w:tc>
        <w:tc>
          <w:tcPr>
            <w:tcW w:w="7740" w:type="dxa"/>
            <w:vAlign w:val="bottom"/>
            <w:gridSpan w:val="11"/>
          </w:tcPr>
          <w:p>
            <w:pPr>
              <w:spacing w:after="0"/>
              <w:rPr>
                <w:rFonts w:ascii="Times New Roman" w:cs="Times New Roman" w:eastAsia="Times New Roman" w:hAnsi="Times New Roman"/>
                <w:sz w:val="18"/>
                <w:szCs w:val="18"/>
                <w:color w:val="0000EE"/>
              </w:rPr>
            </w:pPr>
            <w:hyperlink r:id="rId163">
              <w:r>
                <w:rPr>
                  <w:rFonts w:ascii="Times New Roman" w:cs="Times New Roman" w:eastAsia="Times New Roman" w:hAnsi="Times New Roman"/>
                  <w:sz w:val="18"/>
                  <w:szCs w:val="18"/>
                  <w:color w:val="0000EE"/>
                </w:rPr>
                <w:t xml:space="preserve">Form of Warrant issued on December 18, 2025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 appropriate Exhibit to the</w:t>
            </w:r>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800" w:type="dxa"/>
            <w:vAlign w:val="bottom"/>
            <w:tcBorders>
              <w:left w:val="single" w:sz="8" w:color="0000EE"/>
            </w:tcBorders>
            <w:gridSpan w:val="4"/>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Current Report on Form 8-K, which was filed with the SEC on December 19, 2025)</w:t>
            </w:r>
          </w:p>
        </w:tc>
      </w:tr>
      <w:tr>
        <w:trPr>
          <w:trHeight w:val="39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4.13</w:t>
            </w:r>
          </w:p>
        </w:tc>
        <w:tc>
          <w:tcPr>
            <w:tcW w:w="7740" w:type="dxa"/>
            <w:vAlign w:val="bottom"/>
            <w:gridSpan w:val="11"/>
          </w:tcPr>
          <w:p>
            <w:pPr>
              <w:spacing w:after="0"/>
              <w:rPr>
                <w:rFonts w:ascii="Times New Roman" w:cs="Times New Roman" w:eastAsia="Times New Roman" w:hAnsi="Times New Roman"/>
                <w:sz w:val="18"/>
                <w:szCs w:val="18"/>
                <w:color w:val="0000EE"/>
              </w:rPr>
            </w:pPr>
            <w:hyperlink r:id="rId164">
              <w:r>
                <w:rPr>
                  <w:rFonts w:ascii="Times New Roman" w:cs="Times New Roman" w:eastAsia="Times New Roman" w:hAnsi="Times New Roman"/>
                  <w:sz w:val="18"/>
                  <w:szCs w:val="18"/>
                  <w:color w:val="0000EE"/>
                </w:rPr>
                <w:t xml:space="preserve">Form of Pre-Funded Warrant issued on December 18, 2025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 appropriate</w:t>
            </w:r>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20" w:type="dxa"/>
            <w:vAlign w:val="bottom"/>
            <w:tcBorders>
              <w:left w:val="single" w:sz="8" w:color="0000EE"/>
            </w:tcBorders>
            <w:gridSpan w:val="5"/>
            <w:shd w:val="clear" w:color="auto" w:fill="0000EE"/>
          </w:tcPr>
          <w:p>
            <w:pPr>
              <w:spacing w:after="0" w:line="20" w:lineRule="exact"/>
              <w:rPr>
                <w:sz w:val="1"/>
                <w:szCs w:val="1"/>
                <w:color w:val="auto"/>
              </w:rPr>
            </w:pPr>
          </w:p>
        </w:tc>
        <w:tc>
          <w:tcPr>
            <w:tcW w:w="780" w:type="dxa"/>
            <w:vAlign w:val="bottom"/>
            <w:tcBorders>
              <w:left w:val="single" w:sz="8" w:color="0000EE"/>
            </w:tcBorders>
            <w:gridSpan w:val="3"/>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Exhibit to the Current Report on Form 8-K, which was filed with the SEC on December 19, 2025)</w:t>
            </w:r>
          </w:p>
        </w:tc>
      </w:tr>
      <w:tr>
        <w:trPr>
          <w:trHeight w:val="39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4.14</w:t>
            </w:r>
          </w:p>
        </w:tc>
        <w:tc>
          <w:tcPr>
            <w:tcW w:w="7740" w:type="dxa"/>
            <w:vAlign w:val="bottom"/>
            <w:gridSpan w:val="11"/>
          </w:tcPr>
          <w:p>
            <w:pPr>
              <w:spacing w:after="0"/>
              <w:rPr>
                <w:rFonts w:ascii="Times New Roman" w:cs="Times New Roman" w:eastAsia="Times New Roman" w:hAnsi="Times New Roman"/>
                <w:sz w:val="18"/>
                <w:szCs w:val="18"/>
                <w:color w:val="0000EE"/>
              </w:rPr>
            </w:pPr>
            <w:hyperlink r:id="rId165">
              <w:r>
                <w:rPr>
                  <w:rFonts w:ascii="Times New Roman" w:cs="Times New Roman" w:eastAsia="Times New Roman" w:hAnsi="Times New Roman"/>
                  <w:sz w:val="18"/>
                  <w:szCs w:val="18"/>
                  <w:color w:val="0000EE"/>
                </w:rPr>
                <w:t xml:space="preserve">Form of Placement Agent Warrant issued on December 18, 2025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w:t>
            </w:r>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20" w:type="dxa"/>
            <w:vAlign w:val="bottom"/>
            <w:tcBorders>
              <w:left w:val="single" w:sz="8" w:color="0000EE"/>
            </w:tcBorders>
            <w:gridSpan w:val="5"/>
            <w:shd w:val="clear" w:color="auto" w:fill="0000EE"/>
          </w:tcPr>
          <w:p>
            <w:pPr>
              <w:spacing w:after="0" w:line="20" w:lineRule="exact"/>
              <w:rPr>
                <w:sz w:val="1"/>
                <w:szCs w:val="1"/>
                <w:color w:val="auto"/>
              </w:rPr>
            </w:pPr>
          </w:p>
        </w:tc>
        <w:tc>
          <w:tcPr>
            <w:tcW w:w="780" w:type="dxa"/>
            <w:vAlign w:val="bottom"/>
            <w:tcBorders>
              <w:left w:val="single" w:sz="8" w:color="0000EE"/>
            </w:tcBorders>
            <w:gridSpan w:val="3"/>
            <w:shd w:val="clear" w:color="auto" w:fill="0000EE"/>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218"/>
        </w:trPr>
        <w:tc>
          <w:tcPr>
            <w:tcW w:w="1140" w:type="dxa"/>
            <w:vAlign w:val="bottom"/>
          </w:tcPr>
          <w:p>
            <w:pPr>
              <w:spacing w:after="0"/>
              <w:rPr>
                <w:sz w:val="18"/>
                <w:szCs w:val="18"/>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appropriate Exhibit to the Current Report on Form 8-K, which was filed with the SEC on December 19,</w:t>
            </w:r>
          </w:p>
        </w:tc>
      </w:tr>
      <w:tr>
        <w:trPr>
          <w:trHeight w:val="234"/>
        </w:trPr>
        <w:tc>
          <w:tcPr>
            <w:tcW w:w="1140" w:type="dxa"/>
            <w:vAlign w:val="bottom"/>
          </w:tcPr>
          <w:p>
            <w:pPr>
              <w:spacing w:after="0"/>
              <w:rPr>
                <w:sz w:val="20"/>
                <w:szCs w:val="20"/>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40" w:type="dxa"/>
            <w:vAlign w:val="bottom"/>
          </w:tcPr>
          <w:p>
            <w:pPr>
              <w:spacing w:after="0"/>
              <w:rPr>
                <w:sz w:val="20"/>
                <w:szCs w:val="20"/>
                <w:color w:val="auto"/>
              </w:rPr>
            </w:pPr>
          </w:p>
        </w:tc>
      </w:tr>
      <w:tr>
        <w:trPr>
          <w:trHeight w:val="39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7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Amended and Restated Voting Agreement between Xcel Brands, Inc. and IM Ready-Made, LLC, dated as</w:t>
              </w:r>
            </w:hyperlink>
          </w:p>
        </w:tc>
      </w:tr>
      <w:tr>
        <w:trPr>
          <w:trHeight w:val="196"/>
        </w:trPr>
        <w:tc>
          <w:tcPr>
            <w:tcW w:w="1140" w:type="dxa"/>
            <w:vAlign w:val="bottom"/>
          </w:tcPr>
          <w:p>
            <w:pPr>
              <w:spacing w:after="0"/>
              <w:rPr>
                <w:sz w:val="17"/>
                <w:szCs w:val="17"/>
                <w:color w:val="auto"/>
              </w:rPr>
            </w:pPr>
          </w:p>
        </w:tc>
        <w:tc>
          <w:tcPr>
            <w:tcW w:w="7740" w:type="dxa"/>
            <w:vAlign w:val="bottom"/>
            <w:gridSpan w:val="11"/>
          </w:tcPr>
          <w:p>
            <w:pPr>
              <w:spacing w:after="0" w:line="196" w:lineRule="exact"/>
              <w:rPr>
                <w:rFonts w:ascii="Times New Roman" w:cs="Times New Roman" w:eastAsia="Times New Roman" w:hAnsi="Times New Roman"/>
                <w:sz w:val="18"/>
                <w:szCs w:val="18"/>
                <w:color w:val="0000EE"/>
              </w:rPr>
            </w:pPr>
            <w:hyperlink r:id="rId166">
              <w:r>
                <w:rPr>
                  <w:rFonts w:ascii="Times New Roman" w:cs="Times New Roman" w:eastAsia="Times New Roman" w:hAnsi="Times New Roman"/>
                  <w:sz w:val="18"/>
                  <w:szCs w:val="18"/>
                  <w:color w:val="0000EE"/>
                </w:rPr>
                <w:t xml:space="preserve">of December 24, 2013 </w:t>
              </w:r>
              <w:r>
                <w:rPr>
                  <w:rFonts w:ascii="Times New Roman" w:cs="Times New Roman" w:eastAsia="Times New Roman" w:hAnsi="Times New Roman"/>
                  <w:sz w:val="18"/>
                  <w:szCs w:val="18"/>
                  <w:color w:val="000000"/>
                </w:rPr>
                <w:t>(Incorporated by reference to the appropriate Exhibit to the Current Report on Form</w:t>
              </w:r>
            </w:hyperlink>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720" w:type="dxa"/>
            <w:vAlign w:val="bottom"/>
            <w:gridSpan w:val="5"/>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8-K, which was filed with the SEC on December 24, 2013)</w:t>
            </w:r>
          </w:p>
        </w:tc>
      </w:tr>
      <w:tr>
        <w:trPr>
          <w:trHeight w:val="39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9.2</w:t>
            </w:r>
          </w:p>
        </w:tc>
        <w:tc>
          <w:tcPr>
            <w:tcW w:w="7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67">
              <w:r>
                <w:rPr>
                  <w:rFonts w:ascii="Times New Roman" w:cs="Times New Roman" w:eastAsia="Times New Roman" w:hAnsi="Times New Roman"/>
                  <w:sz w:val="18"/>
                  <w:szCs w:val="18"/>
                  <w:color w:val="0000EE"/>
                </w:rPr>
                <w:t>Voting Agreement between Xcel Brands, Inc. and Judith Ripka Berk, dated as of April 3, 2014</w:t>
              </w:r>
            </w:hyperlink>
          </w:p>
        </w:tc>
      </w:tr>
      <w:tr>
        <w:trPr>
          <w:trHeight w:val="218"/>
        </w:trPr>
        <w:tc>
          <w:tcPr>
            <w:tcW w:w="1140" w:type="dxa"/>
            <w:vAlign w:val="bottom"/>
          </w:tcPr>
          <w:p>
            <w:pPr>
              <w:spacing w:after="0"/>
              <w:rPr>
                <w:sz w:val="18"/>
                <w:szCs w:val="18"/>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(Incorporated by reference to the appropriate Exhibit to the Current Report on Form 8-K, which was filed</w:t>
            </w:r>
          </w:p>
        </w:tc>
      </w:tr>
      <w:tr>
        <w:trPr>
          <w:trHeight w:val="234"/>
        </w:trPr>
        <w:tc>
          <w:tcPr>
            <w:tcW w:w="1140" w:type="dxa"/>
            <w:vAlign w:val="bottom"/>
          </w:tcPr>
          <w:p>
            <w:pPr>
              <w:spacing w:after="0"/>
              <w:rPr>
                <w:sz w:val="20"/>
                <w:szCs w:val="20"/>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 the SEC on April 9, 2014)</w:t>
            </w:r>
          </w:p>
        </w:tc>
      </w:tr>
      <w:tr>
        <w:trPr>
          <w:trHeight w:val="39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9.3</w:t>
            </w:r>
          </w:p>
        </w:tc>
        <w:tc>
          <w:tcPr>
            <w:tcW w:w="7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Voting Agreement dated as of December 22, 2014 by and between Xcel Brands, Inc. and H Company IP,</w:t>
              </w:r>
            </w:hyperlink>
          </w:p>
        </w:tc>
      </w:tr>
      <w:tr>
        <w:trPr>
          <w:trHeight w:val="196"/>
        </w:trPr>
        <w:tc>
          <w:tcPr>
            <w:tcW w:w="1140" w:type="dxa"/>
            <w:vAlign w:val="bottom"/>
          </w:tcPr>
          <w:p>
            <w:pPr>
              <w:spacing w:after="0"/>
              <w:rPr>
                <w:sz w:val="17"/>
                <w:szCs w:val="17"/>
                <w:color w:val="auto"/>
              </w:rPr>
            </w:pPr>
          </w:p>
        </w:tc>
        <w:tc>
          <w:tcPr>
            <w:tcW w:w="7740" w:type="dxa"/>
            <w:vAlign w:val="bottom"/>
            <w:gridSpan w:val="11"/>
          </w:tcPr>
          <w:p>
            <w:pPr>
              <w:spacing w:after="0" w:line="196" w:lineRule="exact"/>
              <w:rPr>
                <w:rFonts w:ascii="Times New Roman" w:cs="Times New Roman" w:eastAsia="Times New Roman" w:hAnsi="Times New Roman"/>
                <w:sz w:val="18"/>
                <w:szCs w:val="18"/>
                <w:color w:val="0000EE"/>
              </w:rPr>
            </w:pPr>
            <w:hyperlink r:id="rId168">
              <w:r>
                <w:rPr>
                  <w:rFonts w:ascii="Times New Roman" w:cs="Times New Roman" w:eastAsia="Times New Roman" w:hAnsi="Times New Roman"/>
                  <w:sz w:val="18"/>
                  <w:szCs w:val="18"/>
                  <w:color w:val="0000EE"/>
                </w:rPr>
                <w:t xml:space="preserve">LLC </w:t>
              </w:r>
              <w:r>
                <w:rPr>
                  <w:rFonts w:ascii="Times New Roman" w:cs="Times New Roman" w:eastAsia="Times New Roman" w:hAnsi="Times New Roman"/>
                  <w:sz w:val="18"/>
                  <w:szCs w:val="18"/>
                  <w:color w:val="000000"/>
                </w:rPr>
                <w:t>(Incorporated by reference to the appropriate Exhibit to the Current Report on Form 8-K, which was</w:t>
              </w:r>
            </w:hyperlink>
          </w:p>
        </w:tc>
      </w:tr>
      <w:tr>
        <w:trPr>
          <w:trHeight w:val="20"/>
        </w:trPr>
        <w:tc>
          <w:tcPr>
            <w:tcW w:w="114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980" w:type="dxa"/>
            <w:vAlign w:val="bottom"/>
            <w:gridSpan w:val="6"/>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r>
      <w:tr>
        <w:trPr>
          <w:trHeight w:val="237"/>
        </w:trPr>
        <w:tc>
          <w:tcPr>
            <w:tcW w:w="1140" w:type="dxa"/>
            <w:vAlign w:val="bottom"/>
          </w:tcPr>
          <w:p>
            <w:pPr>
              <w:spacing w:after="0"/>
              <w:rPr>
                <w:sz w:val="20"/>
                <w:szCs w:val="20"/>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filed with the SEC on December 24, 2014)</w:t>
            </w:r>
          </w:p>
        </w:tc>
      </w:tr>
      <w:tr>
        <w:trPr>
          <w:trHeight w:val="391"/>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9.4</w:t>
            </w:r>
          </w:p>
        </w:tc>
        <w:tc>
          <w:tcPr>
            <w:tcW w:w="7740" w:type="dxa"/>
            <w:vAlign w:val="bottom"/>
            <w:gridSpan w:val="11"/>
          </w:tcPr>
          <w:p>
            <w:pPr>
              <w:spacing w:after="0"/>
              <w:rPr>
                <w:rFonts w:ascii="Times New Roman" w:cs="Times New Roman" w:eastAsia="Times New Roman" w:hAnsi="Times New Roman"/>
                <w:sz w:val="18"/>
                <w:szCs w:val="18"/>
                <w:color w:val="0000EE"/>
              </w:rPr>
            </w:pPr>
            <w:hyperlink r:id="rId169">
              <w:r>
                <w:rPr>
                  <w:rFonts w:ascii="Times New Roman" w:cs="Times New Roman" w:eastAsia="Times New Roman" w:hAnsi="Times New Roman"/>
                  <w:sz w:val="18"/>
                  <w:szCs w:val="18"/>
                  <w:color w:val="0000EE"/>
                </w:rPr>
                <w:t xml:space="preserve">Form of Voting Agreement dated as of February 11, 2019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 appropriate</w:t>
            </w:r>
          </w:p>
        </w:tc>
      </w:tr>
      <w:tr>
        <w:trPr>
          <w:trHeight w:val="20"/>
        </w:trPr>
        <w:tc>
          <w:tcPr>
            <w:tcW w:w="1140" w:type="dxa"/>
            <w:vAlign w:val="bottom"/>
          </w:tcPr>
          <w:p>
            <w:pPr>
              <w:spacing w:after="0" w:line="20" w:lineRule="exact"/>
              <w:rPr>
                <w:sz w:val="1"/>
                <w:szCs w:val="1"/>
                <w:color w:val="auto"/>
              </w:rPr>
            </w:pPr>
          </w:p>
        </w:tc>
        <w:tc>
          <w:tcPr>
            <w:tcW w:w="4320" w:type="dxa"/>
            <w:vAlign w:val="bottom"/>
            <w:gridSpan w:val="7"/>
            <w:shd w:val="clear" w:color="auto" w:fill="0000EE"/>
          </w:tcPr>
          <w:p>
            <w:pPr>
              <w:spacing w:after="0" w:line="20" w:lineRule="exact"/>
              <w:rPr>
                <w:sz w:val="1"/>
                <w:szCs w:val="1"/>
                <w:color w:val="auto"/>
              </w:rPr>
            </w:pPr>
          </w:p>
        </w:tc>
        <w:tc>
          <w:tcPr>
            <w:tcW w:w="3420" w:type="dxa"/>
            <w:vAlign w:val="bottom"/>
            <w:gridSpan w:val="4"/>
          </w:tcPr>
          <w:p>
            <w:pPr>
              <w:spacing w:after="0" w:line="20" w:lineRule="exact"/>
              <w:rPr>
                <w:sz w:val="1"/>
                <w:szCs w:val="1"/>
                <w:color w:val="auto"/>
              </w:rPr>
            </w:pPr>
          </w:p>
        </w:tc>
      </w:tr>
      <w:tr>
        <w:trPr>
          <w:trHeight w:val="236"/>
        </w:trPr>
        <w:tc>
          <w:tcPr>
            <w:tcW w:w="1140" w:type="dxa"/>
            <w:vAlign w:val="bottom"/>
          </w:tcPr>
          <w:p>
            <w:pPr>
              <w:spacing w:after="0"/>
              <w:rPr>
                <w:sz w:val="20"/>
                <w:szCs w:val="20"/>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exhibit to the Current Report on Form 8-K, which was filed with the SEC on February 15, 2019)</w:t>
            </w:r>
          </w:p>
        </w:tc>
      </w:tr>
      <w:tr>
        <w:trPr>
          <w:trHeight w:val="39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70">
              <w:r>
                <w:rPr>
                  <w:rFonts w:ascii="Times New Roman" w:cs="Times New Roman" w:eastAsia="Times New Roman" w:hAnsi="Times New Roman"/>
                  <w:sz w:val="18"/>
                  <w:szCs w:val="18"/>
                  <w:color w:val="0000EE"/>
                </w:rPr>
                <w:t>Sublease Agreement, dated as of July 8, 2015, by and between Xcel Brands, Inc. and GBG USA Inc.</w:t>
              </w:r>
            </w:hyperlink>
          </w:p>
        </w:tc>
      </w:tr>
      <w:tr>
        <w:trPr>
          <w:trHeight w:val="218"/>
        </w:trPr>
        <w:tc>
          <w:tcPr>
            <w:tcW w:w="1140" w:type="dxa"/>
            <w:vAlign w:val="bottom"/>
          </w:tcPr>
          <w:p>
            <w:pPr>
              <w:spacing w:after="0"/>
              <w:rPr>
                <w:sz w:val="18"/>
                <w:szCs w:val="18"/>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(Incorporated by reference to the appropriate Exhibit to the Current Report on Form 8-K, which was filed</w:t>
            </w:r>
          </w:p>
        </w:tc>
      </w:tr>
      <w:tr>
        <w:trPr>
          <w:trHeight w:val="234"/>
        </w:trPr>
        <w:tc>
          <w:tcPr>
            <w:tcW w:w="1140" w:type="dxa"/>
            <w:vAlign w:val="bottom"/>
          </w:tcPr>
          <w:p>
            <w:pPr>
              <w:spacing w:after="0"/>
              <w:rPr>
                <w:sz w:val="20"/>
                <w:szCs w:val="20"/>
                <w:color w:val="auto"/>
              </w:rPr>
            </w:pPr>
          </w:p>
        </w:tc>
        <w:tc>
          <w:tcPr>
            <w:tcW w:w="774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 the SEC on July 14, 2015)</w:t>
            </w: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367665</wp:posOffset>
            </wp:positionV>
            <wp:extent cx="5657850" cy="260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2" w:name="page113"/>
    <w:bookmarkEnd w:id="1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7760" w:type="dxa"/>
            <w:vAlign w:val="bottom"/>
            <w:gridSpan w:val="15"/>
          </w:tcPr>
          <w:p>
            <w:pPr>
              <w:spacing w:after="0"/>
              <w:rPr>
                <w:rFonts w:ascii="Times New Roman" w:cs="Times New Roman" w:eastAsia="Times New Roman" w:hAnsi="Times New Roman"/>
                <w:sz w:val="18"/>
                <w:szCs w:val="18"/>
                <w:color w:val="0000EE"/>
              </w:rPr>
            </w:pPr>
            <w:hyperlink r:id="rId172">
              <w:r>
                <w:rPr>
                  <w:rFonts w:ascii="Times New Roman" w:cs="Times New Roman" w:eastAsia="Times New Roman" w:hAnsi="Times New Roman"/>
                  <w:sz w:val="18"/>
                  <w:szCs w:val="18"/>
                  <w:color w:val="0000EE"/>
                </w:rPr>
                <w:t xml:space="preserve">Employment Agreement between the Company and James Haran dated February 27, 2019 </w:t>
              </w:r>
            </w:hyperlink>
            <w:r>
              <w:rPr>
                <w:rFonts w:ascii="Times New Roman" w:cs="Times New Roman" w:eastAsia="Times New Roman" w:hAnsi="Times New Roman"/>
                <w:sz w:val="18"/>
                <w:szCs w:val="18"/>
                <w:color w:val="000000"/>
              </w:rPr>
              <w:t>(Incorporated</w:t>
            </w:r>
          </w:p>
        </w:tc>
      </w:tr>
      <w:tr>
        <w:trPr>
          <w:trHeight w:val="20"/>
        </w:trPr>
        <w:tc>
          <w:tcPr>
            <w:tcW w:w="1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shd w:val="clear" w:color="auto" w:fill="0000EE"/>
          </w:tcPr>
          <w:p>
            <w:pPr>
              <w:spacing w:after="0" w:line="20" w:lineRule="exact"/>
              <w:rPr>
                <w:sz w:val="1"/>
                <w:szCs w:val="1"/>
                <w:color w:val="auto"/>
              </w:rPr>
            </w:pPr>
          </w:p>
        </w:tc>
        <w:tc>
          <w:tcPr>
            <w:tcW w:w="6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160" w:type="dxa"/>
            <w:vAlign w:val="bottom"/>
          </w:tcPr>
          <w:p>
            <w:pPr>
              <w:spacing w:after="0"/>
              <w:rPr>
                <w:sz w:val="18"/>
                <w:szCs w:val="18"/>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by reference to the appropriate Exhibit to the Annual Report on Form 10-K for the year ended December</w:t>
            </w:r>
          </w:p>
        </w:tc>
      </w:tr>
      <w:tr>
        <w:trPr>
          <w:trHeight w:val="234"/>
        </w:trPr>
        <w:tc>
          <w:tcPr>
            <w:tcW w:w="1160" w:type="dxa"/>
            <w:vAlign w:val="bottom"/>
          </w:tcPr>
          <w:p>
            <w:pPr>
              <w:spacing w:after="0"/>
              <w:rPr>
                <w:sz w:val="20"/>
                <w:szCs w:val="20"/>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31, 2020, which was filed with the SEC on April 23, 2021)</w:t>
            </w:r>
          </w:p>
        </w:tc>
      </w:tr>
      <w:tr>
        <w:trPr>
          <w:trHeight w:val="39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7760" w:type="dxa"/>
            <w:vAlign w:val="bottom"/>
            <w:gridSpan w:val="15"/>
          </w:tcPr>
          <w:p>
            <w:pPr>
              <w:spacing w:after="0"/>
              <w:rPr>
                <w:rFonts w:ascii="Times New Roman" w:cs="Times New Roman" w:eastAsia="Times New Roman" w:hAnsi="Times New Roman"/>
                <w:sz w:val="18"/>
                <w:szCs w:val="18"/>
                <w:color w:val="0000EE"/>
              </w:rPr>
            </w:pPr>
            <w:hyperlink r:id="rId173">
              <w:r>
                <w:rPr>
                  <w:rFonts w:ascii="Times New Roman" w:cs="Times New Roman" w:eastAsia="Times New Roman" w:hAnsi="Times New Roman"/>
                  <w:sz w:val="18"/>
                  <w:szCs w:val="18"/>
                  <w:color w:val="0000EE"/>
                </w:rPr>
                <w:t>Employment  Agreement  between  the  Company  and  Robert  D’Loren  dated  February  27,  2019</w:t>
              </w:r>
            </w:hyperlink>
          </w:p>
        </w:tc>
      </w:tr>
      <w:tr>
        <w:trPr>
          <w:trHeight w:val="20"/>
        </w:trPr>
        <w:tc>
          <w:tcPr>
            <w:tcW w:w="1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160" w:type="dxa"/>
            <w:vAlign w:val="bottom"/>
          </w:tcPr>
          <w:p>
            <w:pPr>
              <w:spacing w:after="0"/>
              <w:rPr>
                <w:sz w:val="18"/>
                <w:szCs w:val="18"/>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(Incorporated by reference to the appropriate Exhibit to the Annual Report on Form 10-K for the year</w:t>
            </w:r>
          </w:p>
        </w:tc>
      </w:tr>
      <w:tr>
        <w:trPr>
          <w:trHeight w:val="234"/>
        </w:trPr>
        <w:tc>
          <w:tcPr>
            <w:tcW w:w="1160" w:type="dxa"/>
            <w:vAlign w:val="bottom"/>
          </w:tcPr>
          <w:p>
            <w:pPr>
              <w:spacing w:after="0"/>
              <w:rPr>
                <w:sz w:val="20"/>
                <w:szCs w:val="20"/>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ended December 31, 2020, which was filed with the SEC on April 23, 2021)</w:t>
            </w:r>
          </w:p>
        </w:tc>
      </w:tr>
      <w:tr>
        <w:trPr>
          <w:trHeight w:val="39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760" w:type="dxa"/>
            <w:vAlign w:val="bottom"/>
            <w:gridSpan w:val="15"/>
          </w:tcPr>
          <w:p>
            <w:pPr>
              <w:spacing w:after="0"/>
              <w:rPr>
                <w:rFonts w:ascii="Times New Roman" w:cs="Times New Roman" w:eastAsia="Times New Roman" w:hAnsi="Times New Roman"/>
                <w:sz w:val="18"/>
                <w:szCs w:val="18"/>
                <w:color w:val="0000EE"/>
              </w:rPr>
            </w:pPr>
            <w:hyperlink r:id="rId174">
              <w:r>
                <w:rPr>
                  <w:rFonts w:ascii="Times New Roman" w:cs="Times New Roman" w:eastAsia="Times New Roman" w:hAnsi="Times New Roman"/>
                  <w:sz w:val="18"/>
                  <w:szCs w:val="18"/>
                  <w:color w:val="0000EE"/>
                </w:rPr>
                <w:t xml:space="preserve">Employment Agreement between the Company and Seth Burroughs dated February 27, 2019 </w:t>
              </w:r>
            </w:hyperlink>
            <w:r>
              <w:rPr>
                <w:rFonts w:ascii="Times New Roman" w:cs="Times New Roman" w:eastAsia="Times New Roman" w:hAnsi="Times New Roman"/>
                <w:sz w:val="18"/>
                <w:szCs w:val="18"/>
                <w:color w:val="000000"/>
              </w:rPr>
              <w:t>(Incorporated</w:t>
            </w:r>
          </w:p>
        </w:tc>
      </w:tr>
      <w:tr>
        <w:trPr>
          <w:trHeight w:val="20"/>
        </w:trPr>
        <w:tc>
          <w:tcPr>
            <w:tcW w:w="1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tcBorders>
              <w:left w:val="single" w:sz="8" w:color="0000EE"/>
            </w:tcBorders>
            <w:gridSpan w:val="2"/>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18"/>
        </w:trPr>
        <w:tc>
          <w:tcPr>
            <w:tcW w:w="1160" w:type="dxa"/>
            <w:vAlign w:val="bottom"/>
          </w:tcPr>
          <w:p>
            <w:pPr>
              <w:spacing w:after="0"/>
              <w:rPr>
                <w:sz w:val="18"/>
                <w:szCs w:val="18"/>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by reference to the appropriate Exhibit to the Annual Report on Form 10-K for the year ended December</w:t>
            </w:r>
          </w:p>
        </w:tc>
      </w:tr>
      <w:tr>
        <w:trPr>
          <w:trHeight w:val="234"/>
        </w:trPr>
        <w:tc>
          <w:tcPr>
            <w:tcW w:w="1160" w:type="dxa"/>
            <w:vAlign w:val="bottom"/>
          </w:tcPr>
          <w:p>
            <w:pPr>
              <w:spacing w:after="0"/>
              <w:rPr>
                <w:sz w:val="20"/>
                <w:szCs w:val="20"/>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31, 2021, which was filed with the SEC on April 15, 2022)</w:t>
            </w:r>
          </w:p>
        </w:tc>
      </w:tr>
      <w:tr>
        <w:trPr>
          <w:trHeight w:val="39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7760" w:type="dxa"/>
            <w:vAlign w:val="bottom"/>
            <w:gridSpan w:val="15"/>
          </w:tcPr>
          <w:p>
            <w:pPr>
              <w:spacing w:after="0"/>
              <w:rPr>
                <w:rFonts w:ascii="Times New Roman" w:cs="Times New Roman" w:eastAsia="Times New Roman" w:hAnsi="Times New Roman"/>
                <w:sz w:val="18"/>
                <w:szCs w:val="18"/>
                <w:color w:val="0000EE"/>
              </w:rPr>
            </w:pPr>
            <w:hyperlink r:id="rId175">
              <w:r>
                <w:rPr>
                  <w:rFonts w:ascii="Times New Roman" w:cs="Times New Roman" w:eastAsia="Times New Roman" w:hAnsi="Times New Roman"/>
                  <w:sz w:val="18"/>
                  <w:szCs w:val="18"/>
                  <w:color w:val="0000EE"/>
                </w:rPr>
                <w:t xml:space="preserve">Membership Interest Purchase Agreement dated May 27, 2022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w:t>
            </w:r>
          </w:p>
        </w:tc>
      </w:tr>
      <w:tr>
        <w:trPr>
          <w:trHeight w:val="20"/>
        </w:trPr>
        <w:tc>
          <w:tcPr>
            <w:tcW w:w="1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appropriate Exhibit to the Current Report on Form 8-K, which was filed with the SEC on June 3, 2022)</w:t>
            </w:r>
          </w:p>
        </w:tc>
      </w:tr>
      <w:tr>
        <w:trPr>
          <w:trHeight w:val="39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7760" w:type="dxa"/>
            <w:vAlign w:val="bottom"/>
            <w:gridSpan w:val="15"/>
          </w:tcPr>
          <w:p>
            <w:pPr>
              <w:spacing w:after="0"/>
              <w:rPr>
                <w:rFonts w:ascii="Times New Roman" w:cs="Times New Roman" w:eastAsia="Times New Roman" w:hAnsi="Times New Roman"/>
                <w:sz w:val="18"/>
                <w:szCs w:val="18"/>
                <w:color w:val="0000EE"/>
              </w:rPr>
            </w:pPr>
            <w:hyperlink r:id="rId176">
              <w:r>
                <w:rPr>
                  <w:rFonts w:ascii="Times New Roman" w:cs="Times New Roman" w:eastAsia="Times New Roman" w:hAnsi="Times New Roman"/>
                  <w:sz w:val="18"/>
                  <w:szCs w:val="18"/>
                  <w:color w:val="0000EE"/>
                </w:rPr>
                <w:t xml:space="preserve">Second Amendment to Membership Interest Purchase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w:t>
            </w:r>
          </w:p>
        </w:tc>
      </w:tr>
      <w:tr>
        <w:trPr>
          <w:trHeight w:val="20"/>
        </w:trPr>
        <w:tc>
          <w:tcPr>
            <w:tcW w:w="1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tcBorders>
              <w:left w:val="single" w:sz="8" w:color="0000EE"/>
            </w:tcBorders>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18"/>
        </w:trPr>
        <w:tc>
          <w:tcPr>
            <w:tcW w:w="1160" w:type="dxa"/>
            <w:vAlign w:val="bottom"/>
          </w:tcPr>
          <w:p>
            <w:pPr>
              <w:spacing w:after="0"/>
              <w:rPr>
                <w:sz w:val="18"/>
                <w:szCs w:val="18"/>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appropriate Exhibit to the Annual Report on Form 10-K for the period year ended December 31, 2023,</w:t>
            </w:r>
          </w:p>
        </w:tc>
      </w:tr>
      <w:tr>
        <w:trPr>
          <w:trHeight w:val="234"/>
        </w:trPr>
        <w:tc>
          <w:tcPr>
            <w:tcW w:w="1160" w:type="dxa"/>
            <w:vAlign w:val="bottom"/>
          </w:tcPr>
          <w:p>
            <w:pPr>
              <w:spacing w:after="0"/>
              <w:rPr>
                <w:sz w:val="20"/>
                <w:szCs w:val="20"/>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which was filed with the SEC on April 19, 2024)</w:t>
            </w:r>
          </w:p>
        </w:tc>
      </w:tr>
      <w:tr>
        <w:trPr>
          <w:trHeight w:val="39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7760" w:type="dxa"/>
            <w:vAlign w:val="bottom"/>
            <w:gridSpan w:val="15"/>
          </w:tcPr>
          <w:p>
            <w:pPr>
              <w:spacing w:after="0"/>
              <w:rPr>
                <w:rFonts w:ascii="Times New Roman" w:cs="Times New Roman" w:eastAsia="Times New Roman" w:hAnsi="Times New Roman"/>
                <w:sz w:val="18"/>
                <w:szCs w:val="18"/>
                <w:color w:val="0000EE"/>
              </w:rPr>
            </w:pPr>
            <w:hyperlink r:id="rId177">
              <w:r>
                <w:rPr>
                  <w:rFonts w:ascii="Times New Roman" w:cs="Times New Roman" w:eastAsia="Times New Roman" w:hAnsi="Times New Roman"/>
                  <w:sz w:val="18"/>
                  <w:szCs w:val="18"/>
                  <w:color w:val="0000EE"/>
                </w:rPr>
                <w:t xml:space="preserve">Third Amendment to Membership Interest Purchase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w:t>
            </w:r>
          </w:p>
        </w:tc>
      </w:tr>
      <w:tr>
        <w:trPr>
          <w:trHeight w:val="20"/>
        </w:trPr>
        <w:tc>
          <w:tcPr>
            <w:tcW w:w="1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18"/>
        </w:trPr>
        <w:tc>
          <w:tcPr>
            <w:tcW w:w="1160" w:type="dxa"/>
            <w:vAlign w:val="bottom"/>
          </w:tcPr>
          <w:p>
            <w:pPr>
              <w:spacing w:after="0"/>
              <w:rPr>
                <w:sz w:val="18"/>
                <w:szCs w:val="18"/>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appropriate Exhibit to the Annual Report on Form 10-K for the period year ended December 31, 2023,</w:t>
            </w:r>
          </w:p>
        </w:tc>
      </w:tr>
      <w:tr>
        <w:trPr>
          <w:trHeight w:val="234"/>
        </w:trPr>
        <w:tc>
          <w:tcPr>
            <w:tcW w:w="1160" w:type="dxa"/>
            <w:vAlign w:val="bottom"/>
          </w:tcPr>
          <w:p>
            <w:pPr>
              <w:spacing w:after="0"/>
              <w:rPr>
                <w:sz w:val="20"/>
                <w:szCs w:val="20"/>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which was filed with the SEC on April 19, 2024)</w:t>
            </w:r>
          </w:p>
        </w:tc>
      </w:tr>
      <w:tr>
        <w:trPr>
          <w:trHeight w:val="39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7760" w:type="dxa"/>
            <w:vAlign w:val="bottom"/>
            <w:gridSpan w:val="15"/>
          </w:tcPr>
          <w:p>
            <w:pPr>
              <w:spacing w:after="0"/>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Subscription Agreement, dated as of March 15, 2024, by and between Robert W. D’Loren and Xcel</w:t>
              </w:r>
            </w:hyperlink>
          </w:p>
        </w:tc>
      </w:tr>
      <w:tr>
        <w:trPr>
          <w:trHeight w:val="20"/>
        </w:trPr>
        <w:tc>
          <w:tcPr>
            <w:tcW w:w="1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140" w:type="dxa"/>
            <w:vAlign w:val="bottom"/>
            <w:tcBorders>
              <w:left w:val="single" w:sz="8" w:color="0000EE"/>
            </w:tcBorders>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15"/>
          </w:tcPr>
          <w:p>
            <w:pPr>
              <w:spacing w:after="0" w:line="196" w:lineRule="exact"/>
              <w:rPr>
                <w:rFonts w:ascii="Times New Roman" w:cs="Times New Roman" w:eastAsia="Times New Roman" w:hAnsi="Times New Roman"/>
                <w:sz w:val="18"/>
                <w:szCs w:val="18"/>
                <w:color w:val="0000EE"/>
              </w:rPr>
            </w:pPr>
            <w:hyperlink r:id="rId178">
              <w:r>
                <w:rPr>
                  <w:rFonts w:ascii="Times New Roman" w:cs="Times New Roman" w:eastAsia="Times New Roman" w:hAnsi="Times New Roman"/>
                  <w:sz w:val="18"/>
                  <w:szCs w:val="18"/>
                  <w:color w:val="0000EE"/>
                </w:rPr>
                <w:t xml:space="preserve">Brands, Inc. </w:t>
              </w:r>
              <w:r>
                <w:rPr>
                  <w:rFonts w:ascii="Times New Roman" w:cs="Times New Roman" w:eastAsia="Times New Roman" w:hAnsi="Times New Roman"/>
                  <w:sz w:val="18"/>
                  <w:szCs w:val="18"/>
                  <w:color w:val="000000"/>
                </w:rPr>
                <w:t>(Incorporated by reference to the appropriate Exhibit to the Current Report on Form 8-</w:t>
              </w:r>
            </w:hyperlink>
            <w:r>
              <w:rPr>
                <w:rFonts w:ascii="Times New Roman" w:cs="Times New Roman" w:eastAsia="Times New Roman" w:hAnsi="Times New Roman"/>
                <w:sz w:val="18"/>
                <w:szCs w:val="18"/>
                <w:color w:val="0000EE"/>
              </w:rPr>
              <w:t>K,</w:t>
            </w:r>
          </w:p>
        </w:tc>
      </w:tr>
      <w:tr>
        <w:trPr>
          <w:trHeight w:val="20"/>
        </w:trPr>
        <w:tc>
          <w:tcPr>
            <w:tcW w:w="1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4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which was filed with the SEC on March 19, 2024)</w:t>
            </w:r>
          </w:p>
        </w:tc>
      </w:tr>
      <w:tr>
        <w:trPr>
          <w:trHeight w:val="39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7760" w:type="dxa"/>
            <w:vAlign w:val="bottom"/>
            <w:gridSpan w:val="15"/>
          </w:tcPr>
          <w:p>
            <w:pPr>
              <w:spacing w:after="0"/>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Subscription Agreement, dated as of March 15, 2024, by and between Seth Burroughs and Xcel Brands,</w:t>
              </w:r>
            </w:hyperlink>
          </w:p>
        </w:tc>
      </w:tr>
      <w:tr>
        <w:trPr>
          <w:trHeight w:val="20"/>
        </w:trPr>
        <w:tc>
          <w:tcPr>
            <w:tcW w:w="1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46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15"/>
          </w:tcPr>
          <w:p>
            <w:pPr>
              <w:spacing w:after="0" w:line="196" w:lineRule="exact"/>
              <w:rPr>
                <w:rFonts w:ascii="Times New Roman" w:cs="Times New Roman" w:eastAsia="Times New Roman" w:hAnsi="Times New Roman"/>
                <w:sz w:val="18"/>
                <w:szCs w:val="18"/>
                <w:color w:val="0000EE"/>
              </w:rPr>
            </w:pPr>
            <w:hyperlink r:id="rId179">
              <w:r>
                <w:rPr>
                  <w:rFonts w:ascii="Times New Roman" w:cs="Times New Roman" w:eastAsia="Times New Roman" w:hAnsi="Times New Roman"/>
                  <w:sz w:val="18"/>
                  <w:szCs w:val="18"/>
                  <w:color w:val="0000EE"/>
                </w:rPr>
                <w:t xml:space="preserve">Inc. </w:t>
              </w:r>
              <w:r>
                <w:rPr>
                  <w:rFonts w:ascii="Times New Roman" w:cs="Times New Roman" w:eastAsia="Times New Roman" w:hAnsi="Times New Roman"/>
                  <w:sz w:val="18"/>
                  <w:szCs w:val="18"/>
                  <w:color w:val="000000"/>
                </w:rPr>
                <w:t>(Incorporated by reference to the appropriate Exhibit to the Current Report on Form 8-K, which was</w:t>
              </w:r>
            </w:hyperlink>
          </w:p>
        </w:tc>
      </w:tr>
      <w:tr>
        <w:trPr>
          <w:trHeight w:val="20"/>
        </w:trPr>
        <w:tc>
          <w:tcPr>
            <w:tcW w:w="1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filed with the SEC on March 19, 2024)</w:t>
            </w:r>
          </w:p>
        </w:tc>
      </w:tr>
      <w:tr>
        <w:trPr>
          <w:trHeight w:val="39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10.10</w:t>
            </w:r>
          </w:p>
        </w:tc>
        <w:tc>
          <w:tcPr>
            <w:tcW w:w="7760" w:type="dxa"/>
            <w:vAlign w:val="bottom"/>
            <w:gridSpan w:val="15"/>
          </w:tcPr>
          <w:p>
            <w:pPr>
              <w:spacing w:after="0"/>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Subscription Agreement, dated as of March 15, 2024, by and between Mark X. DiSanto Investment Trust</w:t>
              </w:r>
            </w:hyperlink>
          </w:p>
        </w:tc>
      </w:tr>
      <w:tr>
        <w:trPr>
          <w:trHeight w:val="20"/>
        </w:trPr>
        <w:tc>
          <w:tcPr>
            <w:tcW w:w="116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560" w:type="dxa"/>
            <w:vAlign w:val="bottom"/>
            <w:tcBorders>
              <w:left w:val="single" w:sz="8" w:color="0000EE"/>
            </w:tcBorders>
            <w:gridSpan w:val="5"/>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7760" w:type="dxa"/>
            <w:vAlign w:val="bottom"/>
            <w:gridSpan w:val="15"/>
          </w:tcPr>
          <w:p>
            <w:pPr>
              <w:spacing w:after="0" w:line="196" w:lineRule="exact"/>
              <w:rPr>
                <w:rFonts w:ascii="Times New Roman" w:cs="Times New Roman" w:eastAsia="Times New Roman" w:hAnsi="Times New Roman"/>
                <w:sz w:val="18"/>
                <w:szCs w:val="18"/>
                <w:color w:val="0000EE"/>
              </w:rPr>
            </w:pPr>
            <w:hyperlink r:id="rId180">
              <w:r>
                <w:rPr>
                  <w:rFonts w:ascii="Times New Roman" w:cs="Times New Roman" w:eastAsia="Times New Roman" w:hAnsi="Times New Roman"/>
                  <w:sz w:val="18"/>
                  <w:szCs w:val="18"/>
                  <w:color w:val="0000EE"/>
                </w:rPr>
                <w:t xml:space="preserve">and Xcel Brands, Inc. </w:t>
              </w:r>
              <w:r>
                <w:rPr>
                  <w:rFonts w:ascii="Times New Roman" w:cs="Times New Roman" w:eastAsia="Times New Roman" w:hAnsi="Times New Roman"/>
                  <w:sz w:val="18"/>
                  <w:szCs w:val="18"/>
                  <w:color w:val="000000"/>
                </w:rPr>
                <w:t>(Incorporated by reference to the appropriate Exhibit to the Current Report on Form</w:t>
              </w:r>
            </w:hyperlink>
          </w:p>
        </w:tc>
      </w:tr>
      <w:tr>
        <w:trPr>
          <w:trHeight w:val="20"/>
        </w:trPr>
        <w:tc>
          <w:tcPr>
            <w:tcW w:w="1160" w:type="dxa"/>
            <w:vAlign w:val="bottom"/>
          </w:tcPr>
          <w:p>
            <w:pPr>
              <w:spacing w:after="0" w:line="20" w:lineRule="exact"/>
              <w:rPr>
                <w:sz w:val="1"/>
                <w:szCs w:val="1"/>
                <w:color w:val="auto"/>
              </w:rPr>
            </w:pPr>
          </w:p>
        </w:tc>
        <w:tc>
          <w:tcPr>
            <w:tcW w:w="1560" w:type="dxa"/>
            <w:vAlign w:val="bottom"/>
            <w:gridSpan w:val="3"/>
            <w:shd w:val="clear" w:color="auto" w:fill="0000EE"/>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8-K, which was filed with the SEC on March 19, 2024)</w:t>
            </w:r>
          </w:p>
        </w:tc>
      </w:tr>
      <w:tr>
        <w:trPr>
          <w:trHeight w:val="39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10.11</w:t>
            </w:r>
          </w:p>
        </w:tc>
        <w:tc>
          <w:tcPr>
            <w:tcW w:w="7760" w:type="dxa"/>
            <w:vAlign w:val="bottom"/>
            <w:gridSpan w:val="15"/>
          </w:tcPr>
          <w:p>
            <w:pPr>
              <w:spacing w:after="0"/>
              <w:rPr>
                <w:rFonts w:ascii="Times New Roman" w:cs="Times New Roman" w:eastAsia="Times New Roman" w:hAnsi="Times New Roman"/>
                <w:sz w:val="18"/>
                <w:szCs w:val="18"/>
                <w:color w:val="0000EE"/>
              </w:rPr>
            </w:pPr>
            <w:hyperlink r:id="rId181">
              <w:r>
                <w:rPr>
                  <w:rFonts w:ascii="Times New Roman" w:cs="Times New Roman" w:eastAsia="Times New Roman" w:hAnsi="Times New Roman"/>
                  <w:sz w:val="18"/>
                  <w:szCs w:val="18"/>
                  <w:color w:val="0000EE"/>
                </w:rPr>
                <w:t xml:space="preserve">Asset Purchase Agreement dated June 21, 2024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 appropriate Exhibit to the</w:t>
            </w:r>
          </w:p>
        </w:tc>
      </w:tr>
      <w:tr>
        <w:trPr>
          <w:trHeight w:val="20"/>
        </w:trPr>
        <w:tc>
          <w:tcPr>
            <w:tcW w:w="1160" w:type="dxa"/>
            <w:vAlign w:val="bottom"/>
          </w:tcPr>
          <w:p>
            <w:pPr>
              <w:spacing w:after="0" w:line="20" w:lineRule="exact"/>
              <w:rPr>
                <w:sz w:val="1"/>
                <w:szCs w:val="1"/>
                <w:color w:val="auto"/>
              </w:rPr>
            </w:pPr>
          </w:p>
        </w:tc>
        <w:tc>
          <w:tcPr>
            <w:tcW w:w="3420" w:type="dxa"/>
            <w:vAlign w:val="bottom"/>
            <w:gridSpan w:val="4"/>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Current Report on Form 8-K, which was filed with the SEC on June 24, 2024)</w:t>
            </w:r>
          </w:p>
        </w:tc>
      </w:tr>
      <w:tr>
        <w:trPr>
          <w:trHeight w:val="39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10.12#</w:t>
            </w:r>
          </w:p>
        </w:tc>
        <w:tc>
          <w:tcPr>
            <w:tcW w:w="7760" w:type="dxa"/>
            <w:vAlign w:val="bottom"/>
            <w:gridSpan w:val="15"/>
          </w:tcPr>
          <w:p>
            <w:pPr>
              <w:spacing w:after="0"/>
              <w:rPr>
                <w:rFonts w:ascii="Times New Roman" w:cs="Times New Roman" w:eastAsia="Times New Roman" w:hAnsi="Times New Roman"/>
                <w:sz w:val="18"/>
                <w:szCs w:val="18"/>
                <w:color w:val="0000EE"/>
              </w:rPr>
            </w:pPr>
            <w:hyperlink r:id="rId182">
              <w:r>
                <w:rPr>
                  <w:rFonts w:ascii="Times New Roman" w:cs="Times New Roman" w:eastAsia="Times New Roman" w:hAnsi="Times New Roman"/>
                  <w:sz w:val="18"/>
                  <w:szCs w:val="18"/>
                  <w:color w:val="0000EE"/>
                </w:rPr>
                <w:t xml:space="preserve">Amendment to Employment Agreement between the Company and Robert D’Loren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w:t>
            </w:r>
          </w:p>
        </w:tc>
      </w:tr>
      <w:tr>
        <w:trPr>
          <w:trHeight w:val="20"/>
        </w:trPr>
        <w:tc>
          <w:tcPr>
            <w:tcW w:w="1160" w:type="dxa"/>
            <w:vAlign w:val="bottom"/>
          </w:tcPr>
          <w:p>
            <w:pPr>
              <w:spacing w:after="0" w:line="20" w:lineRule="exact"/>
              <w:rPr>
                <w:sz w:val="1"/>
                <w:szCs w:val="1"/>
                <w:color w:val="auto"/>
              </w:rPr>
            </w:pPr>
          </w:p>
        </w:tc>
        <w:tc>
          <w:tcPr>
            <w:tcW w:w="444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740" w:type="dxa"/>
            <w:vAlign w:val="bottom"/>
            <w:tcBorders>
              <w:left w:val="single" w:sz="8" w:color="0000EE"/>
            </w:tcBorders>
            <w:gridSpan w:val="7"/>
          </w:tcPr>
          <w:p>
            <w:pPr>
              <w:spacing w:after="0" w:line="20" w:lineRule="exact"/>
              <w:rPr>
                <w:sz w:val="1"/>
                <w:szCs w:val="1"/>
                <w:color w:val="auto"/>
              </w:rPr>
            </w:pPr>
          </w:p>
        </w:tc>
      </w:tr>
      <w:tr>
        <w:trPr>
          <w:trHeight w:val="218"/>
        </w:trPr>
        <w:tc>
          <w:tcPr>
            <w:tcW w:w="1160" w:type="dxa"/>
            <w:vAlign w:val="bottom"/>
          </w:tcPr>
          <w:p>
            <w:pPr>
              <w:spacing w:after="0"/>
              <w:rPr>
                <w:sz w:val="18"/>
                <w:szCs w:val="18"/>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reference to the appropriate Exhibit to the Current Report on Form 8-K, which was filed with the SEC on</w:t>
            </w:r>
          </w:p>
        </w:tc>
      </w:tr>
      <w:tr>
        <w:trPr>
          <w:trHeight w:val="234"/>
        </w:trPr>
        <w:tc>
          <w:tcPr>
            <w:tcW w:w="1160" w:type="dxa"/>
            <w:vAlign w:val="bottom"/>
          </w:tcPr>
          <w:p>
            <w:pPr>
              <w:spacing w:after="0"/>
              <w:rPr>
                <w:sz w:val="20"/>
                <w:szCs w:val="20"/>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August 2, 2024)</w:t>
            </w:r>
          </w:p>
        </w:tc>
      </w:tr>
      <w:tr>
        <w:trPr>
          <w:trHeight w:val="39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10.13#</w:t>
            </w:r>
          </w:p>
        </w:tc>
        <w:tc>
          <w:tcPr>
            <w:tcW w:w="7760" w:type="dxa"/>
            <w:vAlign w:val="bottom"/>
            <w:gridSpan w:val="15"/>
          </w:tcPr>
          <w:p>
            <w:pPr>
              <w:spacing w:after="0"/>
              <w:rPr>
                <w:rFonts w:ascii="Times New Roman" w:cs="Times New Roman" w:eastAsia="Times New Roman" w:hAnsi="Times New Roman"/>
                <w:sz w:val="18"/>
                <w:szCs w:val="18"/>
                <w:color w:val="0000EE"/>
              </w:rPr>
            </w:pPr>
            <w:hyperlink r:id="rId183">
              <w:r>
                <w:rPr>
                  <w:rFonts w:ascii="Times New Roman" w:cs="Times New Roman" w:eastAsia="Times New Roman" w:hAnsi="Times New Roman"/>
                  <w:sz w:val="18"/>
                  <w:szCs w:val="18"/>
                  <w:color w:val="0000EE"/>
                </w:rPr>
                <w:t xml:space="preserve">Amendment to Employment Agreement between the Company and Seth Burroughs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w:t>
            </w:r>
          </w:p>
        </w:tc>
      </w:tr>
      <w:tr>
        <w:trPr>
          <w:trHeight w:val="20"/>
        </w:trPr>
        <w:tc>
          <w:tcPr>
            <w:tcW w:w="1160" w:type="dxa"/>
            <w:vAlign w:val="bottom"/>
          </w:tcPr>
          <w:p>
            <w:pPr>
              <w:spacing w:after="0" w:line="20" w:lineRule="exact"/>
              <w:rPr>
                <w:sz w:val="1"/>
                <w:szCs w:val="1"/>
                <w:color w:val="auto"/>
              </w:rPr>
            </w:pPr>
          </w:p>
        </w:tc>
        <w:tc>
          <w:tcPr>
            <w:tcW w:w="4440" w:type="dxa"/>
            <w:vAlign w:val="bottom"/>
            <w:gridSpan w:val="5"/>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1740" w:type="dxa"/>
            <w:vAlign w:val="bottom"/>
            <w:gridSpan w:val="7"/>
          </w:tcPr>
          <w:p>
            <w:pPr>
              <w:spacing w:after="0" w:line="20" w:lineRule="exact"/>
              <w:rPr>
                <w:sz w:val="1"/>
                <w:szCs w:val="1"/>
                <w:color w:val="auto"/>
              </w:rPr>
            </w:pPr>
          </w:p>
        </w:tc>
      </w:tr>
      <w:tr>
        <w:trPr>
          <w:trHeight w:val="218"/>
        </w:trPr>
        <w:tc>
          <w:tcPr>
            <w:tcW w:w="1160" w:type="dxa"/>
            <w:vAlign w:val="bottom"/>
          </w:tcPr>
          <w:p>
            <w:pPr>
              <w:spacing w:after="0"/>
              <w:rPr>
                <w:sz w:val="18"/>
                <w:szCs w:val="18"/>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reference to the appropriate Exhibit to the Current Report on Form 8-K, which was filed with the SEC on</w:t>
            </w:r>
          </w:p>
        </w:tc>
      </w:tr>
      <w:tr>
        <w:trPr>
          <w:trHeight w:val="234"/>
        </w:trPr>
        <w:tc>
          <w:tcPr>
            <w:tcW w:w="1160" w:type="dxa"/>
            <w:vAlign w:val="bottom"/>
          </w:tcPr>
          <w:p>
            <w:pPr>
              <w:spacing w:after="0"/>
              <w:rPr>
                <w:sz w:val="20"/>
                <w:szCs w:val="20"/>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August 2, 2024)</w:t>
            </w:r>
          </w:p>
        </w:tc>
      </w:tr>
      <w:tr>
        <w:trPr>
          <w:trHeight w:val="39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10.14</w:t>
            </w:r>
          </w:p>
        </w:tc>
        <w:tc>
          <w:tcPr>
            <w:tcW w:w="7760" w:type="dxa"/>
            <w:vAlign w:val="bottom"/>
            <w:gridSpan w:val="15"/>
          </w:tcPr>
          <w:p>
            <w:pPr>
              <w:spacing w:after="0"/>
              <w:rPr>
                <w:rFonts w:ascii="Times New Roman" w:cs="Times New Roman" w:eastAsia="Times New Roman" w:hAnsi="Times New Roman"/>
                <w:sz w:val="18"/>
                <w:szCs w:val="18"/>
                <w:color w:val="0000EE"/>
              </w:rPr>
            </w:pPr>
            <w:hyperlink r:id="rId184">
              <w:r>
                <w:rPr>
                  <w:rFonts w:ascii="Times New Roman" w:cs="Times New Roman" w:eastAsia="Times New Roman" w:hAnsi="Times New Roman"/>
                  <w:sz w:val="18"/>
                  <w:szCs w:val="18"/>
                  <w:color w:val="0000EE"/>
                </w:rPr>
                <w:t xml:space="preserve">Loan and Security Agreement dated as of December 12, 2024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 appropriate</w:t>
            </w:r>
          </w:p>
        </w:tc>
      </w:tr>
      <w:tr>
        <w:trPr>
          <w:trHeight w:val="20"/>
        </w:trPr>
        <w:tc>
          <w:tcPr>
            <w:tcW w:w="1160" w:type="dxa"/>
            <w:vAlign w:val="bottom"/>
          </w:tcPr>
          <w:p>
            <w:pPr>
              <w:spacing w:after="0" w:line="20" w:lineRule="exact"/>
              <w:rPr>
                <w:sz w:val="1"/>
                <w:szCs w:val="1"/>
                <w:color w:val="auto"/>
              </w:rPr>
            </w:pPr>
          </w:p>
        </w:tc>
        <w:tc>
          <w:tcPr>
            <w:tcW w:w="4440" w:type="dxa"/>
            <w:vAlign w:val="bottom"/>
            <w:gridSpan w:val="5"/>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0" w:type="dxa"/>
            <w:vAlign w:val="bottom"/>
            <w:gridSpan w:val="9"/>
          </w:tcPr>
          <w:p>
            <w:pPr>
              <w:spacing w:after="0" w:line="20" w:lineRule="exact"/>
              <w:rPr>
                <w:sz w:val="1"/>
                <w:szCs w:val="1"/>
                <w:color w:val="auto"/>
              </w:rPr>
            </w:pPr>
          </w:p>
        </w:tc>
      </w:tr>
      <w:tr>
        <w:trPr>
          <w:trHeight w:val="236"/>
        </w:trPr>
        <w:tc>
          <w:tcPr>
            <w:tcW w:w="1160" w:type="dxa"/>
            <w:vAlign w:val="bottom"/>
          </w:tcPr>
          <w:p>
            <w:pPr>
              <w:spacing w:after="0"/>
              <w:rPr>
                <w:sz w:val="20"/>
                <w:szCs w:val="20"/>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Exhibit to the Current Report on Form 8-K, which was filed with the SEC on December 16, 2024)</w:t>
            </w:r>
          </w:p>
        </w:tc>
      </w:tr>
      <w:tr>
        <w:trPr>
          <w:trHeight w:val="39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10.15</w:t>
            </w:r>
          </w:p>
        </w:tc>
        <w:tc>
          <w:tcPr>
            <w:tcW w:w="7760" w:type="dxa"/>
            <w:vAlign w:val="bottom"/>
            <w:gridSpan w:val="15"/>
          </w:tcPr>
          <w:p>
            <w:pPr>
              <w:spacing w:after="0"/>
              <w:rPr>
                <w:rFonts w:ascii="Times New Roman" w:cs="Times New Roman" w:eastAsia="Times New Roman" w:hAnsi="Times New Roman"/>
                <w:sz w:val="18"/>
                <w:szCs w:val="18"/>
                <w:color w:val="0000EE"/>
              </w:rPr>
            </w:pPr>
            <w:hyperlink r:id="rId185">
              <w:r>
                <w:rPr>
                  <w:rFonts w:ascii="Times New Roman" w:cs="Times New Roman" w:eastAsia="Times New Roman" w:hAnsi="Times New Roman"/>
                  <w:sz w:val="18"/>
                  <w:szCs w:val="18"/>
                  <w:color w:val="0000EE"/>
                </w:rPr>
                <w:t xml:space="preserve">Membership Pledge Agreement dated as of December 12, 2024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w:t>
            </w:r>
          </w:p>
        </w:tc>
      </w:tr>
      <w:tr>
        <w:trPr>
          <w:trHeight w:val="20"/>
        </w:trPr>
        <w:tc>
          <w:tcPr>
            <w:tcW w:w="1160" w:type="dxa"/>
            <w:vAlign w:val="bottom"/>
          </w:tcPr>
          <w:p>
            <w:pPr>
              <w:spacing w:after="0" w:line="20" w:lineRule="exact"/>
              <w:rPr>
                <w:sz w:val="1"/>
                <w:szCs w:val="1"/>
                <w:color w:val="auto"/>
              </w:rPr>
            </w:pPr>
          </w:p>
        </w:tc>
        <w:tc>
          <w:tcPr>
            <w:tcW w:w="4560" w:type="dxa"/>
            <w:vAlign w:val="bottom"/>
            <w:gridSpan w:val="6"/>
            <w:shd w:val="clear" w:color="auto" w:fill="0000EE"/>
          </w:tcPr>
          <w:p>
            <w:pPr>
              <w:spacing w:after="0" w:line="20" w:lineRule="exact"/>
              <w:rPr>
                <w:sz w:val="1"/>
                <w:szCs w:val="1"/>
                <w:color w:val="auto"/>
              </w:rPr>
            </w:pPr>
          </w:p>
        </w:tc>
        <w:tc>
          <w:tcPr>
            <w:tcW w:w="3200" w:type="dxa"/>
            <w:vAlign w:val="bottom"/>
            <w:gridSpan w:val="9"/>
          </w:tcPr>
          <w:p>
            <w:pPr>
              <w:spacing w:after="0" w:line="20" w:lineRule="exact"/>
              <w:rPr>
                <w:sz w:val="1"/>
                <w:szCs w:val="1"/>
                <w:color w:val="auto"/>
              </w:rPr>
            </w:pPr>
          </w:p>
        </w:tc>
      </w:tr>
      <w:tr>
        <w:trPr>
          <w:trHeight w:val="218"/>
        </w:trPr>
        <w:tc>
          <w:tcPr>
            <w:tcW w:w="1160" w:type="dxa"/>
            <w:vAlign w:val="bottom"/>
          </w:tcPr>
          <w:p>
            <w:pPr>
              <w:spacing w:after="0"/>
              <w:rPr>
                <w:sz w:val="18"/>
                <w:szCs w:val="18"/>
                <w:color w:val="auto"/>
              </w:rPr>
            </w:pPr>
          </w:p>
        </w:tc>
        <w:tc>
          <w:tcPr>
            <w:tcW w:w="776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appropriate Exhibit to the Current Report on Form 8-K, which was filed with the SEC on December 16,</w:t>
            </w:r>
          </w:p>
        </w:tc>
      </w:tr>
      <w:tr>
        <w:trPr>
          <w:trHeight w:val="234"/>
        </w:trPr>
        <w:tc>
          <w:tcPr>
            <w:tcW w:w="1160" w:type="dxa"/>
            <w:vAlign w:val="bottom"/>
          </w:tcPr>
          <w:p>
            <w:pPr>
              <w:spacing w:after="0"/>
              <w:rPr>
                <w:sz w:val="20"/>
                <w:szCs w:val="20"/>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2024)</w:t>
            </w:r>
          </w:p>
        </w:tc>
        <w:tc>
          <w:tcPr>
            <w:tcW w:w="6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48"/>
        </w:trPr>
        <w:tc>
          <w:tcPr>
            <w:tcW w:w="1160" w:type="dxa"/>
            <w:vAlign w:val="bottom"/>
          </w:tcPr>
          <w:p>
            <w:pPr>
              <w:spacing w:after="0"/>
              <w:rPr>
                <w:sz w:val="24"/>
                <w:szCs w:val="24"/>
                <w:color w:val="auto"/>
              </w:rPr>
            </w:pPr>
          </w:p>
        </w:tc>
        <w:tc>
          <w:tcPr>
            <w:tcW w:w="4440" w:type="dxa"/>
            <w:vAlign w:val="bottom"/>
            <w:gridSpan w:val="5"/>
          </w:tcPr>
          <w:p>
            <w:pPr>
              <w:ind w:left="3180"/>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1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13" w:name="page114"/>
    <w:bookmarkEnd w:id="1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10.16</w:t>
            </w:r>
          </w:p>
        </w:tc>
        <w:tc>
          <w:tcPr>
            <w:tcW w:w="7760" w:type="dxa"/>
            <w:vAlign w:val="bottom"/>
            <w:gridSpan w:val="12"/>
          </w:tcPr>
          <w:p>
            <w:pPr>
              <w:spacing w:after="0"/>
              <w:rPr>
                <w:rFonts w:ascii="Times New Roman" w:cs="Times New Roman" w:eastAsia="Times New Roman" w:hAnsi="Times New Roman"/>
                <w:sz w:val="18"/>
                <w:szCs w:val="18"/>
                <w:color w:val="0000EE"/>
              </w:rPr>
            </w:pPr>
            <w:hyperlink r:id="rId186">
              <w:r>
                <w:rPr>
                  <w:rFonts w:ascii="Times New Roman" w:cs="Times New Roman" w:eastAsia="Times New Roman" w:hAnsi="Times New Roman"/>
                  <w:sz w:val="18"/>
                  <w:szCs w:val="18"/>
                  <w:color w:val="0000EE"/>
                </w:rPr>
                <w:t xml:space="preserve">Membership Interest Transfer Agreement effective as of April 15, 2025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w:t>
            </w:r>
          </w:p>
        </w:tc>
      </w:tr>
      <w:tr>
        <w:trPr>
          <w:trHeight w:val="20"/>
        </w:trPr>
        <w:tc>
          <w:tcPr>
            <w:tcW w:w="1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14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appropriate Exhibit to the Current Report on Form 8-K, which was filed with the SEC on April 24, 2025)</w:t>
            </w:r>
          </w:p>
        </w:tc>
      </w:tr>
      <w:tr>
        <w:trPr>
          <w:trHeight w:val="391"/>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10.17</w:t>
            </w:r>
          </w:p>
        </w:tc>
        <w:tc>
          <w:tcPr>
            <w:tcW w:w="7760" w:type="dxa"/>
            <w:vAlign w:val="bottom"/>
            <w:gridSpan w:val="12"/>
          </w:tcPr>
          <w:p>
            <w:pPr>
              <w:spacing w:after="0"/>
              <w:rPr>
                <w:rFonts w:ascii="Times New Roman" w:cs="Times New Roman" w:eastAsia="Times New Roman" w:hAnsi="Times New Roman"/>
                <w:sz w:val="18"/>
                <w:szCs w:val="18"/>
                <w:color w:val="0000EE"/>
              </w:rPr>
            </w:pPr>
            <w:hyperlink r:id="rId187">
              <w:r>
                <w:rPr>
                  <w:rFonts w:ascii="Times New Roman" w:cs="Times New Roman" w:eastAsia="Times New Roman" w:hAnsi="Times New Roman"/>
                  <w:sz w:val="18"/>
                  <w:szCs w:val="18"/>
                  <w:color w:val="0000EE"/>
                </w:rPr>
                <w:t xml:space="preserve">Second Amendment to Loan and Security Agreement, dated as of April 21, 2025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w:t>
            </w:r>
          </w:p>
        </w:tc>
      </w:tr>
      <w:tr>
        <w:trPr>
          <w:trHeight w:val="20"/>
        </w:trPr>
        <w:tc>
          <w:tcPr>
            <w:tcW w:w="1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160" w:type="dxa"/>
            <w:vAlign w:val="bottom"/>
          </w:tcPr>
          <w:p>
            <w:pPr>
              <w:spacing w:after="0"/>
              <w:rPr>
                <w:sz w:val="18"/>
                <w:szCs w:val="18"/>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reference to the appropriate Exhibit to the Current Report on Form 8-K, which was filed with the SEC on</w:t>
            </w:r>
          </w:p>
        </w:tc>
      </w:tr>
      <w:tr>
        <w:trPr>
          <w:trHeight w:val="234"/>
        </w:trPr>
        <w:tc>
          <w:tcPr>
            <w:tcW w:w="1160" w:type="dxa"/>
            <w:vAlign w:val="bottom"/>
          </w:tcPr>
          <w:p>
            <w:pPr>
              <w:spacing w:after="0"/>
              <w:rPr>
                <w:sz w:val="20"/>
                <w:szCs w:val="20"/>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April 24, 2025)</w:t>
            </w:r>
          </w:p>
        </w:tc>
      </w:tr>
      <w:tr>
        <w:trPr>
          <w:trHeight w:val="392"/>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10.18</w:t>
            </w:r>
          </w:p>
        </w:tc>
        <w:tc>
          <w:tcPr>
            <w:tcW w:w="7760" w:type="dxa"/>
            <w:vAlign w:val="bottom"/>
            <w:gridSpan w:val="12"/>
          </w:tcPr>
          <w:p>
            <w:pPr>
              <w:spacing w:after="0"/>
              <w:rPr>
                <w:rFonts w:ascii="Times New Roman" w:cs="Times New Roman" w:eastAsia="Times New Roman" w:hAnsi="Times New Roman"/>
                <w:sz w:val="18"/>
                <w:szCs w:val="18"/>
                <w:color w:val="0000EE"/>
              </w:rPr>
            </w:pPr>
            <w:hyperlink r:id="rId188">
              <w:r>
                <w:rPr>
                  <w:rFonts w:ascii="Times New Roman" w:cs="Times New Roman" w:eastAsia="Times New Roman" w:hAnsi="Times New Roman"/>
                  <w:sz w:val="18"/>
                  <w:szCs w:val="18"/>
                  <w:color w:val="0000EE"/>
                </w:rPr>
                <w:t xml:space="preserve">Board Nominee Agreement by and between the Company and UTG dated April 21, 2025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w:t>
            </w:r>
          </w:p>
        </w:tc>
      </w:tr>
      <w:tr>
        <w:trPr>
          <w:trHeight w:val="20"/>
        </w:trPr>
        <w:tc>
          <w:tcPr>
            <w:tcW w:w="1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2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160" w:type="dxa"/>
            <w:vAlign w:val="bottom"/>
          </w:tcPr>
          <w:p>
            <w:pPr>
              <w:spacing w:after="0"/>
              <w:rPr>
                <w:sz w:val="18"/>
                <w:szCs w:val="18"/>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reference to the appropriate Exhibit to the Current Report on Form 8-K, which was filed with the SEC on</w:t>
            </w:r>
          </w:p>
        </w:tc>
      </w:tr>
      <w:tr>
        <w:trPr>
          <w:trHeight w:val="234"/>
        </w:trPr>
        <w:tc>
          <w:tcPr>
            <w:tcW w:w="1160" w:type="dxa"/>
            <w:vAlign w:val="bottom"/>
          </w:tcPr>
          <w:p>
            <w:pPr>
              <w:spacing w:after="0"/>
              <w:rPr>
                <w:sz w:val="20"/>
                <w:szCs w:val="20"/>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April 24, 2025)</w:t>
            </w:r>
          </w:p>
        </w:tc>
      </w:tr>
      <w:tr>
        <w:trPr>
          <w:trHeight w:val="392"/>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10.19</w:t>
            </w:r>
          </w:p>
        </w:tc>
        <w:tc>
          <w:tcPr>
            <w:tcW w:w="7760" w:type="dxa"/>
            <w:vAlign w:val="bottom"/>
            <w:gridSpan w:val="12"/>
          </w:tcPr>
          <w:p>
            <w:pPr>
              <w:spacing w:after="0"/>
              <w:rPr>
                <w:rFonts w:ascii="Times New Roman" w:cs="Times New Roman" w:eastAsia="Times New Roman" w:hAnsi="Times New Roman"/>
                <w:sz w:val="18"/>
                <w:szCs w:val="18"/>
                <w:color w:val="0000EE"/>
              </w:rPr>
            </w:pPr>
            <w:hyperlink r:id="rId189">
              <w:r>
                <w:rPr>
                  <w:rFonts w:ascii="Times New Roman" w:cs="Times New Roman" w:eastAsia="Times New Roman" w:hAnsi="Times New Roman"/>
                  <w:sz w:val="18"/>
                  <w:szCs w:val="18"/>
                  <w:color w:val="0000EE"/>
                </w:rPr>
                <w:t xml:space="preserve">Support Agreement dated April 21, 2025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 appropriate Exhibit to the</w:t>
            </w:r>
          </w:p>
        </w:tc>
      </w:tr>
      <w:tr>
        <w:trPr>
          <w:trHeight w:val="20"/>
        </w:trPr>
        <w:tc>
          <w:tcPr>
            <w:tcW w:w="1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Current Report on Form 8-K, which was filed with the SEC on April 24, 2025)</w:t>
            </w:r>
          </w:p>
        </w:tc>
      </w:tr>
      <w:tr>
        <w:trPr>
          <w:trHeight w:val="391"/>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10.20</w:t>
            </w:r>
          </w:p>
        </w:tc>
        <w:tc>
          <w:tcPr>
            <w:tcW w:w="7760" w:type="dxa"/>
            <w:vAlign w:val="bottom"/>
            <w:gridSpan w:val="12"/>
          </w:tcPr>
          <w:p>
            <w:pPr>
              <w:spacing w:after="0"/>
              <w:rPr>
                <w:rFonts w:ascii="Times New Roman" w:cs="Times New Roman" w:eastAsia="Times New Roman" w:hAnsi="Times New Roman"/>
                <w:sz w:val="18"/>
                <w:szCs w:val="18"/>
                <w:color w:val="0000EE"/>
              </w:rPr>
            </w:pPr>
            <w:hyperlink r:id="rId190">
              <w:r>
                <w:rPr>
                  <w:rFonts w:ascii="Times New Roman" w:cs="Times New Roman" w:eastAsia="Times New Roman" w:hAnsi="Times New Roman"/>
                  <w:sz w:val="18"/>
                  <w:szCs w:val="18"/>
                  <w:color w:val="0000EE"/>
                </w:rPr>
                <w:t xml:space="preserve">Form of Securities Purchase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 appropriate Exhibit to the</w:t>
            </w:r>
          </w:p>
        </w:tc>
      </w:tr>
      <w:tr>
        <w:trPr>
          <w:trHeight w:val="20"/>
        </w:trPr>
        <w:tc>
          <w:tcPr>
            <w:tcW w:w="1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70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Registration Statement on Form S-1, which was filed with the SEC on July 2, 2025)</w:t>
            </w:r>
          </w:p>
        </w:tc>
      </w:tr>
      <w:tr>
        <w:trPr>
          <w:trHeight w:val="392"/>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10.21</w:t>
            </w:r>
          </w:p>
        </w:tc>
        <w:tc>
          <w:tcPr>
            <w:tcW w:w="77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Subscription Agreement, dated as of August 1, 2025, by and between Xcel Brands, Inc., and Robert W.</w:t>
              </w:r>
            </w:hyperlink>
          </w:p>
        </w:tc>
      </w:tr>
      <w:tr>
        <w:trPr>
          <w:trHeight w:val="196"/>
        </w:trPr>
        <w:tc>
          <w:tcPr>
            <w:tcW w:w="1160" w:type="dxa"/>
            <w:vAlign w:val="bottom"/>
          </w:tcPr>
          <w:p>
            <w:pPr>
              <w:spacing w:after="0"/>
              <w:rPr>
                <w:sz w:val="17"/>
                <w:szCs w:val="17"/>
                <w:color w:val="auto"/>
              </w:rPr>
            </w:pPr>
          </w:p>
        </w:tc>
        <w:tc>
          <w:tcPr>
            <w:tcW w:w="7760" w:type="dxa"/>
            <w:vAlign w:val="bottom"/>
            <w:gridSpan w:val="12"/>
          </w:tcPr>
          <w:p>
            <w:pPr>
              <w:spacing w:after="0" w:line="196" w:lineRule="exact"/>
              <w:rPr>
                <w:rFonts w:ascii="Times New Roman" w:cs="Times New Roman" w:eastAsia="Times New Roman" w:hAnsi="Times New Roman"/>
                <w:sz w:val="18"/>
                <w:szCs w:val="18"/>
                <w:color w:val="0000EE"/>
              </w:rPr>
            </w:pPr>
            <w:hyperlink r:id="rId191">
              <w:r>
                <w:rPr>
                  <w:rFonts w:ascii="Times New Roman" w:cs="Times New Roman" w:eastAsia="Times New Roman" w:hAnsi="Times New Roman"/>
                  <w:sz w:val="18"/>
                  <w:szCs w:val="18"/>
                  <w:color w:val="0000EE"/>
                </w:rPr>
                <w:t xml:space="preserve">D’Loren </w:t>
              </w:r>
              <w:r>
                <w:rPr>
                  <w:rFonts w:ascii="Times New Roman" w:cs="Times New Roman" w:eastAsia="Times New Roman" w:hAnsi="Times New Roman"/>
                  <w:sz w:val="18"/>
                  <w:szCs w:val="18"/>
                  <w:color w:val="000000"/>
                </w:rPr>
                <w:t>(Incorporated by reference to the appropriate Exhibit to the Current Report on Form 8-K, which</w:t>
              </w:r>
            </w:hyperlink>
          </w:p>
        </w:tc>
      </w:tr>
      <w:tr>
        <w:trPr>
          <w:trHeight w:val="20"/>
        </w:trPr>
        <w:tc>
          <w:tcPr>
            <w:tcW w:w="1160" w:type="dxa"/>
            <w:vAlign w:val="bottom"/>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was filed with the SEC on August 7, 2025)</w:t>
            </w:r>
          </w:p>
        </w:tc>
      </w:tr>
      <w:tr>
        <w:trPr>
          <w:trHeight w:val="391"/>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10.22</w:t>
            </w:r>
          </w:p>
        </w:tc>
        <w:tc>
          <w:tcPr>
            <w:tcW w:w="7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92">
              <w:r>
                <w:rPr>
                  <w:rFonts w:ascii="Times New Roman" w:cs="Times New Roman" w:eastAsia="Times New Roman" w:hAnsi="Times New Roman"/>
                  <w:sz w:val="18"/>
                  <w:szCs w:val="18"/>
                  <w:color w:val="0000EE"/>
                </w:rPr>
                <w:t>Subscription Agreement, dated as of August 1, 2025, by and between Xcel Brands, Inc. and Mark DiSanto</w:t>
              </w:r>
            </w:hyperlink>
          </w:p>
        </w:tc>
        <w:tc>
          <w:tcPr>
            <w:tcW w:w="20" w:type="dxa"/>
            <w:vAlign w:val="bottom"/>
          </w:tcPr>
          <w:p>
            <w:pPr>
              <w:spacing w:after="0"/>
              <w:rPr>
                <w:sz w:val="24"/>
                <w:szCs w:val="24"/>
                <w:color w:val="auto"/>
              </w:rPr>
            </w:pPr>
          </w:p>
        </w:tc>
      </w:tr>
      <w:tr>
        <w:trPr>
          <w:trHeight w:val="218"/>
        </w:trPr>
        <w:tc>
          <w:tcPr>
            <w:tcW w:w="1160" w:type="dxa"/>
            <w:vAlign w:val="bottom"/>
          </w:tcPr>
          <w:p>
            <w:pPr>
              <w:spacing w:after="0"/>
              <w:rPr>
                <w:sz w:val="18"/>
                <w:szCs w:val="18"/>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(Incorporated by reference to the appropriate Exhibit to the Current Report on Form 8-K, which was filed</w:t>
            </w:r>
          </w:p>
        </w:tc>
      </w:tr>
      <w:tr>
        <w:trPr>
          <w:trHeight w:val="234"/>
        </w:trPr>
        <w:tc>
          <w:tcPr>
            <w:tcW w:w="1160" w:type="dxa"/>
            <w:vAlign w:val="bottom"/>
          </w:tcPr>
          <w:p>
            <w:pPr>
              <w:spacing w:after="0"/>
              <w:rPr>
                <w:sz w:val="20"/>
                <w:szCs w:val="20"/>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 the SEC on August 7, 2025)</w:t>
            </w:r>
          </w:p>
        </w:tc>
      </w:tr>
      <w:tr>
        <w:trPr>
          <w:trHeight w:val="391"/>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10.23</w:t>
            </w:r>
          </w:p>
        </w:tc>
        <w:tc>
          <w:tcPr>
            <w:tcW w:w="7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Form of Securities Purchase Agreement, by and between Xcel Brands, Inc., and the purchasers identified</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760" w:type="dxa"/>
            <w:vAlign w:val="bottom"/>
            <w:gridSpan w:val="12"/>
          </w:tcPr>
          <w:p>
            <w:pPr>
              <w:spacing w:after="0" w:line="196" w:lineRule="exact"/>
              <w:rPr>
                <w:rFonts w:ascii="Times New Roman" w:cs="Times New Roman" w:eastAsia="Times New Roman" w:hAnsi="Times New Roman"/>
                <w:sz w:val="18"/>
                <w:szCs w:val="18"/>
                <w:color w:val="0000EE"/>
              </w:rPr>
            </w:pPr>
            <w:hyperlink r:id="rId193">
              <w:r>
                <w:rPr>
                  <w:rFonts w:ascii="Times New Roman" w:cs="Times New Roman" w:eastAsia="Times New Roman" w:hAnsi="Times New Roman"/>
                  <w:sz w:val="18"/>
                  <w:szCs w:val="18"/>
                  <w:color w:val="0000EE"/>
                </w:rPr>
                <w:t xml:space="preserve">on the signature pages thereto </w:t>
              </w:r>
              <w:r>
                <w:rPr>
                  <w:rFonts w:ascii="Times New Roman" w:cs="Times New Roman" w:eastAsia="Times New Roman" w:hAnsi="Times New Roman"/>
                  <w:sz w:val="18"/>
                  <w:szCs w:val="18"/>
                  <w:color w:val="000000"/>
                </w:rPr>
                <w:t>(Incorporated by reference to the appropriate Exhibit to the Current Report</w:t>
              </w:r>
            </w:hyperlink>
          </w:p>
        </w:tc>
      </w:tr>
      <w:tr>
        <w:trPr>
          <w:trHeight w:val="20"/>
        </w:trPr>
        <w:tc>
          <w:tcPr>
            <w:tcW w:w="1160" w:type="dxa"/>
            <w:vAlign w:val="bottom"/>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on Form 8-K, which was filed with the SEC on August 7, 2025)</w:t>
            </w:r>
          </w:p>
        </w:tc>
      </w:tr>
      <w:tr>
        <w:trPr>
          <w:trHeight w:val="391"/>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10.24</w:t>
            </w:r>
          </w:p>
        </w:tc>
        <w:tc>
          <w:tcPr>
            <w:tcW w:w="7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Membership Interest Transfer Agreement, dated September 25, 2025, by and among IMWHP, LLC,</w:t>
              </w:r>
            </w:hyperlink>
          </w:p>
        </w:tc>
        <w:tc>
          <w:tcPr>
            <w:tcW w:w="2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7760" w:type="dxa"/>
            <w:vAlign w:val="bottom"/>
            <w:gridSpan w:val="12"/>
          </w:tcPr>
          <w:p>
            <w:pPr>
              <w:spacing w:after="0" w:line="196" w:lineRule="exact"/>
              <w:rPr>
                <w:rFonts w:ascii="Times New Roman" w:cs="Times New Roman" w:eastAsia="Times New Roman" w:hAnsi="Times New Roman"/>
                <w:sz w:val="18"/>
                <w:szCs w:val="18"/>
                <w:color w:val="0000EE"/>
              </w:rPr>
            </w:pPr>
            <w:hyperlink r:id="rId194">
              <w:r>
                <w:rPr>
                  <w:rFonts w:ascii="Times New Roman" w:cs="Times New Roman" w:eastAsia="Times New Roman" w:hAnsi="Times New Roman"/>
                  <w:sz w:val="18"/>
                  <w:szCs w:val="18"/>
                  <w:color w:val="0000EE"/>
                </w:rPr>
                <w:t xml:space="preserve">IMWHP2, LLC, and Xcel Brands, Inc. </w:t>
              </w:r>
              <w:r>
                <w:rPr>
                  <w:rFonts w:ascii="Times New Roman" w:cs="Times New Roman" w:eastAsia="Times New Roman" w:hAnsi="Times New Roman"/>
                  <w:sz w:val="18"/>
                  <w:szCs w:val="18"/>
                  <w:color w:val="000000"/>
                </w:rPr>
                <w:t>(Incorporated by reference to the appropriate Exhibit to the Current</w:t>
              </w:r>
            </w:hyperlink>
          </w:p>
        </w:tc>
      </w:tr>
      <w:tr>
        <w:trPr>
          <w:trHeight w:val="20"/>
        </w:trPr>
        <w:tc>
          <w:tcPr>
            <w:tcW w:w="116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94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Report on Form 8-K, which was filed with the SEC on October 2, 2025)</w:t>
            </w:r>
          </w:p>
        </w:tc>
      </w:tr>
      <w:tr>
        <w:trPr>
          <w:trHeight w:val="391"/>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10.25</w:t>
            </w:r>
          </w:p>
        </w:tc>
        <w:tc>
          <w:tcPr>
            <w:tcW w:w="776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Settlement Agreement, dated September 25, 2025, by and among IM Topco, LLC, IMWHP, LLC,</w:t>
              </w:r>
            </w:hyperlink>
          </w:p>
        </w:tc>
      </w:tr>
      <w:tr>
        <w:trPr>
          <w:trHeight w:val="196"/>
        </w:trPr>
        <w:tc>
          <w:tcPr>
            <w:tcW w:w="1160" w:type="dxa"/>
            <w:vAlign w:val="bottom"/>
          </w:tcPr>
          <w:p>
            <w:pPr>
              <w:spacing w:after="0"/>
              <w:rPr>
                <w:sz w:val="17"/>
                <w:szCs w:val="17"/>
                <w:color w:val="auto"/>
              </w:rPr>
            </w:pPr>
          </w:p>
        </w:tc>
        <w:tc>
          <w:tcPr>
            <w:tcW w:w="7760" w:type="dxa"/>
            <w:vAlign w:val="bottom"/>
            <w:gridSpan w:val="12"/>
          </w:tcPr>
          <w:p>
            <w:pPr>
              <w:spacing w:after="0" w:line="196" w:lineRule="exact"/>
              <w:rPr>
                <w:rFonts w:ascii="Times New Roman" w:cs="Times New Roman" w:eastAsia="Times New Roman" w:hAnsi="Times New Roman"/>
                <w:sz w:val="18"/>
                <w:szCs w:val="18"/>
                <w:color w:val="0000EE"/>
              </w:rPr>
            </w:pPr>
            <w:hyperlink r:id="rId195">
              <w:r>
                <w:rPr>
                  <w:rFonts w:ascii="Times New Roman" w:cs="Times New Roman" w:eastAsia="Times New Roman" w:hAnsi="Times New Roman"/>
                  <w:sz w:val="18"/>
                  <w:szCs w:val="18"/>
                  <w:color w:val="0000EE"/>
                </w:rPr>
                <w:t xml:space="preserve">IMWHP2, LLC, Xcel Brands, Inc., Xcel-CT MFG, LLC and IM Brands, LLC </w:t>
              </w:r>
              <w:r>
                <w:rPr>
                  <w:rFonts w:ascii="Times New Roman" w:cs="Times New Roman" w:eastAsia="Times New Roman" w:hAnsi="Times New Roman"/>
                  <w:sz w:val="18"/>
                  <w:szCs w:val="18"/>
                  <w:color w:val="000000"/>
                </w:rPr>
                <w:t>(Incorporated by reference</w:t>
              </w:r>
            </w:hyperlink>
          </w:p>
        </w:tc>
      </w:tr>
      <w:tr>
        <w:trPr>
          <w:trHeight w:val="20"/>
        </w:trPr>
        <w:tc>
          <w:tcPr>
            <w:tcW w:w="116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3540" w:type="dxa"/>
            <w:vAlign w:val="bottom"/>
            <w:gridSpan w:val="5"/>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160" w:type="dxa"/>
            <w:vAlign w:val="bottom"/>
          </w:tcPr>
          <w:p>
            <w:pPr>
              <w:spacing w:after="0"/>
              <w:rPr>
                <w:sz w:val="18"/>
                <w:szCs w:val="18"/>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to the appropriate Exhibit to the Current Report on Form 8-K, which was filed with the SEC on October 2,</w:t>
            </w:r>
          </w:p>
        </w:tc>
      </w:tr>
      <w:tr>
        <w:trPr>
          <w:trHeight w:val="234"/>
        </w:trPr>
        <w:tc>
          <w:tcPr>
            <w:tcW w:w="11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10.26</w:t>
            </w:r>
          </w:p>
        </w:tc>
        <w:tc>
          <w:tcPr>
            <w:tcW w:w="7760" w:type="dxa"/>
            <w:vAlign w:val="bottom"/>
            <w:gridSpan w:val="12"/>
          </w:tcPr>
          <w:p>
            <w:pPr>
              <w:spacing w:after="0"/>
              <w:rPr>
                <w:rFonts w:ascii="Times New Roman" w:cs="Times New Roman" w:eastAsia="Times New Roman" w:hAnsi="Times New Roman"/>
                <w:sz w:val="18"/>
                <w:szCs w:val="18"/>
                <w:color w:val="0000EE"/>
              </w:rPr>
            </w:pPr>
            <w:hyperlink r:id="rId196">
              <w:r>
                <w:rPr>
                  <w:rFonts w:ascii="Times New Roman" w:cs="Times New Roman" w:eastAsia="Times New Roman" w:hAnsi="Times New Roman"/>
                  <w:sz w:val="18"/>
                  <w:szCs w:val="18"/>
                  <w:color w:val="0000EE"/>
                </w:rPr>
                <w:t xml:space="preserve">Third Amendment to Loan and Security Agreement, dated as of October 7, 2025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w:t>
            </w:r>
          </w:p>
        </w:tc>
      </w:tr>
      <w:tr>
        <w:trPr>
          <w:trHeight w:val="20"/>
        </w:trPr>
        <w:tc>
          <w:tcPr>
            <w:tcW w:w="116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4200" w:type="dxa"/>
            <w:vAlign w:val="bottom"/>
            <w:gridSpan w:val="6"/>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8"/>
        </w:trPr>
        <w:tc>
          <w:tcPr>
            <w:tcW w:w="1160" w:type="dxa"/>
            <w:vAlign w:val="bottom"/>
          </w:tcPr>
          <w:p>
            <w:pPr>
              <w:spacing w:after="0"/>
              <w:rPr>
                <w:sz w:val="18"/>
                <w:szCs w:val="18"/>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reference to the appropriate Exhibit to the Current Report on Form 8-K, which was filed with the SEC on</w:t>
            </w:r>
          </w:p>
        </w:tc>
      </w:tr>
      <w:tr>
        <w:trPr>
          <w:trHeight w:val="234"/>
        </w:trPr>
        <w:tc>
          <w:tcPr>
            <w:tcW w:w="1160" w:type="dxa"/>
            <w:vAlign w:val="bottom"/>
          </w:tcPr>
          <w:p>
            <w:pPr>
              <w:spacing w:after="0"/>
              <w:rPr>
                <w:sz w:val="20"/>
                <w:szCs w:val="20"/>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October 10, 2025)</w:t>
            </w:r>
          </w:p>
        </w:tc>
      </w:tr>
      <w:tr>
        <w:trPr>
          <w:trHeight w:val="392"/>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10.27</w:t>
            </w:r>
          </w:p>
        </w:tc>
        <w:tc>
          <w:tcPr>
            <w:tcW w:w="7760" w:type="dxa"/>
            <w:vAlign w:val="bottom"/>
            <w:gridSpan w:val="12"/>
          </w:tcPr>
          <w:p>
            <w:pPr>
              <w:spacing w:after="0"/>
              <w:rPr>
                <w:rFonts w:ascii="Times New Roman" w:cs="Times New Roman" w:eastAsia="Times New Roman" w:hAnsi="Times New Roman"/>
                <w:sz w:val="18"/>
                <w:szCs w:val="18"/>
                <w:color w:val="0000EE"/>
              </w:rPr>
            </w:pPr>
            <w:hyperlink r:id="rId197">
              <w:r>
                <w:rPr>
                  <w:rFonts w:ascii="Times New Roman" w:cs="Times New Roman" w:eastAsia="Times New Roman" w:hAnsi="Times New Roman"/>
                  <w:sz w:val="18"/>
                  <w:szCs w:val="18"/>
                  <w:color w:val="0000EE"/>
                </w:rPr>
                <w:t>Fourth Amendment and Consent to Loan and Security Agreement, dated as of November 18, 2025</w:t>
              </w:r>
            </w:hyperlink>
          </w:p>
        </w:tc>
      </w:tr>
      <w:tr>
        <w:trPr>
          <w:trHeight w:val="218"/>
        </w:trPr>
        <w:tc>
          <w:tcPr>
            <w:tcW w:w="1160" w:type="dxa"/>
            <w:vAlign w:val="bottom"/>
          </w:tcPr>
          <w:p>
            <w:pPr>
              <w:spacing w:after="0"/>
              <w:rPr>
                <w:sz w:val="18"/>
                <w:szCs w:val="18"/>
                <w:color w:val="auto"/>
              </w:rPr>
            </w:pPr>
          </w:p>
        </w:tc>
        <w:tc>
          <w:tcPr>
            <w:tcW w:w="774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auto"/>
              </w:rPr>
              <w:t>(Incorporated by reference to the appropriate Exhibit to the Registration Statement on Form S-1, which</w:t>
            </w:r>
          </w:p>
        </w:tc>
        <w:tc>
          <w:tcPr>
            <w:tcW w:w="20" w:type="dxa"/>
            <w:vAlign w:val="bottom"/>
          </w:tcPr>
          <w:p>
            <w:pPr>
              <w:spacing w:after="0"/>
              <w:rPr>
                <w:sz w:val="18"/>
                <w:szCs w:val="18"/>
                <w:color w:val="auto"/>
              </w:rPr>
            </w:pPr>
          </w:p>
        </w:tc>
      </w:tr>
      <w:tr>
        <w:trPr>
          <w:trHeight w:val="234"/>
        </w:trPr>
        <w:tc>
          <w:tcPr>
            <w:tcW w:w="1160" w:type="dxa"/>
            <w:vAlign w:val="bottom"/>
          </w:tcPr>
          <w:p>
            <w:pPr>
              <w:spacing w:after="0"/>
              <w:rPr>
                <w:sz w:val="20"/>
                <w:szCs w:val="20"/>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was filed with the SEC on February 4, 2026)</w:t>
            </w:r>
          </w:p>
        </w:tc>
      </w:tr>
      <w:tr>
        <w:trPr>
          <w:trHeight w:val="391"/>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10.28</w:t>
            </w:r>
          </w:p>
        </w:tc>
        <w:tc>
          <w:tcPr>
            <w:tcW w:w="7760" w:type="dxa"/>
            <w:vAlign w:val="bottom"/>
            <w:gridSpan w:val="12"/>
          </w:tcPr>
          <w:p>
            <w:pPr>
              <w:spacing w:after="0"/>
              <w:rPr>
                <w:rFonts w:ascii="Times New Roman" w:cs="Times New Roman" w:eastAsia="Times New Roman" w:hAnsi="Times New Roman"/>
                <w:sz w:val="18"/>
                <w:szCs w:val="18"/>
                <w:color w:val="0000EE"/>
              </w:rPr>
            </w:pPr>
            <w:hyperlink r:id="rId198">
              <w:r>
                <w:rPr>
                  <w:rFonts w:ascii="Times New Roman" w:cs="Times New Roman" w:eastAsia="Times New Roman" w:hAnsi="Times New Roman"/>
                  <w:sz w:val="18"/>
                  <w:szCs w:val="18"/>
                  <w:color w:val="0000EE"/>
                </w:rPr>
                <w:t xml:space="preserve">Form of Securities Purchase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 appropriate Exhibit to the</w:t>
            </w:r>
          </w:p>
        </w:tc>
      </w:tr>
      <w:tr>
        <w:trPr>
          <w:trHeight w:val="20"/>
        </w:trPr>
        <w:tc>
          <w:tcPr>
            <w:tcW w:w="116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840" w:type="dxa"/>
            <w:vAlign w:val="bottom"/>
            <w:gridSpan w:val="2"/>
            <w:shd w:val="clear" w:color="auto" w:fill="0000EE"/>
          </w:tcPr>
          <w:p>
            <w:pPr>
              <w:spacing w:after="0" w:line="20" w:lineRule="exact"/>
              <w:rPr>
                <w:sz w:val="1"/>
                <w:szCs w:val="1"/>
                <w:color w:val="auto"/>
              </w:rPr>
            </w:pPr>
          </w:p>
        </w:tc>
        <w:tc>
          <w:tcPr>
            <w:tcW w:w="4720" w:type="dxa"/>
            <w:vAlign w:val="bottom"/>
            <w:gridSpan w:val="7"/>
          </w:tcPr>
          <w:p>
            <w:pPr>
              <w:spacing w:after="0" w:line="20" w:lineRule="exact"/>
              <w:rPr>
                <w:sz w:val="1"/>
                <w:szCs w:val="1"/>
                <w:color w:val="auto"/>
              </w:rPr>
            </w:pPr>
          </w:p>
        </w:tc>
      </w:tr>
      <w:tr>
        <w:trPr>
          <w:trHeight w:val="236"/>
        </w:trPr>
        <w:tc>
          <w:tcPr>
            <w:tcW w:w="1160" w:type="dxa"/>
            <w:vAlign w:val="bottom"/>
          </w:tcPr>
          <w:p>
            <w:pPr>
              <w:spacing w:after="0"/>
              <w:rPr>
                <w:sz w:val="20"/>
                <w:szCs w:val="20"/>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Current Report on Form 8-K, which was filed with the SEC on December 19, 2025)</w:t>
            </w:r>
          </w:p>
        </w:tc>
      </w:tr>
      <w:tr>
        <w:trPr>
          <w:trHeight w:val="391"/>
        </w:trPr>
        <w:tc>
          <w:tcPr>
            <w:tcW w:w="1160" w:type="dxa"/>
            <w:vAlign w:val="bottom"/>
          </w:tcPr>
          <w:p>
            <w:pPr>
              <w:jc w:val="right"/>
              <w:ind w:right="650"/>
              <w:spacing w:after="0"/>
              <w:rPr>
                <w:sz w:val="20"/>
                <w:szCs w:val="20"/>
                <w:color w:val="auto"/>
              </w:rPr>
            </w:pPr>
            <w:r>
              <w:rPr>
                <w:rFonts w:ascii="Times New Roman" w:cs="Times New Roman" w:eastAsia="Times New Roman" w:hAnsi="Times New Roman"/>
                <w:sz w:val="18"/>
                <w:szCs w:val="18"/>
                <w:color w:val="auto"/>
                <w:w w:val="98"/>
              </w:rPr>
              <w:t>10.29</w:t>
            </w:r>
          </w:p>
        </w:tc>
        <w:tc>
          <w:tcPr>
            <w:tcW w:w="7760" w:type="dxa"/>
            <w:vAlign w:val="bottom"/>
            <w:gridSpan w:val="12"/>
          </w:tcPr>
          <w:p>
            <w:pPr>
              <w:spacing w:after="0"/>
              <w:rPr>
                <w:rFonts w:ascii="Times New Roman" w:cs="Times New Roman" w:eastAsia="Times New Roman" w:hAnsi="Times New Roman"/>
                <w:sz w:val="18"/>
                <w:szCs w:val="18"/>
                <w:color w:val="0000EE"/>
              </w:rPr>
            </w:pPr>
            <w:hyperlink r:id="rId199">
              <w:r>
                <w:rPr>
                  <w:rFonts w:ascii="Times New Roman" w:cs="Times New Roman" w:eastAsia="Times New Roman" w:hAnsi="Times New Roman"/>
                  <w:sz w:val="18"/>
                  <w:szCs w:val="18"/>
                  <w:color w:val="0000EE"/>
                </w:rPr>
                <w:t xml:space="preserve">Placement Agency Agreement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 appropriate Exhibit to the Current Report</w:t>
            </w:r>
          </w:p>
        </w:tc>
      </w:tr>
      <w:tr>
        <w:trPr>
          <w:trHeight w:val="20"/>
        </w:trPr>
        <w:tc>
          <w:tcPr>
            <w:tcW w:w="116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5560" w:type="dxa"/>
            <w:vAlign w:val="bottom"/>
            <w:gridSpan w:val="9"/>
          </w:tcPr>
          <w:p>
            <w:pPr>
              <w:spacing w:after="0" w:line="20" w:lineRule="exact"/>
              <w:rPr>
                <w:sz w:val="1"/>
                <w:szCs w:val="1"/>
                <w:color w:val="auto"/>
              </w:rPr>
            </w:pPr>
          </w:p>
        </w:tc>
      </w:tr>
      <w:tr>
        <w:trPr>
          <w:trHeight w:val="236"/>
        </w:trPr>
        <w:tc>
          <w:tcPr>
            <w:tcW w:w="1160" w:type="dxa"/>
            <w:vAlign w:val="bottom"/>
          </w:tcPr>
          <w:p>
            <w:pPr>
              <w:spacing w:after="0"/>
              <w:rPr>
                <w:sz w:val="20"/>
                <w:szCs w:val="20"/>
                <w:color w:val="auto"/>
              </w:rPr>
            </w:pPr>
          </w:p>
        </w:tc>
        <w:tc>
          <w:tcPr>
            <w:tcW w:w="77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on Form 8-K, which was filed with the SEC on December 19, 2025)</w:t>
            </w:r>
          </w:p>
        </w:tc>
      </w:tr>
      <w:tr>
        <w:trPr>
          <w:trHeight w:val="864"/>
        </w:trPr>
        <w:tc>
          <w:tcPr>
            <w:tcW w:w="1160" w:type="dxa"/>
            <w:vAlign w:val="bottom"/>
          </w:tcPr>
          <w:p>
            <w:pPr>
              <w:spacing w:after="0"/>
              <w:rPr>
                <w:sz w:val="24"/>
                <w:szCs w:val="24"/>
                <w:color w:val="auto"/>
              </w:rPr>
            </w:pPr>
          </w:p>
        </w:tc>
        <w:tc>
          <w:tcPr>
            <w:tcW w:w="5260" w:type="dxa"/>
            <w:vAlign w:val="bottom"/>
            <w:gridSpan w:val="7"/>
          </w:tcPr>
          <w:p>
            <w:pPr>
              <w:ind w:left="3180"/>
              <w:spacing w:after="0"/>
              <w:rPr>
                <w:sz w:val="20"/>
                <w:szCs w:val="20"/>
                <w:color w:val="auto"/>
              </w:rPr>
            </w:pPr>
            <w:r>
              <w:rPr>
                <w:rFonts w:ascii="Times New Roman" w:cs="Times New Roman" w:eastAsia="Times New Roman" w:hAnsi="Times New Roman"/>
                <w:sz w:val="18"/>
                <w:szCs w:val="18"/>
                <w:color w:val="auto"/>
              </w:rPr>
              <w:t>114</w:t>
            </w: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1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114" w:name="page115"/>
    <w:bookmarkEnd w:id="1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10.30</w:t>
            </w:r>
          </w:p>
        </w:tc>
        <w:tc>
          <w:tcPr>
            <w:tcW w:w="7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Common Stock Purchase Agreement entered into effective January 21, 2026 by and between the Company</w:t>
              </w:r>
            </w:hyperlink>
          </w:p>
        </w:tc>
      </w:tr>
      <w:tr>
        <w:trPr>
          <w:trHeight w:val="196"/>
        </w:trPr>
        <w:tc>
          <w:tcPr>
            <w:tcW w:w="1160" w:type="dxa"/>
            <w:vAlign w:val="bottom"/>
          </w:tcPr>
          <w:p>
            <w:pPr>
              <w:spacing w:after="0"/>
              <w:rPr>
                <w:sz w:val="17"/>
                <w:szCs w:val="17"/>
                <w:color w:val="auto"/>
              </w:rPr>
            </w:pPr>
          </w:p>
        </w:tc>
        <w:tc>
          <w:tcPr>
            <w:tcW w:w="7740" w:type="dxa"/>
            <w:vAlign w:val="bottom"/>
            <w:gridSpan w:val="12"/>
          </w:tcPr>
          <w:p>
            <w:pPr>
              <w:spacing w:after="0" w:line="196" w:lineRule="exact"/>
              <w:rPr>
                <w:rFonts w:ascii="Times New Roman" w:cs="Times New Roman" w:eastAsia="Times New Roman" w:hAnsi="Times New Roman"/>
                <w:sz w:val="18"/>
                <w:szCs w:val="18"/>
                <w:color w:val="0000EE"/>
              </w:rPr>
            </w:pPr>
            <w:hyperlink r:id="rId200">
              <w:r>
                <w:rPr>
                  <w:rFonts w:ascii="Times New Roman" w:cs="Times New Roman" w:eastAsia="Times New Roman" w:hAnsi="Times New Roman"/>
                  <w:sz w:val="18"/>
                  <w:szCs w:val="18"/>
                  <w:color w:val="0000EE"/>
                </w:rPr>
                <w:t xml:space="preserve">and White Lion Capital, LLC </w:t>
              </w:r>
              <w:r>
                <w:rPr>
                  <w:rFonts w:ascii="Times New Roman" w:cs="Times New Roman" w:eastAsia="Times New Roman" w:hAnsi="Times New Roman"/>
                  <w:sz w:val="18"/>
                  <w:szCs w:val="18"/>
                  <w:color w:val="000000"/>
                </w:rPr>
                <w:t>(Incorporated by reference to the appropriate Exhibit to the Current Report</w:t>
              </w:r>
            </w:hyperlink>
          </w:p>
        </w:tc>
      </w:tr>
      <w:tr>
        <w:trPr>
          <w:trHeight w:val="20"/>
        </w:trPr>
        <w:tc>
          <w:tcPr>
            <w:tcW w:w="11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7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on Form 8-K, which was filed with the SEC on January 23, 2026)</w:t>
            </w:r>
          </w:p>
        </w:tc>
      </w:tr>
      <w:tr>
        <w:trPr>
          <w:trHeight w:val="39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10.31</w:t>
            </w:r>
          </w:p>
        </w:tc>
        <w:tc>
          <w:tcPr>
            <w:tcW w:w="7740" w:type="dxa"/>
            <w:vAlign w:val="bottom"/>
            <w:tcBorders>
              <w:bottom w:val="single" w:sz="8" w:color="0000EE"/>
            </w:tcBorders>
            <w:gridSpan w:val="12"/>
          </w:tcPr>
          <w:p>
            <w:pPr>
              <w:spacing w:after="0"/>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Registration Rights Agreement entered into effective January 21, 2026 by and between the Company and</w:t>
              </w:r>
            </w:hyperlink>
          </w:p>
        </w:tc>
      </w:tr>
      <w:tr>
        <w:trPr>
          <w:trHeight w:val="196"/>
        </w:trPr>
        <w:tc>
          <w:tcPr>
            <w:tcW w:w="1160" w:type="dxa"/>
            <w:vAlign w:val="bottom"/>
          </w:tcPr>
          <w:p>
            <w:pPr>
              <w:spacing w:after="0"/>
              <w:rPr>
                <w:sz w:val="17"/>
                <w:szCs w:val="17"/>
                <w:color w:val="auto"/>
              </w:rPr>
            </w:pPr>
          </w:p>
        </w:tc>
        <w:tc>
          <w:tcPr>
            <w:tcW w:w="7740" w:type="dxa"/>
            <w:vAlign w:val="bottom"/>
            <w:gridSpan w:val="12"/>
          </w:tcPr>
          <w:p>
            <w:pPr>
              <w:spacing w:after="0" w:line="196" w:lineRule="exact"/>
              <w:rPr>
                <w:rFonts w:ascii="Times New Roman" w:cs="Times New Roman" w:eastAsia="Times New Roman" w:hAnsi="Times New Roman"/>
                <w:sz w:val="18"/>
                <w:szCs w:val="18"/>
                <w:color w:val="0000EE"/>
              </w:rPr>
            </w:pPr>
            <w:hyperlink r:id="rId201">
              <w:r>
                <w:rPr>
                  <w:rFonts w:ascii="Times New Roman" w:cs="Times New Roman" w:eastAsia="Times New Roman" w:hAnsi="Times New Roman"/>
                  <w:sz w:val="18"/>
                  <w:szCs w:val="18"/>
                  <w:color w:val="0000EE"/>
                </w:rPr>
                <w:t xml:space="preserve">White Lion Capital, LLC </w:t>
              </w:r>
              <w:r>
                <w:rPr>
                  <w:rFonts w:ascii="Times New Roman" w:cs="Times New Roman" w:eastAsia="Times New Roman" w:hAnsi="Times New Roman"/>
                  <w:sz w:val="18"/>
                  <w:szCs w:val="18"/>
                  <w:color w:val="000000"/>
                </w:rPr>
                <w:t>(Incorporated by reference to the appropriate Exhibit to the Current Report on</w:t>
              </w:r>
            </w:hyperlink>
          </w:p>
        </w:tc>
      </w:tr>
      <w:tr>
        <w:trPr>
          <w:trHeight w:val="20"/>
        </w:trPr>
        <w:tc>
          <w:tcPr>
            <w:tcW w:w="11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7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Form 8-K, which was filed with the SEC on January 23, 2026)</w:t>
            </w:r>
          </w:p>
        </w:tc>
      </w:tr>
      <w:tr>
        <w:trPr>
          <w:trHeight w:val="39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10.32</w:t>
            </w:r>
          </w:p>
        </w:tc>
        <w:tc>
          <w:tcPr>
            <w:tcW w:w="7740" w:type="dxa"/>
            <w:vAlign w:val="bottom"/>
            <w:gridSpan w:val="12"/>
          </w:tcPr>
          <w:p>
            <w:pPr>
              <w:spacing w:after="0"/>
              <w:rPr>
                <w:rFonts w:ascii="Times New Roman" w:cs="Times New Roman" w:eastAsia="Times New Roman" w:hAnsi="Times New Roman"/>
                <w:sz w:val="18"/>
                <w:szCs w:val="18"/>
                <w:color w:val="0000EE"/>
              </w:rPr>
            </w:pPr>
            <w:hyperlink r:id="rId202">
              <w:r>
                <w:rPr>
                  <w:rFonts w:ascii="Times New Roman" w:cs="Times New Roman" w:eastAsia="Times New Roman" w:hAnsi="Times New Roman"/>
                  <w:sz w:val="18"/>
                  <w:szCs w:val="18"/>
                  <w:color w:val="0000EE"/>
                </w:rPr>
                <w:t xml:space="preserve">Fifth Amendment to Loan and Security Agreement, dated as of February 20, 2025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w:t>
            </w:r>
          </w:p>
        </w:tc>
      </w:tr>
      <w:tr>
        <w:trPr>
          <w:trHeight w:val="20"/>
        </w:trPr>
        <w:tc>
          <w:tcPr>
            <w:tcW w:w="11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r>
      <w:tr>
        <w:trPr>
          <w:trHeight w:val="218"/>
        </w:trPr>
        <w:tc>
          <w:tcPr>
            <w:tcW w:w="1160" w:type="dxa"/>
            <w:vAlign w:val="bottom"/>
          </w:tcPr>
          <w:p>
            <w:pPr>
              <w:spacing w:after="0"/>
              <w:rPr>
                <w:sz w:val="18"/>
                <w:szCs w:val="18"/>
                <w:color w:val="auto"/>
              </w:rPr>
            </w:pPr>
          </w:p>
        </w:tc>
        <w:tc>
          <w:tcPr>
            <w:tcW w:w="7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reference to the appropriate Exhibit to the Current Report on Form 8-K, which was filed with the SEC on</w:t>
            </w:r>
          </w:p>
        </w:tc>
      </w:tr>
      <w:tr>
        <w:trPr>
          <w:trHeight w:val="234"/>
        </w:trPr>
        <w:tc>
          <w:tcPr>
            <w:tcW w:w="1160" w:type="dxa"/>
            <w:vAlign w:val="bottom"/>
          </w:tcPr>
          <w:p>
            <w:pPr>
              <w:spacing w:after="0"/>
              <w:rPr>
                <w:sz w:val="20"/>
                <w:szCs w:val="20"/>
                <w:color w:val="auto"/>
              </w:rPr>
            </w:pPr>
          </w:p>
        </w:tc>
        <w:tc>
          <w:tcPr>
            <w:tcW w:w="7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February 24, 2026)</w:t>
            </w:r>
          </w:p>
        </w:tc>
      </w:tr>
      <w:tr>
        <w:trPr>
          <w:trHeight w:val="39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21.1</w:t>
            </w:r>
          </w:p>
        </w:tc>
        <w:tc>
          <w:tcPr>
            <w:tcW w:w="7740" w:type="dxa"/>
            <w:vAlign w:val="bottom"/>
            <w:gridSpan w:val="12"/>
          </w:tcPr>
          <w:p>
            <w:pPr>
              <w:spacing w:after="0"/>
              <w:rPr>
                <w:rFonts w:ascii="Times New Roman" w:cs="Times New Roman" w:eastAsia="Times New Roman" w:hAnsi="Times New Roman"/>
                <w:sz w:val="18"/>
                <w:szCs w:val="18"/>
                <w:color w:val="0000EE"/>
              </w:rPr>
            </w:pPr>
            <w:hyperlink r:id="rId203">
              <w:r>
                <w:rPr>
                  <w:rFonts w:ascii="Times New Roman" w:cs="Times New Roman" w:eastAsia="Times New Roman" w:hAnsi="Times New Roman"/>
                  <w:sz w:val="18"/>
                  <w:szCs w:val="18"/>
                  <w:color w:val="0000EE"/>
                </w:rPr>
                <w:t xml:space="preserve">Subsidiaries of the Registrant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 appropriate Exhibit to the Annual Report</w:t>
            </w:r>
          </w:p>
        </w:tc>
      </w:tr>
      <w:tr>
        <w:trPr>
          <w:trHeight w:val="20"/>
        </w:trPr>
        <w:tc>
          <w:tcPr>
            <w:tcW w:w="11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80" w:type="dxa"/>
            <w:vAlign w:val="bottom"/>
            <w:gridSpan w:val="2"/>
          </w:tcPr>
          <w:p>
            <w:pPr>
              <w:spacing w:after="0" w:line="20" w:lineRule="exact"/>
              <w:rPr>
                <w:sz w:val="1"/>
                <w:szCs w:val="1"/>
                <w:color w:val="auto"/>
              </w:rPr>
            </w:pPr>
          </w:p>
        </w:tc>
      </w:tr>
      <w:tr>
        <w:trPr>
          <w:trHeight w:val="218"/>
        </w:trPr>
        <w:tc>
          <w:tcPr>
            <w:tcW w:w="1160" w:type="dxa"/>
            <w:vAlign w:val="bottom"/>
          </w:tcPr>
          <w:p>
            <w:pPr>
              <w:spacing w:after="0"/>
              <w:rPr>
                <w:sz w:val="18"/>
                <w:szCs w:val="18"/>
                <w:color w:val="auto"/>
              </w:rPr>
            </w:pPr>
          </w:p>
        </w:tc>
        <w:tc>
          <w:tcPr>
            <w:tcW w:w="7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on Form 10-K for the period year ended December 31, 2023, which was filed with the SEC on April 19,</w:t>
            </w:r>
          </w:p>
        </w:tc>
      </w:tr>
      <w:tr>
        <w:trPr>
          <w:trHeight w:val="234"/>
        </w:trPr>
        <w:tc>
          <w:tcPr>
            <w:tcW w:w="116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91"/>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23.1*</w:t>
            </w:r>
          </w:p>
        </w:tc>
        <w:tc>
          <w:tcPr>
            <w:tcW w:w="426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9"/>
              </w:rPr>
              <w:t>Independent Registered Public Accounting Firm’s Consent</w:t>
            </w:r>
          </w:p>
        </w:tc>
        <w:tc>
          <w:tcPr>
            <w:tcW w:w="3480" w:type="dxa"/>
            <w:vAlign w:val="bottom"/>
            <w:gridSpan w:val="2"/>
          </w:tcPr>
          <w:p>
            <w:pPr>
              <w:spacing w:after="0"/>
              <w:rPr>
                <w:sz w:val="24"/>
                <w:szCs w:val="24"/>
                <w:color w:val="auto"/>
              </w:rPr>
            </w:pPr>
          </w:p>
        </w:tc>
      </w:tr>
      <w:tr>
        <w:trPr>
          <w:trHeight w:val="41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23.2*</w:t>
            </w:r>
          </w:p>
        </w:tc>
        <w:tc>
          <w:tcPr>
            <w:tcW w:w="774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Independent Registered Public Accounting Firm’s Consent</w:t>
            </w:r>
          </w:p>
        </w:tc>
      </w:tr>
      <w:tr>
        <w:trPr>
          <w:trHeight w:val="41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31(i).1*</w:t>
            </w:r>
          </w:p>
        </w:tc>
        <w:tc>
          <w:tcPr>
            <w:tcW w:w="334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Rule 13a-14(a)/15d-14(a) Certification (CEO)</w:t>
            </w:r>
          </w:p>
        </w:tc>
        <w:tc>
          <w:tcPr>
            <w:tcW w:w="900" w:type="dxa"/>
            <w:vAlign w:val="bottom"/>
            <w:tcBorders>
              <w:top w:val="single" w:sz="8" w:color="0000EE"/>
            </w:tcBorders>
          </w:tcPr>
          <w:p>
            <w:pPr>
              <w:spacing w:after="0"/>
              <w:rPr>
                <w:sz w:val="24"/>
                <w:szCs w:val="24"/>
                <w:color w:val="auto"/>
              </w:rPr>
            </w:pPr>
          </w:p>
        </w:tc>
        <w:tc>
          <w:tcPr>
            <w:tcW w:w="3500" w:type="dxa"/>
            <w:vAlign w:val="bottom"/>
            <w:gridSpan w:val="3"/>
          </w:tcPr>
          <w:p>
            <w:pPr>
              <w:spacing w:after="0"/>
              <w:rPr>
                <w:sz w:val="24"/>
                <w:szCs w:val="24"/>
                <w:color w:val="auto"/>
              </w:rPr>
            </w:pPr>
          </w:p>
        </w:tc>
      </w:tr>
      <w:tr>
        <w:trPr>
          <w:trHeight w:val="41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31(i).2*</w:t>
            </w:r>
          </w:p>
        </w:tc>
        <w:tc>
          <w:tcPr>
            <w:tcW w:w="33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Rule 13a-14(a)/15d-14(a) Certification (CFO)</w:t>
            </w:r>
          </w:p>
        </w:tc>
        <w:tc>
          <w:tcPr>
            <w:tcW w:w="4420" w:type="dxa"/>
            <w:vAlign w:val="bottom"/>
            <w:gridSpan w:val="5"/>
          </w:tcPr>
          <w:p>
            <w:pPr>
              <w:spacing w:after="0"/>
              <w:rPr>
                <w:sz w:val="24"/>
                <w:szCs w:val="24"/>
                <w:color w:val="auto"/>
              </w:rPr>
            </w:pPr>
          </w:p>
        </w:tc>
      </w:tr>
      <w:tr>
        <w:trPr>
          <w:trHeight w:val="41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32(i).1*</w:t>
            </w:r>
          </w:p>
        </w:tc>
        <w:tc>
          <w:tcPr>
            <w:tcW w:w="244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Section 1350 Certification (CEO)</w:t>
            </w:r>
          </w:p>
        </w:tc>
        <w:tc>
          <w:tcPr>
            <w:tcW w:w="5300" w:type="dxa"/>
            <w:vAlign w:val="bottom"/>
            <w:gridSpan w:val="6"/>
          </w:tcPr>
          <w:p>
            <w:pPr>
              <w:spacing w:after="0"/>
              <w:rPr>
                <w:sz w:val="24"/>
                <w:szCs w:val="24"/>
                <w:color w:val="auto"/>
              </w:rPr>
            </w:pPr>
          </w:p>
        </w:tc>
      </w:tr>
      <w:tr>
        <w:trPr>
          <w:trHeight w:val="41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32(i).2*</w:t>
            </w:r>
          </w:p>
        </w:tc>
        <w:tc>
          <w:tcPr>
            <w:tcW w:w="24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Section 1350 Certification (CFO)</w:t>
            </w:r>
          </w:p>
        </w:tc>
        <w:tc>
          <w:tcPr>
            <w:tcW w:w="5320" w:type="dxa"/>
            <w:vAlign w:val="bottom"/>
            <w:gridSpan w:val="7"/>
          </w:tcPr>
          <w:p>
            <w:pPr>
              <w:spacing w:after="0"/>
              <w:rPr>
                <w:sz w:val="24"/>
                <w:szCs w:val="24"/>
                <w:color w:val="auto"/>
              </w:rPr>
            </w:pPr>
          </w:p>
        </w:tc>
      </w:tr>
      <w:tr>
        <w:trPr>
          <w:trHeight w:val="41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97.1</w:t>
            </w:r>
          </w:p>
        </w:tc>
        <w:tc>
          <w:tcPr>
            <w:tcW w:w="7740" w:type="dxa"/>
            <w:vAlign w:val="bottom"/>
            <w:gridSpan w:val="12"/>
          </w:tcPr>
          <w:p>
            <w:pPr>
              <w:spacing w:after="0"/>
              <w:rPr>
                <w:rFonts w:ascii="Times New Roman" w:cs="Times New Roman" w:eastAsia="Times New Roman" w:hAnsi="Times New Roman"/>
                <w:sz w:val="18"/>
                <w:szCs w:val="18"/>
                <w:color w:val="0000EE"/>
              </w:rPr>
            </w:pPr>
            <w:hyperlink r:id="rId204">
              <w:r>
                <w:rPr>
                  <w:rFonts w:ascii="Times New Roman" w:cs="Times New Roman" w:eastAsia="Times New Roman" w:hAnsi="Times New Roman"/>
                  <w:sz w:val="18"/>
                  <w:szCs w:val="18"/>
                  <w:color w:val="0000EE"/>
                </w:rPr>
                <w:t xml:space="preserve">Clawback Policy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the appropriate Exhibit to the Annual Report on Form 10-K</w:t>
            </w:r>
          </w:p>
        </w:tc>
      </w:tr>
      <w:tr>
        <w:trPr>
          <w:trHeight w:val="20"/>
        </w:trPr>
        <w:tc>
          <w:tcPr>
            <w:tcW w:w="1160" w:type="dxa"/>
            <w:vAlign w:val="bottom"/>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520" w:type="dxa"/>
            <w:vAlign w:val="bottom"/>
            <w:gridSpan w:val="10"/>
          </w:tcPr>
          <w:p>
            <w:pPr>
              <w:spacing w:after="0" w:line="20" w:lineRule="exact"/>
              <w:rPr>
                <w:sz w:val="1"/>
                <w:szCs w:val="1"/>
                <w:color w:val="auto"/>
              </w:rPr>
            </w:pPr>
          </w:p>
        </w:tc>
      </w:tr>
      <w:tr>
        <w:trPr>
          <w:trHeight w:val="237"/>
        </w:trPr>
        <w:tc>
          <w:tcPr>
            <w:tcW w:w="1160" w:type="dxa"/>
            <w:vAlign w:val="bottom"/>
          </w:tcPr>
          <w:p>
            <w:pPr>
              <w:spacing w:after="0"/>
              <w:rPr>
                <w:sz w:val="20"/>
                <w:szCs w:val="20"/>
                <w:color w:val="auto"/>
              </w:rPr>
            </w:pPr>
          </w:p>
        </w:tc>
        <w:tc>
          <w:tcPr>
            <w:tcW w:w="7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for the period year ended December 31, 2023, which was filed with the SEC on April 19, 2024)</w:t>
            </w:r>
          </w:p>
        </w:tc>
      </w:tr>
      <w:tr>
        <w:trPr>
          <w:trHeight w:val="43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7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43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7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Schema</w:t>
            </w:r>
          </w:p>
        </w:tc>
      </w:tr>
      <w:tr>
        <w:trPr>
          <w:trHeight w:val="43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7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Calculation Linkbase</w:t>
            </w:r>
          </w:p>
        </w:tc>
      </w:tr>
      <w:tr>
        <w:trPr>
          <w:trHeight w:val="43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7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Definition Linkbase</w:t>
            </w:r>
          </w:p>
        </w:tc>
      </w:tr>
      <w:tr>
        <w:trPr>
          <w:trHeight w:val="43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7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Label Linkbase</w:t>
            </w:r>
          </w:p>
        </w:tc>
      </w:tr>
      <w:tr>
        <w:trPr>
          <w:trHeight w:val="43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7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w:t>
            </w:r>
          </w:p>
        </w:tc>
      </w:tr>
      <w:tr>
        <w:trPr>
          <w:trHeight w:val="432"/>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774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r>
        <w:trPr>
          <w:trHeight w:val="115"/>
        </w:trPr>
        <w:tc>
          <w:tcPr>
            <w:tcW w:w="1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60" w:type="dxa"/>
            <w:vAlign w:val="bottom"/>
          </w:tcPr>
          <w:p>
            <w:pPr>
              <w:spacing w:after="0"/>
              <w:rPr>
                <w:sz w:val="10"/>
                <w:szCs w:val="10"/>
                <w:color w:val="auto"/>
              </w:rPr>
            </w:pPr>
          </w:p>
        </w:tc>
        <w:tc>
          <w:tcPr>
            <w:tcW w:w="1320" w:type="dxa"/>
            <w:vAlign w:val="bottom"/>
          </w:tcPr>
          <w:p>
            <w:pPr>
              <w:spacing w:after="0"/>
              <w:rPr>
                <w:sz w:val="10"/>
                <w:szCs w:val="10"/>
                <w:color w:val="auto"/>
              </w:rPr>
            </w:pPr>
          </w:p>
        </w:tc>
      </w:tr>
    </w:tbl>
    <w:p>
      <w:pPr>
        <w:spacing w:after="0" w:line="279" w:lineRule="exact"/>
        <w:rPr>
          <w:sz w:val="20"/>
          <w:szCs w:val="20"/>
          <w:color w:val="auto"/>
        </w:rPr>
      </w:pPr>
    </w:p>
    <w:p>
      <w:pPr>
        <w:ind w:left="440" w:hanging="390"/>
        <w:spacing w:after="0"/>
        <w:tabs>
          <w:tab w:leader="none" w:pos="4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25" w:lineRule="exact"/>
        <w:rPr>
          <w:sz w:val="20"/>
          <w:szCs w:val="20"/>
          <w:color w:val="auto"/>
        </w:rPr>
      </w:pPr>
    </w:p>
    <w:p>
      <w:pPr>
        <w:ind w:left="420" w:right="79" w:hanging="370"/>
        <w:spacing w:after="0" w:line="282" w:lineRule="auto"/>
        <w:tabs>
          <w:tab w:leader="none" w:pos="4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contract or compensatory plan or arrangement required to be identified pursuant to Item 15(a)(3) of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5" w:name="page116"/>
    <w:bookmarkEnd w:id="1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Exchange Act, the registrant has duly caused this report to be signed on its behalf by the undersigned, thereunto duly authorized.</w:t>
      </w:r>
    </w:p>
    <w:p>
      <w:pPr>
        <w:spacing w:after="0" w:line="175"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2960" w:type="dxa"/>
            <w:vAlign w:val="bottom"/>
          </w:tcPr>
          <w:p>
            <w:pPr>
              <w:spacing w:after="0"/>
              <w:rPr>
                <w:sz w:val="20"/>
                <w:szCs w:val="20"/>
                <w:color w:val="auto"/>
              </w:rPr>
            </w:pPr>
            <w:r>
              <w:rPr>
                <w:rFonts w:ascii="Times New Roman" w:cs="Times New Roman" w:eastAsia="Times New Roman" w:hAnsi="Times New Roman"/>
                <w:sz w:val="18"/>
                <w:szCs w:val="18"/>
                <w:color w:val="auto"/>
              </w:rPr>
              <w:t>Date: April 14, 2026</w:t>
            </w:r>
          </w:p>
        </w:tc>
        <w:tc>
          <w:tcPr>
            <w:tcW w:w="592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​​​/s/ Robert W. D’Loren</w:t>
            </w:r>
          </w:p>
        </w:tc>
      </w:tr>
      <w:tr>
        <w:trPr>
          <w:trHeight w:val="211"/>
        </w:trPr>
        <w:tc>
          <w:tcPr>
            <w:tcW w:w="29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3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Robert W. D’Loren, Chairman, President,</w:t>
            </w:r>
          </w:p>
        </w:tc>
      </w:tr>
      <w:tr>
        <w:trPr>
          <w:trHeight w:val="229"/>
        </w:trPr>
        <w:tc>
          <w:tcPr>
            <w:tcW w:w="29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34"/>
        </w:trPr>
        <w:tc>
          <w:tcPr>
            <w:tcW w:w="29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bl>
    <w:p>
      <w:pPr>
        <w:spacing w:after="0" w:line="211"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Exchange Act, this report has been signed below by the following persons on behalf of the registrant and in the capacities and on the dates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87"/>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25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24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t>
            </w:r>
          </w:p>
        </w:tc>
      </w:tr>
      <w:tr>
        <w:trPr>
          <w:trHeight w:val="459"/>
        </w:trPr>
        <w:tc>
          <w:tcPr>
            <w:tcW w:w="26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Robert W. D’Loren</w:t>
            </w:r>
          </w:p>
        </w:tc>
        <w:tc>
          <w:tcPr>
            <w:tcW w:w="180" w:type="dxa"/>
            <w:vAlign w:val="bottom"/>
          </w:tcPr>
          <w:p>
            <w:pPr>
              <w:spacing w:after="0"/>
              <w:rPr>
                <w:sz w:val="24"/>
                <w:szCs w:val="24"/>
                <w:color w:val="auto"/>
              </w:rPr>
            </w:pPr>
          </w:p>
        </w:tc>
        <w:tc>
          <w:tcPr>
            <w:tcW w:w="446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 and Chairman</w:t>
            </w: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April 14, 2026</w:t>
            </w: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Robert W. D’Loren</w:t>
            </w:r>
          </w:p>
        </w:tc>
        <w:tc>
          <w:tcPr>
            <w:tcW w:w="180" w:type="dxa"/>
            <w:vAlign w:val="bottom"/>
          </w:tcPr>
          <w:p>
            <w:pPr>
              <w:spacing w:after="0"/>
              <w:rPr>
                <w:sz w:val="20"/>
                <w:szCs w:val="20"/>
                <w:color w:val="auto"/>
              </w:rPr>
            </w:pPr>
          </w:p>
        </w:tc>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240" w:type="dxa"/>
            <w:vAlign w:val="bottom"/>
          </w:tcPr>
          <w:p>
            <w:pPr>
              <w:spacing w:after="0"/>
              <w:rPr>
                <w:sz w:val="20"/>
                <w:szCs w:val="20"/>
                <w:color w:val="auto"/>
              </w:rPr>
            </w:pPr>
          </w:p>
        </w:tc>
      </w:tr>
      <w:tr>
        <w:trPr>
          <w:trHeight w:val="448"/>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James F. Haran</w:t>
            </w:r>
          </w:p>
        </w:tc>
        <w:tc>
          <w:tcPr>
            <w:tcW w:w="18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2580" w:type="dxa"/>
            <w:vAlign w:val="bottom"/>
          </w:tcPr>
          <w:p>
            <w:pPr>
              <w:spacing w:after="0"/>
              <w:rPr>
                <w:sz w:val="24"/>
                <w:szCs w:val="24"/>
                <w:color w:val="auto"/>
              </w:rPr>
            </w:pP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April 14, 2026</w:t>
            </w:r>
          </w:p>
        </w:tc>
      </w:tr>
      <w:tr>
        <w:trPr>
          <w:trHeight w:val="211"/>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 Haran</w:t>
            </w:r>
          </w:p>
        </w:tc>
        <w:tc>
          <w:tcPr>
            <w:tcW w:w="180" w:type="dxa"/>
            <w:vAlign w:val="bottom"/>
          </w:tcPr>
          <w:p>
            <w:pPr>
              <w:spacing w:after="0"/>
              <w:rPr>
                <w:sz w:val="18"/>
                <w:szCs w:val="18"/>
                <w:color w:val="auto"/>
              </w:rPr>
            </w:pPr>
          </w:p>
        </w:tc>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w:t>
            </w:r>
          </w:p>
        </w:tc>
        <w:tc>
          <w:tcPr>
            <w:tcW w:w="1240" w:type="dxa"/>
            <w:vAlign w:val="bottom"/>
          </w:tcPr>
          <w:p>
            <w:pPr>
              <w:spacing w:after="0"/>
              <w:rPr>
                <w:sz w:val="18"/>
                <w:szCs w:val="18"/>
                <w:color w:val="auto"/>
              </w:rPr>
            </w:pPr>
          </w:p>
        </w:tc>
      </w:tr>
      <w:tr>
        <w:trPr>
          <w:trHeight w:val="234"/>
        </w:trPr>
        <w:tc>
          <w:tcPr>
            <w:tcW w:w="26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1240" w:type="dxa"/>
            <w:vAlign w:val="bottom"/>
          </w:tcPr>
          <w:p>
            <w:pPr>
              <w:spacing w:after="0"/>
              <w:rPr>
                <w:sz w:val="20"/>
                <w:szCs w:val="20"/>
                <w:color w:val="auto"/>
              </w:rPr>
            </w:pPr>
          </w:p>
        </w:tc>
      </w:tr>
      <w:tr>
        <w:trPr>
          <w:trHeight w:val="466"/>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Mark DiSanto</w:t>
            </w:r>
          </w:p>
        </w:tc>
        <w:tc>
          <w:tcPr>
            <w:tcW w:w="18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spacing w:after="0"/>
              <w:rPr>
                <w:sz w:val="24"/>
                <w:szCs w:val="24"/>
                <w:color w:val="auto"/>
              </w:rPr>
            </w:pP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April 14, 2026</w:t>
            </w: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 DiSanto</w:t>
            </w: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8"/>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James Fielding</w:t>
            </w:r>
          </w:p>
        </w:tc>
        <w:tc>
          <w:tcPr>
            <w:tcW w:w="18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spacing w:after="0"/>
              <w:rPr>
                <w:sz w:val="24"/>
                <w:szCs w:val="24"/>
                <w:color w:val="auto"/>
              </w:rPr>
            </w:pP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April 14, 2026</w:t>
            </w: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Fielding</w:t>
            </w: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8"/>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Howard Liebman</w:t>
            </w:r>
          </w:p>
        </w:tc>
        <w:tc>
          <w:tcPr>
            <w:tcW w:w="18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spacing w:after="0"/>
              <w:rPr>
                <w:sz w:val="24"/>
                <w:szCs w:val="24"/>
                <w:color w:val="auto"/>
              </w:rPr>
            </w:pP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April 14, 2026</w:t>
            </w: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Howard Liebman</w:t>
            </w: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48"/>
        </w:trPr>
        <w:tc>
          <w:tcPr>
            <w:tcW w:w="26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Deborah Weinswig</w:t>
            </w:r>
          </w:p>
        </w:tc>
        <w:tc>
          <w:tcPr>
            <w:tcW w:w="180" w:type="dxa"/>
            <w:vAlign w:val="bottom"/>
          </w:tcPr>
          <w:p>
            <w:pPr>
              <w:spacing w:after="0"/>
              <w:rPr>
                <w:sz w:val="24"/>
                <w:szCs w:val="24"/>
                <w:color w:val="auto"/>
              </w:rPr>
            </w:pPr>
          </w:p>
        </w:tc>
        <w:tc>
          <w:tcPr>
            <w:tcW w:w="1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c>
          <w:tcPr>
            <w:tcW w:w="2580" w:type="dxa"/>
            <w:vAlign w:val="bottom"/>
          </w:tcPr>
          <w:p>
            <w:pPr>
              <w:spacing w:after="0"/>
              <w:rPr>
                <w:sz w:val="24"/>
                <w:szCs w:val="24"/>
                <w:color w:val="auto"/>
              </w:rPr>
            </w:pPr>
          </w:p>
        </w:tc>
        <w:tc>
          <w:tcPr>
            <w:tcW w:w="1240" w:type="dxa"/>
            <w:vAlign w:val="bottom"/>
          </w:tcPr>
          <w:p>
            <w:pPr>
              <w:ind w:left="180"/>
              <w:spacing w:after="0"/>
              <w:rPr>
                <w:sz w:val="20"/>
                <w:szCs w:val="20"/>
                <w:color w:val="auto"/>
              </w:rPr>
            </w:pPr>
            <w:r>
              <w:rPr>
                <w:rFonts w:ascii="Times New Roman" w:cs="Times New Roman" w:eastAsia="Times New Roman" w:hAnsi="Times New Roman"/>
                <w:sz w:val="18"/>
                <w:szCs w:val="18"/>
                <w:color w:val="auto"/>
                <w:w w:val="98"/>
              </w:rPr>
              <w:t>April 14, 2026</w:t>
            </w:r>
          </w:p>
        </w:tc>
      </w:tr>
      <w:tr>
        <w:trPr>
          <w:trHeight w:val="234"/>
        </w:trPr>
        <w:tc>
          <w:tcPr>
            <w:tcW w:w="2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Deborah Weinswig</w:t>
            </w:r>
          </w:p>
        </w:tc>
        <w:tc>
          <w:tcPr>
            <w:tcW w:w="18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2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CONSENT OF INDEPENDENT REGISTERED PUBLIC ACCOUNTING FIRM</w:t>
      </w:r>
    </w:p>
    <w:p>
      <w:pPr>
        <w:spacing w:after="0" w:line="22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on Form S-8 (No. 333-188985); (333-201252); (No. 333-214150); and (No. 333-264382) of our report dated May 27, 2025, with respect to the consolidated financial statements of Xcel Brands, Inc. and Subsidiaries included in this Annual Report on Form 10-K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348615</wp:posOffset>
            </wp:positionV>
            <wp:extent cx="6292215" cy="260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7" w:name="page118"/>
    <w:bookmarkEnd w:id="117"/>
    <w:p>
      <w:pPr>
        <w:jc w:val="right"/>
        <w:ind w:right="219"/>
        <w:spacing w:after="0"/>
        <w:rPr>
          <w:sz w:val="20"/>
          <w:szCs w:val="20"/>
          <w:color w:val="auto"/>
        </w:rPr>
      </w:pPr>
      <w:r>
        <w:rPr>
          <w:rFonts w:ascii="Times New Roman" w:cs="Times New Roman" w:eastAsia="Times New Roman" w:hAnsi="Times New Roman"/>
          <w:sz w:val="18"/>
          <w:szCs w:val="18"/>
          <w:b w:val="1"/>
          <w:bCs w:val="1"/>
          <w:color w:val="auto"/>
        </w:rPr>
        <w:t>EXHIBIT 23.2</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70" w:lineRule="exact"/>
        <w:rPr>
          <w:sz w:val="20"/>
          <w:szCs w:val="20"/>
          <w:color w:val="auto"/>
        </w:rPr>
      </w:pPr>
    </w:p>
    <w:p>
      <w:pPr>
        <w:ind w:left="200" w:right="419"/>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these Registration Statements (Nos. 333-264382, 333-214150, 333-201252 and 333-188985) on Forms S-8 of Xcel Brands, Inc. and Subsidiaries. (the “Company”) of our report dated April 14, 2026, relating to the consolidated financial statements of the Company, appearing in this Annual Report on Form 10-K for the year ended December 31, 2025.</w:t>
      </w:r>
    </w:p>
    <w:p>
      <w:pPr>
        <w:spacing w:after="0" w:line="200" w:lineRule="exact"/>
        <w:rPr>
          <w:sz w:val="20"/>
          <w:szCs w:val="20"/>
          <w:color w:val="auto"/>
        </w:rPr>
      </w:pPr>
    </w:p>
    <w:p>
      <w:pPr>
        <w:spacing w:after="0" w:line="26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 Wolf &amp; Company, P.C.</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Wolf &amp; Company, P.C.</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April 14,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348615</wp:posOffset>
            </wp:positionV>
            <wp:extent cx="5452110"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8">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118" w:name="page119"/>
    <w:bookmarkEnd w:id="118"/>
    <w:p>
      <w:pPr>
        <w:ind w:left="8620"/>
        <w:spacing w:after="0"/>
        <w:rPr>
          <w:sz w:val="20"/>
          <w:szCs w:val="20"/>
          <w:color w:val="auto"/>
        </w:rPr>
      </w:pPr>
      <w:r>
        <w:rPr>
          <w:rFonts w:ascii="Times New Roman" w:cs="Times New Roman" w:eastAsia="Times New Roman" w:hAnsi="Times New Roman"/>
          <w:sz w:val="17"/>
          <w:szCs w:val="17"/>
          <w:b w:val="1"/>
          <w:bCs w:val="1"/>
          <w:color w:val="auto"/>
        </w:rPr>
        <w:t>EXHIBIT 31(i).1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 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W. D’Loren certify that:</w:t>
      </w:r>
    </w:p>
    <w:p>
      <w:pPr>
        <w:spacing w:after="0" w:line="158" w:lineRule="exact"/>
        <w:rPr>
          <w:sz w:val="20"/>
          <w:szCs w:val="20"/>
          <w:color w:val="auto"/>
        </w:rPr>
      </w:pPr>
    </w:p>
    <w:p>
      <w:pPr>
        <w:ind w:left="320" w:hanging="312"/>
        <w:spacing w:after="0"/>
        <w:tabs>
          <w:tab w:leader="none" w:pos="3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Xcel Brands, Inc. (the "registrant") for the year ended December 31, 2025.</w:t>
      </w:r>
    </w:p>
    <w:p>
      <w:pPr>
        <w:spacing w:after="0" w:line="157" w:lineRule="exact"/>
        <w:rPr>
          <w:rFonts w:ascii="Times New Roman" w:cs="Times New Roman" w:eastAsia="Times New Roman" w:hAnsi="Times New Roman"/>
          <w:sz w:val="18"/>
          <w:szCs w:val="18"/>
          <w:color w:val="auto"/>
        </w:rPr>
      </w:pPr>
    </w:p>
    <w:p>
      <w:pPr>
        <w:ind w:left="320" w:right="20" w:hanging="312"/>
        <w:spacing w:after="0" w:line="266" w:lineRule="auto"/>
        <w:tabs>
          <w:tab w:leader="none" w:pos="31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320" w:right="80" w:hanging="312"/>
        <w:spacing w:after="0" w:line="266" w:lineRule="auto"/>
        <w:tabs>
          <w:tab w:leader="none" w:pos="314"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320" w:right="60" w:hanging="312"/>
        <w:spacing w:after="0" w:line="266" w:lineRule="auto"/>
        <w:tabs>
          <w:tab w:leader="none" w:pos="31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4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320" w:right="180" w:hanging="312"/>
        <w:spacing w:after="0" w:line="266" w:lineRule="auto"/>
        <w:tabs>
          <w:tab w:leader="none" w:pos="31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3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4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14, 2026</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Robert W. D’Loren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Chairman, President, Chief Executive Officer and Director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19" w:name="page120"/>
    <w:bookmarkEnd w:id="119"/>
    <w:p>
      <w:pPr>
        <w:ind w:left="8620"/>
        <w:spacing w:after="0"/>
        <w:rPr>
          <w:sz w:val="20"/>
          <w:szCs w:val="20"/>
          <w:color w:val="auto"/>
        </w:rPr>
      </w:pPr>
      <w:r>
        <w:rPr>
          <w:rFonts w:ascii="Times New Roman" w:cs="Times New Roman" w:eastAsia="Times New Roman" w:hAnsi="Times New Roman"/>
          <w:sz w:val="17"/>
          <w:szCs w:val="17"/>
          <w:b w:val="1"/>
          <w:bCs w:val="1"/>
          <w:color w:val="auto"/>
        </w:rPr>
        <w:t>EXHIBIT 31(i).2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 AS ADOPTED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302 OF THE SARBANES 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James F. Haran certify that:</w:t>
      </w:r>
    </w:p>
    <w:p>
      <w:pPr>
        <w:spacing w:after="0" w:line="158" w:lineRule="exact"/>
        <w:rPr>
          <w:sz w:val="20"/>
          <w:szCs w:val="20"/>
          <w:color w:val="auto"/>
        </w:rPr>
      </w:pPr>
    </w:p>
    <w:p>
      <w:pPr>
        <w:ind w:left="320" w:hanging="312"/>
        <w:spacing w:after="0"/>
        <w:tabs>
          <w:tab w:leader="none" w:pos="3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Xcel Brands, Inc. (the "registrant") for the year ended December 31, 2025.</w:t>
      </w:r>
    </w:p>
    <w:p>
      <w:pPr>
        <w:spacing w:after="0" w:line="157" w:lineRule="exact"/>
        <w:rPr>
          <w:rFonts w:ascii="Times New Roman" w:cs="Times New Roman" w:eastAsia="Times New Roman" w:hAnsi="Times New Roman"/>
          <w:sz w:val="18"/>
          <w:szCs w:val="18"/>
          <w:color w:val="auto"/>
        </w:rPr>
      </w:pPr>
    </w:p>
    <w:p>
      <w:pPr>
        <w:ind w:left="320" w:right="20" w:hanging="312"/>
        <w:spacing w:after="0" w:line="266" w:lineRule="auto"/>
        <w:tabs>
          <w:tab w:leader="none" w:pos="31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320" w:right="80" w:hanging="312"/>
        <w:spacing w:after="0" w:line="266" w:lineRule="auto"/>
        <w:tabs>
          <w:tab w:leader="none" w:pos="31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320" w:right="60" w:hanging="312"/>
        <w:spacing w:after="0" w:line="266" w:lineRule="auto"/>
        <w:tabs>
          <w:tab w:leader="none" w:pos="31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4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8"/>
          <w:szCs w:val="18"/>
          <w:color w:val="auto"/>
        </w:rPr>
      </w:pPr>
    </w:p>
    <w:p>
      <w:pPr>
        <w:ind w:left="660" w:right="200" w:hanging="328"/>
        <w:spacing w:after="0" w:line="266" w:lineRule="auto"/>
        <w:tabs>
          <w:tab w:leader="none" w:pos="65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8"/>
          <w:szCs w:val="18"/>
          <w:color w:val="auto"/>
        </w:rPr>
      </w:pPr>
    </w:p>
    <w:p>
      <w:pPr>
        <w:jc w:val="both"/>
        <w:ind w:left="660" w:right="300" w:hanging="328"/>
        <w:spacing w:after="0" w:line="266" w:lineRule="auto"/>
        <w:tabs>
          <w:tab w:leader="none" w:pos="64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660" w:right="300" w:hanging="328"/>
        <w:spacing w:after="0" w:line="266" w:lineRule="auto"/>
        <w:tabs>
          <w:tab w:leader="none" w:pos="65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8"/>
          <w:szCs w:val="18"/>
          <w:color w:val="auto"/>
        </w:rPr>
      </w:pPr>
    </w:p>
    <w:p>
      <w:pPr>
        <w:ind w:left="320" w:right="180" w:hanging="312"/>
        <w:spacing w:after="0" w:line="266" w:lineRule="auto"/>
        <w:tabs>
          <w:tab w:leader="none" w:pos="31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660" w:right="80" w:hanging="328"/>
        <w:spacing w:after="0" w:line="266" w:lineRule="auto"/>
        <w:tabs>
          <w:tab w:leader="none" w:pos="63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660" w:right="80" w:hanging="328"/>
        <w:spacing w:after="0" w:line="282" w:lineRule="auto"/>
        <w:tabs>
          <w:tab w:leader="none" w:pos="64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14, 2026</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1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James F. Haran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 (Principal Financial and Accounting</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32(i).1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Robert W. D’Loren, the Chairman, President, Chief Executive Officer, and Director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2025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14, 2026</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Robert W. D’Loren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1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Robert W. D’Loren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Chairman, President, Chief Executive Officer and Director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1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18"/>
          <w:szCs w:val="18"/>
          <w:b w:val="1"/>
          <w:bCs w:val="1"/>
          <w:color w:val="auto"/>
        </w:rPr>
        <w:t>EXHIBIT 32(i).2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James F. Haran, Chief Financial Officer of Xcel Brands, Inc (the “Registrant”), certifies, under the standards set forth and solely for the purposes of 18 U.S.C. 1350, as adopted pursuant to Section 906 of the Sarbanes-Oxley Act of 2002, that, to his knowledge, the Annual Report on Form 10-K of the Registrant for the year ended December 31, 2025 fully complies with the requirements of Section 13(a) or 15(d) of the Securities Exchange Act of 1934 and information contained in that Form 10-K fairly presents, in all material respects, the financial condition and results of operations of the Registrant.</w:t>
      </w:r>
    </w:p>
    <w:p>
      <w:pPr>
        <w:spacing w:after="0" w:line="19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April 14, 2026</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/s/ James F. Haran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17145</wp:posOffset>
            </wp:positionV>
            <wp:extent cx="31457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James F. Haran</w:t>
      </w:r>
    </w:p>
    <w:p>
      <w:pPr>
        <w:spacing w:after="0" w:line="2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Chief Financial Officer (Principal Financial and Accounting</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Officer)</w:t>
      </w:r>
    </w:p>
    <w:p>
      <w:pPr>
        <w:spacing w:after="0" w:line="20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Xcel Brands, Inc. and will be retained by Xcel Brands,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320040</wp:posOffset>
            </wp:positionV>
            <wp:extent cx="6292215" cy="260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
      <w:numFmt w:val="bullet"/>
      <w:start w:val="1"/>
    </w:lvl>
  </w:abstractNum>
  <w:abstractNum w:abstractNumId="2">
    <w:nsid w:val="7C3DBD3D"/>
    <w:multiLevelType w:val="hybridMultilevel"/>
    <w:lvl w:ilvl="0">
      <w:lvlJc w:val="left"/>
      <w:lvlText w:val="●"/>
      <w:numFmt w:val="bullet"/>
      <w:start w:val="1"/>
    </w:lvl>
  </w:abstractNum>
  <w:abstractNum w:abstractNumId="3">
    <w:nsid w:val="737B8DDC"/>
    <w:multiLevelType w:val="hybridMultilevel"/>
    <w:lvl w:ilvl="0">
      <w:lvlJc w:val="left"/>
      <w:lvlText w:val="●"/>
      <w:numFmt w:val="bullet"/>
      <w:start w:val="1"/>
    </w:lvl>
  </w:abstractNum>
  <w:abstractNum w:abstractNumId="4">
    <w:nsid w:val="6CEAF087"/>
    <w:multiLevelType w:val="hybridMultilevel"/>
    <w:lvl w:ilvl="0">
      <w:lvlJc w:val="left"/>
      <w:lvlText w:val="●"/>
      <w:numFmt w:val="bullet"/>
      <w:start w:val="1"/>
    </w:lvl>
  </w:abstractNum>
  <w:abstractNum w:abstractNumId="5">
    <w:nsid w:val="22221A70"/>
    <w:multiLevelType w:val="hybridMultilevel"/>
    <w:lvl w:ilvl="0">
      <w:lvlJc w:val="left"/>
      <w:lvlText w:val="●"/>
      <w:numFmt w:val="bullet"/>
      <w:start w:val="1"/>
    </w:lvl>
  </w:abstractNum>
  <w:abstractNum w:abstractNumId="6">
    <w:nsid w:val="4516DDE9"/>
    <w:multiLevelType w:val="hybridMultilevel"/>
    <w:lvl w:ilvl="0">
      <w:lvlJc w:val="left"/>
      <w:lvlText w:val="●"/>
      <w:numFmt w:val="bullet"/>
      <w:start w:val="1"/>
    </w:lvl>
  </w:abstractNum>
  <w:abstractNum w:abstractNumId="7">
    <w:nsid w:val="3006C83E"/>
    <w:multiLevelType w:val="hybridMultilevel"/>
    <w:lvl w:ilvl="0">
      <w:lvlJc w:val="left"/>
      <w:lvlText w:val="●"/>
      <w:numFmt w:val="bullet"/>
      <w:start w:val="1"/>
    </w:lvl>
  </w:abstractNum>
  <w:abstractNum w:abstractNumId="8">
    <w:nsid w:val="614FD4A1"/>
    <w:multiLevelType w:val="hybridMultilevel"/>
    <w:lvl w:ilvl="0">
      <w:lvlJc w:val="left"/>
      <w:lvlText w:val="●"/>
      <w:numFmt w:val="bullet"/>
      <w:start w:val="1"/>
    </w:lvl>
  </w:abstractNum>
  <w:abstractNum w:abstractNumId="9">
    <w:nsid w:val="419AC241"/>
    <w:multiLevelType w:val="hybridMultilevel"/>
    <w:lvl w:ilvl="0">
      <w:lvlJc w:val="left"/>
      <w:lvlText w:val="●"/>
      <w:numFmt w:val="bullet"/>
      <w:start w:val="1"/>
    </w:lvl>
  </w:abstractNum>
  <w:abstractNum w:abstractNumId="10">
    <w:nsid w:val="5577F8E1"/>
    <w:multiLevelType w:val="hybridMultilevel"/>
    <w:lvl w:ilvl="0">
      <w:lvlJc w:val="left"/>
      <w:lvlText w:val="●"/>
      <w:numFmt w:val="bullet"/>
      <w:start w:val="1"/>
    </w:lvl>
  </w:abstractNum>
  <w:abstractNum w:abstractNumId="11">
    <w:nsid w:val="440BADFC"/>
    <w:multiLevelType w:val="hybridMultilevel"/>
    <w:lvl w:ilvl="0">
      <w:lvlJc w:val="left"/>
      <w:lvlText w:val="●"/>
      <w:numFmt w:val="bullet"/>
      <w:start w:val="1"/>
    </w:lvl>
  </w:abstractNum>
  <w:abstractNum w:abstractNumId="12">
    <w:nsid w:val="5072367"/>
    <w:multiLevelType w:val="hybridMultilevel"/>
    <w:lvl w:ilvl="0">
      <w:lvlJc w:val="left"/>
      <w:lvlText w:val="●"/>
      <w:numFmt w:val="bullet"/>
      <w:start w:val="1"/>
    </w:lvl>
  </w:abstractNum>
  <w:abstractNum w:abstractNumId="13">
    <w:nsid w:val="3804823E"/>
    <w:multiLevelType w:val="hybridMultilevel"/>
    <w:lvl w:ilvl="0">
      <w:lvlJc w:val="left"/>
      <w:lvlText w:val="●"/>
      <w:numFmt w:val="bullet"/>
      <w:start w:val="1"/>
    </w:lvl>
  </w:abstractNum>
  <w:abstractNum w:abstractNumId="14">
    <w:nsid w:val="77465F01"/>
    <w:multiLevelType w:val="hybridMultilevel"/>
    <w:lvl w:ilvl="0">
      <w:lvlJc w:val="left"/>
      <w:lvlText w:val="●"/>
      <w:numFmt w:val="bullet"/>
      <w:start w:val="1"/>
    </w:lvl>
  </w:abstractNum>
  <w:abstractNum w:abstractNumId="15">
    <w:nsid w:val="7724C67E"/>
    <w:multiLevelType w:val="hybridMultilevel"/>
    <w:lvl w:ilvl="0">
      <w:lvlJc w:val="left"/>
      <w:lvlText w:val="●"/>
      <w:numFmt w:val="bullet"/>
      <w:start w:val="1"/>
    </w:lvl>
  </w:abstractNum>
  <w:abstractNum w:abstractNumId="16">
    <w:nsid w:val="5C482A97"/>
    <w:multiLevelType w:val="hybridMultilevel"/>
    <w:lvl w:ilvl="0">
      <w:lvlJc w:val="left"/>
      <w:lvlText w:val="●"/>
      <w:numFmt w:val="bullet"/>
      <w:start w:val="1"/>
    </w:lvl>
  </w:abstractNum>
  <w:abstractNum w:abstractNumId="17">
    <w:nsid w:val="2463B9EA"/>
    <w:multiLevelType w:val="hybridMultilevel"/>
    <w:lvl w:ilvl="0">
      <w:lvlJc w:val="left"/>
      <w:lvlText w:val="●"/>
      <w:numFmt w:val="bullet"/>
      <w:start w:val="1"/>
    </w:lvl>
  </w:abstractNum>
  <w:abstractNum w:abstractNumId="18">
    <w:nsid w:val="5E884ADC"/>
    <w:multiLevelType w:val="hybridMultilevel"/>
    <w:lvl w:ilvl="0">
      <w:lvlJc w:val="left"/>
      <w:lvlText w:val="●"/>
      <w:numFmt w:val="bullet"/>
      <w:start w:val="1"/>
    </w:lvl>
  </w:abstractNum>
  <w:abstractNum w:abstractNumId="19">
    <w:nsid w:val="51EAD36B"/>
    <w:multiLevelType w:val="hybridMultilevel"/>
    <w:lvl w:ilvl="0">
      <w:lvlJc w:val="left"/>
      <w:lvlText w:val="●"/>
      <w:numFmt w:val="bullet"/>
      <w:start w:val="1"/>
    </w:lvl>
  </w:abstractNum>
  <w:abstractNum w:abstractNumId="20">
    <w:nsid w:val="2D517796"/>
    <w:multiLevelType w:val="hybridMultilevel"/>
    <w:lvl w:ilvl="0">
      <w:lvlJc w:val="left"/>
      <w:lvlText w:val="●"/>
      <w:numFmt w:val="bullet"/>
      <w:start w:val="1"/>
    </w:lvl>
  </w:abstractNum>
  <w:abstractNum w:abstractNumId="21">
    <w:nsid w:val="580BD78F"/>
    <w:multiLevelType w:val="hybridMultilevel"/>
    <w:lvl w:ilvl="0">
      <w:lvlJc w:val="left"/>
      <w:lvlText w:val="(%1)"/>
      <w:numFmt w:val="lowerRoman"/>
      <w:start w:val="1"/>
    </w:lvl>
  </w:abstractNum>
  <w:abstractNum w:abstractNumId="22">
    <w:nsid w:val="153EA438"/>
    <w:multiLevelType w:val="hybridMultilevel"/>
    <w:lvl w:ilvl="0">
      <w:lvlJc w:val="left"/>
      <w:lvlText w:val="●"/>
      <w:numFmt w:val="bullet"/>
      <w:start w:val="1"/>
    </w:lvl>
  </w:abstractNum>
  <w:abstractNum w:abstractNumId="23">
    <w:nsid w:val="3855585C"/>
    <w:multiLevelType w:val="hybridMultilevel"/>
    <w:lvl w:ilvl="0">
      <w:lvlJc w:val="left"/>
      <w:lvlText w:val="●"/>
      <w:numFmt w:val="bullet"/>
      <w:start w:val="1"/>
    </w:lvl>
  </w:abstractNum>
  <w:abstractNum w:abstractNumId="24">
    <w:nsid w:val="70A64E2A"/>
    <w:multiLevelType w:val="hybridMultilevel"/>
    <w:lvl w:ilvl="0">
      <w:lvlJc w:val="left"/>
      <w:lvlText w:val="●"/>
      <w:numFmt w:val="bullet"/>
      <w:start w:val="1"/>
    </w:lvl>
  </w:abstractNum>
  <w:abstractNum w:abstractNumId="25">
    <w:nsid w:val="6A2342EC"/>
    <w:multiLevelType w:val="hybridMultilevel"/>
    <w:lvl w:ilvl="0">
      <w:lvlJc w:val="left"/>
      <w:lvlText w:val="●"/>
      <w:numFmt w:val="bullet"/>
      <w:start w:val="1"/>
    </w:lvl>
  </w:abstractNum>
  <w:abstractNum w:abstractNumId="26">
    <w:nsid w:val="2A487CB0"/>
    <w:multiLevelType w:val="hybridMultilevel"/>
    <w:lvl w:ilvl="0">
      <w:lvlJc w:val="left"/>
      <w:lvlText w:val="●"/>
      <w:numFmt w:val="bullet"/>
      <w:start w:val="1"/>
    </w:lvl>
  </w:abstractNum>
  <w:abstractNum w:abstractNumId="27">
    <w:nsid w:val="1D4ED43B"/>
    <w:multiLevelType w:val="hybridMultilevel"/>
    <w:lvl w:ilvl="0">
      <w:lvlJc w:val="left"/>
      <w:lvlText w:val="(%1)"/>
      <w:numFmt w:val="lowerRoman"/>
      <w:start w:val="1"/>
    </w:lvl>
  </w:abstractNum>
  <w:abstractNum w:abstractNumId="28">
    <w:nsid w:val="725A06FB"/>
    <w:multiLevelType w:val="hybridMultilevel"/>
    <w:lvl w:ilvl="0">
      <w:lvlJc w:val="left"/>
      <w:lvlText w:val="(%1)"/>
      <w:numFmt w:val="lowerRoman"/>
      <w:start w:val="2"/>
    </w:lvl>
  </w:abstractNum>
  <w:abstractNum w:abstractNumId="29">
    <w:nsid w:val="2CD89A32"/>
    <w:multiLevelType w:val="hybridMultilevel"/>
    <w:lvl w:ilvl="0">
      <w:lvlJc w:val="left"/>
      <w:lvlText w:val="(%1)"/>
      <w:numFmt w:val="lowerRoman"/>
      <w:start w:val="2"/>
    </w:lvl>
  </w:abstractNum>
  <w:abstractNum w:abstractNumId="30">
    <w:nsid w:val="57E4CCAF"/>
    <w:multiLevelType w:val="hybridMultilevel"/>
    <w:lvl w:ilvl="0">
      <w:lvlJc w:val="left"/>
      <w:lvlText w:val="●"/>
      <w:numFmt w:val="bullet"/>
      <w:start w:val="1"/>
    </w:lvl>
  </w:abstractNum>
  <w:abstractNum w:abstractNumId="31">
    <w:nsid w:val="7A6D8D3C"/>
    <w:multiLevelType w:val="hybridMultilevel"/>
    <w:lvl w:ilvl="0">
      <w:lvlJc w:val="left"/>
      <w:lvlText w:val="●"/>
      <w:numFmt w:val="bullet"/>
      <w:start w:val="1"/>
    </w:lvl>
  </w:abstractNum>
  <w:abstractNum w:abstractNumId="32">
    <w:nsid w:val="4B588F54"/>
    <w:multiLevelType w:val="hybridMultilevel"/>
    <w:lvl w:ilvl="0">
      <w:lvlJc w:val="left"/>
      <w:lvlText w:val="(%1)"/>
      <w:numFmt w:val="decimal"/>
      <w:start w:val="1"/>
    </w:lvl>
  </w:abstractNum>
  <w:abstractNum w:abstractNumId="33">
    <w:nsid w:val="542289EC"/>
    <w:multiLevelType w:val="hybridMultilevel"/>
    <w:lvl w:ilvl="0">
      <w:lvlJc w:val="left"/>
      <w:lvlText w:val="(%1)"/>
      <w:numFmt w:val="decimal"/>
      <w:start w:val="1"/>
    </w:lvl>
  </w:abstractNum>
  <w:abstractNum w:abstractNumId="34">
    <w:nsid w:val="6DE91B18"/>
    <w:multiLevelType w:val="hybridMultilevel"/>
    <w:lvl w:ilvl="0">
      <w:lvlJc w:val="left"/>
      <w:lvlText w:val="(%1)"/>
      <w:numFmt w:val="decimal"/>
      <w:start w:val="1"/>
    </w:lvl>
  </w:abstractNum>
  <w:abstractNum w:abstractNumId="35">
    <w:nsid w:val="38437FDB"/>
    <w:multiLevelType w:val="hybridMultilevel"/>
    <w:lvl w:ilvl="0">
      <w:lvlJc w:val="left"/>
      <w:lvlText w:val="●"/>
      <w:numFmt w:val="bullet"/>
      <w:start w:val="1"/>
    </w:lvl>
  </w:abstractNum>
  <w:abstractNum w:abstractNumId="36">
    <w:nsid w:val="7644A45C"/>
    <w:multiLevelType w:val="hybridMultilevel"/>
    <w:lvl w:ilvl="0">
      <w:lvlJc w:val="left"/>
      <w:lvlText w:val="●"/>
      <w:numFmt w:val="bullet"/>
      <w:start w:val="1"/>
    </w:lvl>
  </w:abstractNum>
  <w:abstractNum w:abstractNumId="37">
    <w:nsid w:val="32FFF902"/>
    <w:multiLevelType w:val="hybridMultilevel"/>
    <w:lvl w:ilvl="0">
      <w:lvlJc w:val="left"/>
      <w:lvlText w:val="●"/>
      <w:numFmt w:val="bullet"/>
      <w:start w:val="1"/>
    </w:lvl>
  </w:abstractNum>
  <w:abstractNum w:abstractNumId="38">
    <w:nsid w:val="684A481A"/>
    <w:multiLevelType w:val="hybridMultilevel"/>
    <w:lvl w:ilvl="0">
      <w:lvlJc w:val="left"/>
      <w:lvlText w:val="●"/>
      <w:numFmt w:val="bullet"/>
      <w:start w:val="1"/>
    </w:lvl>
  </w:abstractNum>
  <w:abstractNum w:abstractNumId="39">
    <w:nsid w:val="579478FE"/>
    <w:multiLevelType w:val="hybridMultilevel"/>
    <w:lvl w:ilvl="0">
      <w:lvlJc w:val="left"/>
      <w:lvlText w:val="(%1)"/>
      <w:numFmt w:val="decimal"/>
      <w:start w:val="18"/>
    </w:lvl>
  </w:abstractNum>
  <w:abstractNum w:abstractNumId="40">
    <w:nsid w:val="749ABB43"/>
    <w:multiLevelType w:val="hybridMultilevel"/>
    <w:lvl w:ilvl="0">
      <w:lvlJc w:val="left"/>
      <w:lvlText w:val="(%1)"/>
      <w:numFmt w:val="lowerRoman"/>
      <w:start w:val="1"/>
    </w:lvl>
  </w:abstractNum>
  <w:abstractNum w:abstractNumId="41">
    <w:nsid w:val="3DC240FB"/>
    <w:multiLevelType w:val="hybridMultilevel"/>
    <w:lvl w:ilvl="0">
      <w:lvlJc w:val="left"/>
      <w:lvlText w:val="(%1)"/>
      <w:numFmt w:val="lowerRoman"/>
      <w:start w:val="1"/>
    </w:lvl>
  </w:abstractNum>
  <w:abstractNum w:abstractNumId="42">
    <w:nsid w:val="1BA026FA"/>
    <w:multiLevelType w:val="hybridMultilevel"/>
    <w:lvl w:ilvl="0">
      <w:lvlJc w:val="left"/>
      <w:lvlText w:val="(%1)"/>
      <w:numFmt w:val="lowerRoman"/>
      <w:start w:val="1"/>
    </w:lvl>
  </w:abstractNum>
  <w:abstractNum w:abstractNumId="43">
    <w:nsid w:val="79A1DEAA"/>
    <w:multiLevelType w:val="hybridMultilevel"/>
    <w:lvl w:ilvl="0">
      <w:lvlJc w:val="left"/>
      <w:lvlText w:val="●"/>
      <w:numFmt w:val="bullet"/>
      <w:start w:val="1"/>
    </w:lvl>
  </w:abstractNum>
  <w:abstractNum w:abstractNumId="44">
    <w:nsid w:val="75C6C33A"/>
    <w:multiLevelType w:val="hybridMultilevel"/>
    <w:lvl w:ilvl="0">
      <w:lvlJc w:val="left"/>
      <w:lvlText w:val="%1"/>
      <w:numFmt w:val="upperLetter"/>
      <w:start w:val="61"/>
    </w:lvl>
  </w:abstractNum>
  <w:abstractNum w:abstractNumId="45">
    <w:nsid w:val="12E685FB"/>
    <w:multiLevelType w:val="hybridMultilevel"/>
    <w:lvl w:ilvl="0">
      <w:lvlJc w:val="left"/>
      <w:lvlText w:val="●"/>
      <w:numFmt w:val="bullet"/>
      <w:start w:val="1"/>
    </w:lvl>
  </w:abstractNum>
  <w:abstractNum w:abstractNumId="46">
    <w:nsid w:val="70C6A529"/>
    <w:multiLevelType w:val="hybridMultilevel"/>
    <w:lvl w:ilvl="0">
      <w:lvlJc w:val="left"/>
      <w:lvlText w:val="●"/>
      <w:numFmt w:val="bullet"/>
      <w:start w:val="1"/>
    </w:lvl>
  </w:abstractNum>
  <w:abstractNum w:abstractNumId="47">
    <w:nsid w:val="520EEDD1"/>
    <w:multiLevelType w:val="hybridMultilevel"/>
    <w:lvl w:ilvl="0">
      <w:lvlJc w:val="left"/>
      <w:lvlText w:val="(%1)"/>
      <w:numFmt w:val="lowerRoman"/>
      <w:start w:val="2"/>
    </w:lvl>
  </w:abstractNum>
  <w:abstractNum w:abstractNumId="48">
    <w:nsid w:val="374A3FE6"/>
    <w:multiLevelType w:val="hybridMultilevel"/>
    <w:lvl w:ilvl="0">
      <w:lvlJc w:val="left"/>
      <w:lvlText w:val="(%1)"/>
      <w:numFmt w:val="decimal"/>
      <w:start w:val="1"/>
    </w:lvl>
  </w:abstractNum>
  <w:abstractNum w:abstractNumId="49">
    <w:nsid w:val="4F4EF005"/>
    <w:multiLevelType w:val="hybridMultilevel"/>
    <w:lvl w:ilvl="0">
      <w:lvlJc w:val="left"/>
      <w:lvlText w:val="(%1)"/>
      <w:numFmt w:val="decimal"/>
      <w:start w:val="5"/>
    </w:lvl>
  </w:abstractNum>
  <w:abstractNum w:abstractNumId="50">
    <w:nsid w:val="23F9C13C"/>
    <w:multiLevelType w:val="hybridMultilevel"/>
    <w:lvl w:ilvl="0">
      <w:lvlJc w:val="left"/>
      <w:lvlText w:val="(%1)"/>
      <w:numFmt w:val="decimal"/>
      <w:start w:val="1"/>
    </w:lvl>
  </w:abstractNum>
  <w:abstractNum w:abstractNumId="51">
    <w:nsid w:val="649BB77C"/>
    <w:multiLevelType w:val="hybridMultilevel"/>
    <w:lvl w:ilvl="0">
      <w:lvlJc w:val="left"/>
      <w:lvlText w:val="(%1)"/>
      <w:numFmt w:val="decimal"/>
      <w:start w:val="1"/>
    </w:lvl>
  </w:abstractNum>
  <w:abstractNum w:abstractNumId="52">
    <w:nsid w:val="275AC794"/>
    <w:multiLevelType w:val="hybridMultilevel"/>
    <w:lvl w:ilvl="0">
      <w:lvlJc w:val="left"/>
      <w:lvlText w:val="(%1)"/>
      <w:numFmt w:val="lowerRoman"/>
      <w:start w:val="2"/>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decimal"/>
      <w:start w:val="4"/>
    </w:lvl>
  </w:abstractNum>
  <w:abstractNum w:abstractNumId="55">
    <w:nsid w:val="180115BE"/>
    <w:multiLevelType w:val="hybridMultilevel"/>
    <w:lvl w:ilvl="0">
      <w:lvlJc w:val="left"/>
      <w:lvlText w:val="*"/>
      <w:numFmt w:val="bullet"/>
      <w:start w:val="1"/>
    </w:lvl>
  </w:abstractNum>
  <w:abstractNum w:abstractNumId="56">
    <w:nsid w:val="235BA861"/>
    <w:multiLevelType w:val="hybridMultilevel"/>
    <w:lvl w:ilvl="0">
      <w:lvlJc w:val="left"/>
      <w:lvlText w:val="#"/>
      <w:numFmt w:val="bullet"/>
      <w:start w:val="1"/>
    </w:lvl>
  </w:abstractNum>
  <w:abstractNum w:abstractNumId="57">
    <w:nsid w:val="47398C89"/>
    <w:multiLevelType w:val="hybridMultilevel"/>
    <w:lvl w:ilvl="0">
      <w:lvlJc w:val="left"/>
      <w:lvlText w:val="%1."/>
      <w:numFmt w:val="decimal"/>
      <w:start w:val="1"/>
    </w:lvl>
    <w:lvl w:ilvl="1">
      <w:lvlJc w:val="left"/>
      <w:lvlText w:val="%2."/>
      <w:numFmt w:val="lowerLetter"/>
      <w:start w:val="1"/>
    </w:lvl>
  </w:abstractNum>
  <w:abstractNum w:abstractNumId="58">
    <w:nsid w:val="354FE9F9"/>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71" Type="http://schemas.openxmlformats.org/officeDocument/2006/relationships/image" Target="media/image142.png"/><Relationship Id="rId205" Type="http://schemas.openxmlformats.org/officeDocument/2006/relationships/image" Target="media/image143.png"/><Relationship Id="rId206" Type="http://schemas.openxmlformats.org/officeDocument/2006/relationships/image" Target="media/image144.png"/><Relationship Id="rId207" Type="http://schemas.openxmlformats.org/officeDocument/2006/relationships/image" Target="media/image145.png"/><Relationship Id="rId208" Type="http://schemas.openxmlformats.org/officeDocument/2006/relationships/image" Target="media/image146.png"/><Relationship Id="rId209" Type="http://schemas.openxmlformats.org/officeDocument/2006/relationships/image" Target="media/image147.png"/><Relationship Id="rId210" Type="http://schemas.openxmlformats.org/officeDocument/2006/relationships/image" Target="media/image148.png"/><Relationship Id="rId211" Type="http://schemas.openxmlformats.org/officeDocument/2006/relationships/image" Target="media/image149.png"/><Relationship Id="rId212" Type="http://schemas.openxmlformats.org/officeDocument/2006/relationships/image" Target="media/image150.png"/><Relationship Id="rId213" Type="http://schemas.openxmlformats.org/officeDocument/2006/relationships/image" Target="media/image151.png"/><Relationship Id="rId214" Type="http://schemas.openxmlformats.org/officeDocument/2006/relationships/image" Target="media/image152.png"/><Relationship Id="rId215" Type="http://schemas.openxmlformats.org/officeDocument/2006/relationships/image" Target="media/image153.png"/><Relationship Id="rId216" Type="http://schemas.openxmlformats.org/officeDocument/2006/relationships/image" Target="media/image154.png"/><Relationship Id="rId149" Type="http://schemas.openxmlformats.org/officeDocument/2006/relationships/hyperlink" Target="http://www.sec.gov/Archives/edgar/data/1083220/000114420417053726/tv477575_ex3-1.htm" TargetMode="External"/><Relationship Id="rId150" Type="http://schemas.openxmlformats.org/officeDocument/2006/relationships/hyperlink" Target="https://www.sec.gov/Archives/edgar/data/1083220/000155837025003550/xelb-20250324xex3d1.htm" TargetMode="External"/><Relationship Id="rId151" Type="http://schemas.openxmlformats.org/officeDocument/2006/relationships/hyperlink" Target="http://www.sec.gov/Archives/edgar/data/1083220/000114420417063004/tv481032_ex3-2.htm" TargetMode="External"/><Relationship Id="rId152" Type="http://schemas.openxmlformats.org/officeDocument/2006/relationships/hyperlink" Target="http://www.sec.gov/Archives/edgar/data/1083220/000114420416119169/v446751_def14a.htm" TargetMode="External"/><Relationship Id="rId153" Type="http://schemas.openxmlformats.org/officeDocument/2006/relationships/hyperlink" Target="https://www.sec.gov/Archives/edgar/data/0001083220/000155837021013317/tmb-20211020xdefr14a.htm" TargetMode="External"/><Relationship Id="rId154" Type="http://schemas.openxmlformats.org/officeDocument/2006/relationships/hyperlink" Target="https://www.sec.gov/Archives/edgar/data/0001083220/000155837021004669/xelb-20201231ex44b18da27.htm" TargetMode="External"/><Relationship Id="rId155" Type="http://schemas.openxmlformats.org/officeDocument/2006/relationships/hyperlink" Target="https://www.sec.gov/Archives/edgar/data/1083220/000155837024005326/xelb-20231231xex4d4.htm" TargetMode="External"/><Relationship Id="rId156" Type="http://schemas.openxmlformats.org/officeDocument/2006/relationships/hyperlink" Target="https://www.sec.gov/Archives/edgar/data/1083220/000110465924036225/tm249267d1_ex1-1.htm" TargetMode="External"/><Relationship Id="rId157" Type="http://schemas.openxmlformats.org/officeDocument/2006/relationships/hyperlink" Target="https://www.sec.gov/Archives/edgar/data/1083220/000155837024016245/xelb-20241212xex4d1.htm" TargetMode="External"/><Relationship Id="rId158" Type="http://schemas.openxmlformats.org/officeDocument/2006/relationships/hyperlink" Target="https://www.sec.gov/Archives/edgar/data/1083220/000155837025005407/xelb-20250415xex4d1.htm" TargetMode="External"/><Relationship Id="rId159" Type="http://schemas.openxmlformats.org/officeDocument/2006/relationships/hyperlink" Target="https://www.sec.gov/Archives/edgar/data/1083220/000155837025005407/xelb-20250415xex4d2.htm" TargetMode="External"/><Relationship Id="rId160" Type="http://schemas.openxmlformats.org/officeDocument/2006/relationships/hyperlink" Target="https://www.sec.gov/Archives/edgar/data/1083220/000155837025005407/xelb-20250415xex4d3.htm" TargetMode="External"/><Relationship Id="rId161" Type="http://schemas.openxmlformats.org/officeDocument/2006/relationships/hyperlink" Target="https://www.sec.gov/Archives/edgar/data/1083220/000155837025005407/xelb-20250415xex4d4.htm" TargetMode="External"/><Relationship Id="rId162" Type="http://schemas.openxmlformats.org/officeDocument/2006/relationships/hyperlink" Target="https://www.sec.gov/Archives/edgar/data/1083220/000110465925075178/tm2522654d1_ex4-1.htm" TargetMode="External"/><Relationship Id="rId163" Type="http://schemas.openxmlformats.org/officeDocument/2006/relationships/hyperlink" Target="https://www.sec.gov/Archives/edgar/data/1083220/000110465925122806/tm2533803d1_ex4-2.htm" TargetMode="External"/><Relationship Id="rId164" Type="http://schemas.openxmlformats.org/officeDocument/2006/relationships/hyperlink" Target="https://www.sec.gov/Archives/edgar/data/1083220/000110465925122806/tm2533803d1_ex4-1.htm" TargetMode="External"/><Relationship Id="rId165" Type="http://schemas.openxmlformats.org/officeDocument/2006/relationships/hyperlink" Target="https://www.sec.gov/Archives/edgar/data/1083220/000110465925122806/tm2533803d1_ex4-3.htm" TargetMode="External"/><Relationship Id="rId166" Type="http://schemas.openxmlformats.org/officeDocument/2006/relationships/hyperlink" Target="http://www.sec.gov/Archives/edgar/data/1083220/000114420413068859/v363835_ex9-1.htm" TargetMode="External"/><Relationship Id="rId167" Type="http://schemas.openxmlformats.org/officeDocument/2006/relationships/hyperlink" Target="http://www.sec.gov/Archives/edgar/data/1083220/000114420414021516/v374277_ex10-8.htm" TargetMode="External"/><Relationship Id="rId168" Type="http://schemas.openxmlformats.org/officeDocument/2006/relationships/hyperlink" Target="http://www.sec.gov/Archives/edgar/data/1083220/000114420414075828/v397490_ex10-9.htm" TargetMode="External"/><Relationship Id="rId169" Type="http://schemas.openxmlformats.org/officeDocument/2006/relationships/hyperlink" Target="http://www.sec.gov/Archives/edgar/data/1083220/000114420419008652/tv513776_ex10-1.htm" TargetMode="External"/><Relationship Id="rId170" Type="http://schemas.openxmlformats.org/officeDocument/2006/relationships/hyperlink" Target="http://www.sec.gov/Archives/edgar/data/1083220/000114420415042399/v415471_ex10-1.htm" TargetMode="External"/><Relationship Id="rId172" Type="http://schemas.openxmlformats.org/officeDocument/2006/relationships/hyperlink" Target="http://www.sec.gov/Archives/edgar/data/1083220/000114420419011627/tv515202_ex10-2.htm" TargetMode="External"/><Relationship Id="rId173" Type="http://schemas.openxmlformats.org/officeDocument/2006/relationships/hyperlink" Target="http://www.sec.gov/Archives/edgar/data/1083220/000114420419011627/tv515202_ex10-1.htm" TargetMode="External"/><Relationship Id="rId174" Type="http://schemas.openxmlformats.org/officeDocument/2006/relationships/hyperlink" Target="https://www.sec.gov/Archives/edgar/data/1083220/000155837022005491/xelb-20211231xex10d7.htm" TargetMode="External"/><Relationship Id="rId175" Type="http://schemas.openxmlformats.org/officeDocument/2006/relationships/hyperlink" Target="https://www.sec.gov/Archives/edgar/data/1083220/000110465922067941/tm2217535d1_ex2-1.htm" TargetMode="External"/><Relationship Id="rId176" Type="http://schemas.openxmlformats.org/officeDocument/2006/relationships/hyperlink" Target="https://www.sec.gov/Archives/edgar/data/1083220/000155837024005326/xelb-20231231xex10d7.htm" TargetMode="External"/><Relationship Id="rId177" Type="http://schemas.openxmlformats.org/officeDocument/2006/relationships/hyperlink" Target="https://www.sec.gov/Archives/edgar/data/1083220/000155837024005326/xelb-20231231xex10d8.htm" TargetMode="External"/><Relationship Id="rId178" Type="http://schemas.openxmlformats.org/officeDocument/2006/relationships/hyperlink" Target="https://www.sec.gov/Archives/edgar/data/1083220/000110465924036225/tm249267d1_ex10-1.htm" TargetMode="External"/><Relationship Id="rId179" Type="http://schemas.openxmlformats.org/officeDocument/2006/relationships/hyperlink" Target="https://www.sec.gov/Archives/edgar/data/1083220/000110465924036225/tm249267d1_ex10-2.htm" TargetMode="External"/><Relationship Id="rId180" Type="http://schemas.openxmlformats.org/officeDocument/2006/relationships/hyperlink" Target="https://www.sec.gov/Archives/edgar/data/1083220/000110465924036225/tm249267d1_ex10-3.htm" TargetMode="External"/><Relationship Id="rId181" Type="http://schemas.openxmlformats.org/officeDocument/2006/relationships/hyperlink" Target="https://www.sec.gov/Archives/edgar/data/1083220/000155837024009446/xelb-20240621xex10d1.htm" TargetMode="External"/><Relationship Id="rId182" Type="http://schemas.openxmlformats.org/officeDocument/2006/relationships/hyperlink" Target="https://www.sec.gov/Archives/edgar/data/1083220/000155837024010706/xelb-20240730xex10d1.htm" TargetMode="External"/><Relationship Id="rId183" Type="http://schemas.openxmlformats.org/officeDocument/2006/relationships/hyperlink" Target="https://www.sec.gov/Archives/edgar/data/1083220/000155837024010706/xelb-20240730xex10d2.htm" TargetMode="External"/><Relationship Id="rId184" Type="http://schemas.openxmlformats.org/officeDocument/2006/relationships/hyperlink" Target="https://www.sec.gov/Archives/edgar/data/1083220/000155837024016245/xelb-20241212xex10d1.htm" TargetMode="External"/><Relationship Id="rId185" Type="http://schemas.openxmlformats.org/officeDocument/2006/relationships/hyperlink" Target="https://www.sec.gov/Archives/edgar/data/1083220/000155837024016245/xelb-20241212xex10d2.htm" TargetMode="External"/><Relationship Id="rId186" Type="http://schemas.openxmlformats.org/officeDocument/2006/relationships/hyperlink" Target="https://www.sec.gov/Archives/edgar/data/1083220/000155837025005407/xelb-20250415xex10d4.htm" TargetMode="External"/><Relationship Id="rId187" Type="http://schemas.openxmlformats.org/officeDocument/2006/relationships/hyperlink" Target="https://www.sec.gov/Archives/edgar/data/1083220/000155837025005407/xelb-20250415xex10d1.htm" TargetMode="External"/><Relationship Id="rId188" Type="http://schemas.openxmlformats.org/officeDocument/2006/relationships/hyperlink" Target="https://www.sec.gov/Archives/edgar/data/1083220/000155837025005407/xelb-20250415xex10d2.htm" TargetMode="External"/><Relationship Id="rId189" Type="http://schemas.openxmlformats.org/officeDocument/2006/relationships/hyperlink" Target="https://www.sec.gov/Archives/edgar/data/1083220/000155837025005407/xelb-20250415xex10d3.htm" TargetMode="External"/><Relationship Id="rId190" Type="http://schemas.openxmlformats.org/officeDocument/2006/relationships/hyperlink" Target="https://www.sec.gov/Archives/edgar/data/1083220/000155837025009066/xelb-20250702xex10d20.htm" TargetMode="External"/><Relationship Id="rId191" Type="http://schemas.openxmlformats.org/officeDocument/2006/relationships/hyperlink" Target="https://www.sec.gov/Archives/edgar/data/1083220/000110465925075178/tm2522654d1_ex10-2.htm" TargetMode="External"/><Relationship Id="rId192" Type="http://schemas.openxmlformats.org/officeDocument/2006/relationships/hyperlink" Target="https://www.sec.gov/Archives/edgar/data/1083220/000110465925075178/tm2522654d1_ex10-3.htm" TargetMode="External"/><Relationship Id="rId193" Type="http://schemas.openxmlformats.org/officeDocument/2006/relationships/hyperlink" Target="https://www.sec.gov/Archives/edgar/data/1083220/000110465925075178/tm2522654d1_ex10-1.htm" TargetMode="External"/><Relationship Id="rId194" Type="http://schemas.openxmlformats.org/officeDocument/2006/relationships/hyperlink" Target="https://www.sec.gov/Archives/edgar/data/1083220/000110465925096144/xelb-20250926xex10d2.htm" TargetMode="External"/><Relationship Id="rId195" Type="http://schemas.openxmlformats.org/officeDocument/2006/relationships/hyperlink" Target="https://www.sec.gov/Archives/edgar/data/1083220/000110465925096144/xelb-20250926xex10d1.htm" TargetMode="External"/><Relationship Id="rId196" Type="http://schemas.openxmlformats.org/officeDocument/2006/relationships/hyperlink" Target="https://www.sec.gov/Archives/edgar/data/1083220/000110465925098726/xelb-20251007xex10d1.htm" TargetMode="External"/><Relationship Id="rId197" Type="http://schemas.openxmlformats.org/officeDocument/2006/relationships/hyperlink" Target="https://www.sec.gov/Archives/edgar/data/1083220/000110465926010353/xelb-20250930xex10d27.htm" TargetMode="External"/><Relationship Id="rId198" Type="http://schemas.openxmlformats.org/officeDocument/2006/relationships/hyperlink" Target="https://www.sec.gov/Archives/edgar/data/1083220/000110465925122806/tm2533803d1_ex10-1.htm" TargetMode="External"/><Relationship Id="rId199" Type="http://schemas.openxmlformats.org/officeDocument/2006/relationships/hyperlink" Target="https://www.sec.gov/Archives/edgar/data/1083220/000110465925122806/tm2533803d1_ex10-2.htm" TargetMode="External"/><Relationship Id="rId200" Type="http://schemas.openxmlformats.org/officeDocument/2006/relationships/hyperlink" Target="https://www.sec.gov/Archives/edgar/data/1083220/000110465926006234/tm263797d1_ex10-1.htm" TargetMode="External"/><Relationship Id="rId201" Type="http://schemas.openxmlformats.org/officeDocument/2006/relationships/hyperlink" Target="https://www.sec.gov/Archives/edgar/data/1083220/000110465926006234/tm263797d1_ex10-2.htm" TargetMode="External"/><Relationship Id="rId202" Type="http://schemas.openxmlformats.org/officeDocument/2006/relationships/hyperlink" Target="https://www.sec.gov/Archives/edgar/data/1083220/000110465926019105/tm267182d1_ex10-1.htm" TargetMode="External"/><Relationship Id="rId203" Type="http://schemas.openxmlformats.org/officeDocument/2006/relationships/hyperlink" Target="https://www.sec.gov/Archives/edgar/data/1083220/000155837024005326/xelb-20231231xex21d1.htm" TargetMode="External"/><Relationship Id="rId204" Type="http://schemas.openxmlformats.org/officeDocument/2006/relationships/hyperlink" Target="https://www.sec.gov/Archives/edgar/data/1083220/000155837024005326/xelb-20231231xex97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2026-04-15T05:07:03Z</dcterms:created>
  <dcterms:modified xsi:type="dcterms:W3CDTF">2026-04-15T05:07:03Z</dcterms:modified>
</cp:coreProperties>
</file>