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7" w:lineRule="exact"/>
        <w:rPr>
          <w:sz w:val="24"/>
          <w:szCs w:val="24"/>
          <w:color w:val="auto"/>
        </w:rPr>
      </w:pPr>
    </w:p>
    <w:p>
      <w:pPr>
        <w:ind w:left="3380" w:right="860" w:hanging="3066"/>
        <w:spacing w:after="0" w:line="286" w:lineRule="auto"/>
        <w:tabs>
          <w:tab w:leader="none" w:pos="5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55" w:lineRule="exact"/>
        <w:rPr>
          <w:sz w:val="24"/>
          <w:szCs w:val="24"/>
          <w:color w:val="auto"/>
        </w:rPr>
      </w:pPr>
    </w:p>
    <w:p>
      <w:pPr>
        <w:ind w:left="3680" w:right="1140" w:hanging="3366"/>
        <w:spacing w:after="0" w:line="285" w:lineRule="auto"/>
        <w:tabs>
          <w:tab w:leader="none" w:pos="5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 Commission File Number: 001-37527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Borders>
              <w:bottom w:val="single" w:sz="8" w:color="auto"/>
            </w:tcBorders>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8"/>
              </w:rPr>
              <w:t>Delaware</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76-0307819</w:t>
            </w: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gridSpan w:val="8"/>
          </w:tcPr>
          <w:p>
            <w:pPr>
              <w:jc w:val="center"/>
              <w:ind w:right="779"/>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40" w:type="dxa"/>
            <w:vAlign w:val="bottom"/>
            <w:gridSpan w:val="10"/>
          </w:tcPr>
          <w:p>
            <w:pPr>
              <w:jc w:val="center"/>
              <w:ind w:right="150"/>
              <w:spacing w:after="0"/>
              <w:rPr>
                <w:sz w:val="20"/>
                <w:szCs w:val="20"/>
                <w:color w:val="auto"/>
              </w:rPr>
            </w:pPr>
            <w:r>
              <w:rPr>
                <w:rFonts w:ascii="Times New Roman" w:cs="Times New Roman" w:eastAsia="Times New Roman" w:hAnsi="Times New Roman"/>
                <w:sz w:val="18"/>
                <w:szCs w:val="18"/>
                <w:color w:val="auto"/>
                <w:w w:val="98"/>
              </w:rPr>
              <w:t>550 Seventh Avenue, 11th Floor, New York, NY 10018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gridSpan w:val="7"/>
          </w:tcPr>
          <w:p>
            <w:pPr>
              <w:jc w:val="center"/>
              <w:ind w:right="8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78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w w:val="99"/>
              </w:rPr>
              <w:t>(347) 727-2474</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20" w:type="dxa"/>
            <w:vAlign w:val="bottom"/>
            <w:gridSpan w:val="9"/>
          </w:tcPr>
          <w:p>
            <w:pPr>
              <w:jc w:val="center"/>
              <w:ind w:right="73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4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Trading Symbol</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XELB</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60" w:type="dxa"/>
            <w:vAlign w:val="bottom"/>
            <w:gridSpan w:val="5"/>
          </w:tcPr>
          <w:p>
            <w:pPr>
              <w:jc w:val="center"/>
              <w:ind w:right="659"/>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534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420" w:type="dxa"/>
            <w:vAlign w:val="bottom"/>
          </w:tcPr>
          <w:p>
            <w:pPr>
              <w:spacing w:after="0"/>
              <w:rPr>
                <w:sz w:val="23"/>
                <w:szCs w:val="23"/>
                <w:color w:val="auto"/>
              </w:rPr>
            </w:pPr>
          </w:p>
        </w:tc>
        <w:tc>
          <w:tcPr>
            <w:tcW w:w="34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80" w:type="dxa"/>
            <w:vAlign w:val="bottom"/>
          </w:tcPr>
          <w:p>
            <w:pPr>
              <w:spacing w:after="0"/>
              <w:rPr>
                <w:sz w:val="23"/>
                <w:szCs w:val="23"/>
                <w:color w:val="auto"/>
              </w:rPr>
            </w:pPr>
          </w:p>
        </w:tc>
        <w:tc>
          <w:tcPr>
            <w:tcW w:w="130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77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7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Yes</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w:t>
            </w:r>
          </w:p>
        </w:tc>
        <w:tc>
          <w:tcPr>
            <w:tcW w:w="13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78"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207" w:lineRule="exact"/>
        <w:tabs>
          <w:tab w:leader="none" w:pos="1360" w:val="left"/>
        </w:tabs>
        <w:rPr>
          <w:sz w:val="20"/>
          <w:szCs w:val="20"/>
          <w:color w:val="auto"/>
        </w:rPr>
      </w:pP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4"/>
          <w:szCs w:val="24"/>
          <w:color w:val="auto"/>
        </w:rPr>
      </w:pPr>
    </w:p>
    <w:p>
      <w:pPr>
        <w:sectPr>
          <w:pgSz w:w="11900" w:h="16838" w:orient="portrait"/>
          <w:cols w:equalWidth="0" w:num="4">
            <w:col w:w="1620" w:space="100"/>
            <w:col w:w="2820" w:space="720"/>
            <w:col w:w="1960" w:space="180"/>
            <w:col w:w="2820"/>
          </w:cols>
          <w:pgMar w:left="840" w:top="661" w:right="839" w:bottom="1440" w:gutter="0" w:footer="0" w:header="0"/>
          <w:type w:val="continuous"/>
        </w:sect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35"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7220" w:val="left"/>
          <w:tab w:leader="none" w:pos="7700" w:val="left"/>
          <w:tab w:leader="none" w:pos="84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r>
        <w:rPr>
          <w:sz w:val="20"/>
          <w:szCs w:val="20"/>
          <w:color w:val="auto"/>
        </w:rPr>
        <w:tab/>
      </w:r>
      <w:r>
        <w:rPr>
          <w:rFonts w:ascii="MS PGothic" w:cs="MS PGothic" w:eastAsia="MS PGothic" w:hAnsi="MS PGothic"/>
          <w:sz w:val="16"/>
          <w:szCs w:val="16"/>
          <w:color w:val="auto"/>
        </w:rPr>
        <w:t>☒</w:t>
      </w:r>
    </w:p>
    <w:p>
      <w:pPr>
        <w:spacing w:after="0" w:line="110"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$7,346,000 based upon the closing price of such common stock on June 30, 2024.</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issuer’s common stock issued and outstanding as of May 27, 2025 was 2,395,242 shares.</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506730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121285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12"/>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2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654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1A</w:t>
            </w:r>
          </w:p>
        </w:tc>
        <w:tc>
          <w:tcPr>
            <w:tcW w:w="22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628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1B</w:t>
            </w:r>
          </w:p>
        </w:tc>
        <w:tc>
          <w:tcPr>
            <w:tcW w:w="260" w:type="dxa"/>
            <w:vAlign w:val="bottom"/>
            <w:gridSpan w:val="2"/>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14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1C</w:t>
            </w:r>
          </w:p>
        </w:tc>
        <w:tc>
          <w:tcPr>
            <w:tcW w:w="260" w:type="dxa"/>
            <w:vAlign w:val="bottom"/>
            <w:gridSpan w:val="2"/>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Cybersecurity</w:t>
            </w:r>
          </w:p>
        </w:tc>
        <w:tc>
          <w:tcPr>
            <w:tcW w:w="618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542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[Reserved]</w:t>
            </w:r>
          </w:p>
        </w:tc>
        <w:tc>
          <w:tcPr>
            <w:tcW w:w="440" w:type="dxa"/>
            <w:vAlign w:val="bottom"/>
            <w:tcBorders>
              <w:top w:val="single" w:sz="8" w:color="0000EE"/>
            </w:tcBorders>
            <w:gridSpan w:val="3"/>
          </w:tcPr>
          <w:p>
            <w:pPr>
              <w:spacing w:after="0"/>
              <w:rPr>
                <w:sz w:val="17"/>
                <w:szCs w:val="17"/>
                <w:color w:val="auto"/>
              </w:rPr>
            </w:pPr>
          </w:p>
        </w:tc>
        <w:tc>
          <w:tcPr>
            <w:tcW w:w="596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7A</w:t>
            </w: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8</w:t>
            </w: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28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9A</w:t>
            </w: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542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9B</w:t>
            </w:r>
          </w:p>
        </w:tc>
        <w:tc>
          <w:tcPr>
            <w:tcW w:w="260" w:type="dxa"/>
            <w:vAlign w:val="bottom"/>
            <w:gridSpan w:val="2"/>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9C</w:t>
            </w:r>
          </w:p>
        </w:tc>
        <w:tc>
          <w:tcPr>
            <w:tcW w:w="260" w:type="dxa"/>
            <w:vAlign w:val="bottom"/>
            <w:gridSpan w:val="2"/>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38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31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50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14</w:t>
            </w: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7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41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42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96" w:lineRule="exact"/>
        <w:rPr>
          <w:sz w:val="20"/>
          <w:szCs w:val="20"/>
          <w:color w:val="auto"/>
        </w:rPr>
      </w:pPr>
    </w:p>
    <w:p>
      <w:pPr>
        <w:jc w:val="both"/>
        <w:ind w:left="60" w:right="59"/>
        <w:spacing w:after="0" w:line="214" w:lineRule="auto"/>
        <w:rPr>
          <w:sz w:val="20"/>
          <w:szCs w:val="20"/>
          <w:color w:val="auto"/>
        </w:rPr>
      </w:pPr>
      <w:r>
        <w:rPr>
          <w:rFonts w:ascii="Times New Roman" w:cs="Times New Roman" w:eastAsia="Times New Roman" w:hAnsi="Times New Roman"/>
          <w:sz w:val="18"/>
          <w:szCs w:val="18"/>
          <w:color w:val="auto"/>
        </w:rPr>
        <w:t>The "Halston," "Halston Heritage," "H by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 Frowick," "Judith Ripka LTD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Collection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Legacy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Sterling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 Wonder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 Wonder Limited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"TowerHill," and "LB70" brands and all related logos and other trademarks or service marks of the Company appearing in this Annual Report are the property of the Company. Brands and all related logos and other trademarks or service marks of other entities (for example, QVC, HSN, JTV, etc.) are the property of those respective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Xcel Brands, Inc. (the “Company,” “Xcel,” “We,” “Us,” or “Our”) is a media and consumer products company engaged in the design, licensing, marketing, live streaming, and social commerce sales of branded apparel, footwear, accessories, fine jewelry, home goods and other consumer products, and the acquisition of dynamic consumer lifestyle brands. Xcel was founded in 2011 with a vision to reimagine shopping, entertainment, and social media as social commerce. Currently, our brand portfolio consists of the following:</w:t>
      </w:r>
    </w:p>
    <w:p>
      <w:pPr>
        <w:spacing w:after="0" w:line="183"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brands (the "Halston Brand"), the Judith Ripka brands (the "Ripka Brand"), and the C Wonder brands (the "C Wonder Brand"), which are wholly owned by the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TowerHill by Christie Brinkley brand (the “CB Brand”), which is a co-branded collaboration between Xcel and Christie Brinkley that launched in May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LB70 by Lloyd Boston brand (the “LB Brand”), which is a co-branded collaboration between Xcel and Lloyd Boston that launched in August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brand (the “Longaberger Brand”), which we manage through our 50% ownership interest in Longaberger Licensing, LLC;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brands (the “Isaac Mizrahi Brand”), in which we hold a noncontrolling interest through our 17.5% ownership interest in IM Topco, LLC (“IM Topco”) and continue to contribute to the operations of the brand through a service agreement with IM Topco.</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also own a 19% interest in ORME Live Inc. (“ORME”), a short-form video and social commerce marketplace that launched in April 2024.</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Xcel continues to pioneer a true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 Our brands have generated over $5 billion in retail sales via live streaming in interactive television and digital channels alone, and our brands collectively reach over 5 million social media followers through Facebook, Instagram, and TikTok. All of the followers may not be unique followers, as many followers may follow multiple brands and follow our brands on multiple platforms.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our brands for sale through interactive television (e.g., QVC, HSN, America’s Collectible Network, Inc. d/b/a JTV (“JTV”), etc.);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digital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2023, the Company engaged in certain wholesale and direct-to-consumer sales of products under its brands. In 2023, we signed master license agreements for our Halston Brand and Ripka Brand, and license agreements for the supply of products under certain of our brands to HSN, that enabled us to outsource a majority of our wholesale and direct-to-consumer operations and revert to a working capital light business model. In addition to licensing out the brands described above, we outsourced the operations of Longaberger through a license agreement with a third party to operate and manage the Longaberger e-commerce website in the fourth quarter of 2023.</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2024, we launched the Longaberger Brand on ORME, a short-form video and social commerce marketplace, and launched the new TowerHill by Christie Brinkley brand as well as the LB70 by Lloyd Boston brand on HSN. On June 30, 2024, we divested the LOGO by Lori Goldstein brand (the “Lori Goldstein Brand”), which was a wholly owned brand from April 1, 2021 through June 30, 2024.</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March 24, 2025, the Company filed an amendment to its Amended and Restated Certificate of Incorporation to effect a one-for-ten (1:10) reverse stock split of the shares of the Company’s common stock. As a result of this reverse stock split, effective March 24, 2025, every ten (10) shares of our issued and outstanding common stock were automatically combined into one (1) issued and outstanding share of common stock, without any change in the par value per share or number of shares authorized. No fractional shares were issued, and the shares of common stock underlying the Company’s outstanding stock options and warrants were also proportionately adjusted along with corresponding adjustments to their exercise prices. The reverse stock split was primarily intended to bring the Company in compliance with the minimum bid requirement to maintain listing of its common stock on the NASDAQ Capital Market. We have reflected the reverse split on a retroactive basis to all applicable amounts contained in this Annual Report on Form 10-K.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History and Corporate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principal office is currently located at 550 Seventh Avenue, 11th Floor, New York, NY 10018.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telephone number is (347) 727-2474.</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corporate website is www.xcelbrands.com. Additionally, we maintain websites for our respective brands at www.halston.com, www.judithripka.com, www.cwonder.com, www.longaberger.com, and www.isaacmizrahi.com. None of the content on our websites is incorporated by reference into this Annual Report on Form 10-K.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Brand Portfolio</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Currently, our brand portfolio consists of the Halston, Ripka, C Wonder, CB, LB, Longaberger, and Isaac Mizrahi Brands, and other proprietary brands, including the various labels under these brands.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Halston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The Halston brand is available across various distribution channels – including premium and better department stores, e-commerce, interactive television, and national specialty retailers – through our long-term master license agreement with G-III Apparel Group.</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Judith Ripka</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We acquired the Ripka brand in April 2014. In 2017 and 2018, we launched our Judith Ripka Fine Jewelry e-commerce operations and wholesale operations; these businesses were subsequently licensed to JTV in the first quarter of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Wonder</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 Wonder brand was founded by J. Christopher Burch in 2011. This brand is built upon a foundation of bold, vibrant colors and exceptional, eye-catching prints that celebrate the art of everyday dressing. C Wonder offers women’s clothing, footwear, jewelry and accessories, and delightful surprises at every turn. We acquired the C Wonder Brand in July 2015. The brand is currently available through HSN.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TowerHill by Christie Brinkley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TowerHill by Christie Brinkley is a new co-branded collaboration between Xcel Brands, Inc. and Christie Lee Brinkley, an iconic American supermodel with over one million followers on social media. The brand launched on HSN in May 2024, with plans to license and launch products outside of HSN starting in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LB70 by Lloyd Boston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LB70 by Lloyd Boston is a new co-branded collaboration between Xcel Brands, Inc. and Lloyd Boston, a 30-year veteran of the fashion industry and former Vice President of the multibillion-dollar Tommy Hilfiger brand, as well as a best-selling author. The brand launched on HSN in August 2024, with plans to launch accessories on HSN in 2025 and additional retail distribution in Fall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Longaberger</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Longaberger is an iconic American heritage home and collectibles brand that began making baskets in 1896 and launched a direct sales company in 1973 by the Longaberger family. The brand is best known for its distinctive handwoven baskets. We acquired a 50% ownership interest in this brand through a business venture with Hilco Global in November 2019, and are actively managing this brand to build on its history and bring it into the future as a digital first live-streaming and social commerce business. We launched our Longaberger e-commerce and live-streaming operations in February 2020. In the fourth quarter of 2023, we outsourced the operations and management of the brand’s e-commerce business to a third party.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Isaac Mizrahi</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The brand is available across various distribution channels to reach customers wherever they shop: better department stores, such as Saks and Hudson’s Bay; interactive television, including QVC and HSN; and national specialty retailers. The brand is also sold in various global locations, including Canada, Italy, the United Kingdom, and Japan. We acquired the Isaac Mizrahi brand in September 2011, and in May 2022, we sold a majority interest in the brand to a third party, retaining a 30% noncontrolling interest in the brand. In April 2025, our interest in the brand was reduced to 17.5% due to contractual arrangements with the third-party buyer. See “Management’s Discussion and Analysis of Financial Condition and Results of Operations – Obligations and Commitments – Contingent Obligations – Issaac Mizrahi Transaction.”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plan to continue to grow our brands and business through three primary strategies:</w:t>
      </w:r>
    </w:p>
    <w:p>
      <w:pPr>
        <w:spacing w:after="0" w:line="225"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in our existing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brands that are well positioned in social commerce;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brands and businesses that fit our long-term strategy.</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With respect to organic growth in our existing brands, we entered into master license agreements for our Halston Brand and Judith Ripka Brand in 2023, and launched the C Wonder Brand on HSN.</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master license agreement is with G-III Apparel Group (“G-III”), which is one of the largest designers and suppliers of wholesale apparel and accessories in the world, with annual revenues of over $3 billion. With G-III’s successful launch of Halston apparel in the third quarter of 2024, and their anticipated launch of Halston footwear and handbags in Spring 2025, we expect that the business and corresponding royalty revenues to Xcel will increase in 2025 and beyond.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license agreement for our Judith Ripka Brand is with America’s Collectible Network, Inc. d/b/a JTV (“JTV”) and covers both interactive television and e-commerce operations. Since JTV’s successful launch of the Ripka Brand on JTV’s television channel in October 2023, the Ripka Brand has become one of the core brands on the JTV network, and has shown continual quarterly sequential and year-over-year revenue growth.</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 Wonder Brand launched on HSN in mid-2023, performed well in its launch year, and has continued to show strong performance throughout 2024. We expect retail sales volume for the brand to continue to increase in 2025 and beyond.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developing new brands, we recently developed and successfully launched the TowerHill by Christie Brinkley and LB70 by Lloyd Boston brands in 2024. While these are both new brands for Xcel, they represent brands that we co-developed with low up-front costs and for which we were able to leverage our unique experience, relationships, and social commerce knowledge to launch. Based on the performance of the brands launched in 2024, we believe this is a viable strategy that will help drive short-term and long-term growth for our company.</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With respect to acquisitions of brands and/or businesses, we have a proven track record of acquiring brands and businesses that are strategically important to and synergistic with our business, and are consistently reviewing potential acquisition targets. Potential acquisitions may include established or newer brands that do or would perform well in live streaming or social commerce, direct-to-consumer brands or platforms with significant consumer following, or established media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companies which could benefit from our expertise in direct-response television, live streaming, and social commerce. While our overall long-term business strategy is not dependent on such acquisitions, we carefully consider potential acquisitions as a means to leverage our infrastructure and expertise and accelerate our growth.</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Finally, in December 2023, Xcel acquired a noncontrolling equity interest in ORME, which is a brand new short-form video social commerce marketplace that launched in April 2024. While we do not consolidate ORME’s financial results of operations with our own (given our minority noncontrolling position in the company) and do not anticipate receiving regular dividends or other distributions from ORME in the near future, we believe that ORME has significant growth potential and will add significant value to Xcel, both through our equity interest in ORME as well as our ability to leverage ORME in order to grow additional direct-to-consumer brands that would perform well in social commerce pursuant to our aforementioned brand development and acquisition strategies. In 2024 we launched our initial brand, the Longaberger brand, on ORME.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working-capital-light “licensing plus” business model allows us to focus on our core competencies of design, marketing, and brand management without the investment requirements in inventory associated with traditional consumer product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Qurate Retail Group (“Qurate”) is an important strategic partner in our interactive television business. Qurate’s business model is to promote and sell products through its interactive television programs, reaching more than 200 million homes worldwide via 15 television channels (including QVC and HSN), as well as millions of customers via its QVC+ and HSN+ streaming experience, websites, mobile apps, social pages, print catalogs, and in-store destinations.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Qurate is the largest licensee for our C Wonder, Towerhill by Christie Brinkley, and LB70 by Lloyd Boston brands. We employ and manage on-air spokespersons under each of these brands in order to promote products under our brands on QVC and HSN.</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Through our wholly owned subsidiaries and joint ventures, we have entered into direct-to-retail license agreements with Qurate, collectively referred to as the Qurate Agreements (individually, each a “Qurate Agreement”), pursuant to which we design, and Qurate sources and sells, various products under the C Wonder Brand, the CB Brand, the LB Brand, and the Longaberger Brand. We were also previously party to similar agreements with Qurate related to the IsaacMizrahiLIVE brand, the Judith Ripka brand, and the LOGO by Lori Goldstein brand. Qurate owns the rights to all designs produced under these agreements, and the agreements include the sale of products across various categories through Qurate’s television media and related internet sites.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these agreements, we have granted to Qurate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In connection with the Qurate Agreements and during the same periods, Qurate and its subsidiaries have the exclusive, worldwide right to use the names, likenesses, images, voices, and performances of our spokespersons to promote the respective products.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 Term Expiry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Automatic Renewal</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Launch</w:t>
            </w: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 Wonder Qurate Agreement (HSN)</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two-year period</w:t>
            </w:r>
          </w:p>
        </w:tc>
        <w:tc>
          <w:tcPr>
            <w:tcW w:w="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2023</w:t>
            </w:r>
          </w:p>
        </w:tc>
      </w:tr>
      <w:tr>
        <w:trPr>
          <w:trHeight w:val="20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TowerHill by Christie Brinkley Qurate Agreement (HSN)</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May 30, 2027</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three-year period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2024</w:t>
            </w:r>
          </w:p>
        </w:tc>
      </w:tr>
      <w:tr>
        <w:trPr>
          <w:trHeight w:val="203"/>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LB70 by Lloyd Boston Qurate Agreement (HSN)</w:t>
            </w:r>
          </w:p>
        </w:tc>
        <w:tc>
          <w:tcPr>
            <w:tcW w:w="1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December 31, 2025</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two-year period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2024</w:t>
            </w:r>
          </w:p>
        </w:tc>
      </w:tr>
      <w:tr>
        <w:trPr>
          <w:trHeight w:val="210"/>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Longaberger Qurate Agreement (QVC)</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October 31, 2025</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two-year period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2019</w:t>
            </w:r>
          </w:p>
        </w:tc>
      </w:tr>
    </w:tbl>
    <w:p>
      <w:pPr>
        <w:spacing w:after="0" w:line="190" w:lineRule="exact"/>
        <w:rPr>
          <w:sz w:val="20"/>
          <w:szCs w:val="20"/>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2024, in connection with the divestiture of the Lori Goldstein Brand, the agreement with Qurate related to the LOGO by Lori Goldstein brand was assigned to assumed by the counterparties to the divestiture transaction.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2022, Qurate and Xcel amended the licensing agreement for the Judith Ripka brand to terminate the license period effective December 31, 2021. Effective January 1, 2022, the agreement entered a sell-off period, under which Qurate was allowed to continue to license the Ripka brand on a non-exclusive basis for as long as necessary to sell off any of its remaining inventory. The sell-off period ended in 2023.</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in connection with our sale of a majority interest in the Isaac Mizrahi brand to a third party, the agreement with Qurate related to the IsaacMizrahiLIVE brand was assigned to IM Topco, LLC.</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us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Qurate Agreements generally prohibit us from selling products under the specified respective brands to a direct competitor of Qurate without Qurate’s consent. Under certain of the Qurate Agreements, we may, with the permission of Qurate, sell the respective branded products via certain specified sales channels in exchange for making reverse royalty payments to Qurate based on the net retail sales of such products through such channels. However, we are generally restricted from selling products under the specified respective brands or trademarks to certain mass merchants.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net licensing revenue from Qurate collectively accounted for approximately 44% and 34%, respectively, of the total net revenue of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15, 2023, the Company, through our wholly owned subsidiaries, H Halston, LLC and H Heritage Licensing, LLC (collectively, the “Licensor”), entered into a master license agreement relating to the Halston Brand (the “Halston Master License”) with G-III (as licensee) for men’s and women’s apparel, men’s and women’s fashion accessories, children’s apparel and accessories, home, airline amenity and amenity kits, and such other product categories as mutually agreed upon. The Halston Master License provides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the Company has recognized deferred revenue contract liabilities on its consolidated balance sheet as of December 31, 2024 and 2023 of $3.56 million and $4.44 million, respectively, of which $0.89 million was classified as a current liability at each balance sheet date and the remainder was classified as a long-term liability. These deferred revenue contract liabilities are being recognized ratably as revenue through December 31, 2028.</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2023, net licensing revenue from the Halston Master License accounted for approximately 31% and 9%, respectively, of the total net revenue of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Licensing Agreements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entered into certain other licensing agreements for sales and distribution through e-commerce and traditional brick-and-mortar retailers. Authorized distribution channels include department stores, mass merchant retailers, clubs, and national specialty retailers.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in discussions with other potential licensees and strategic partners to license and/or co-brand our brand portfolio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through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Marketing is a critical element to maximize brand value to our licensees and our Company. We employ live streaming, social media, and other marketing and public relations support for our brands.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our true omni-channel retail sales strategy focusing on the sale of branded products through various distribution channels (including live-streaming, e-commerce, interactive television, and traditional brick-and-mortar sales channels), our marketing efforts currently focus on leveraging micro- and mega-influencers, entertainment tie-ins, PR and editorial, social media campaigns, personal appearances, and digital content in order to drive retail sales of product and consumer awareness across our various sales distribution channels. We seek to create the intersection where shopping, entertainment, and social media meet. As such, our marketing is currently conducted primarily through live-streaming and social media, videos, images, and other digital content that are all updated regularly and are amplified by micro- and mega-influencers and entertainment tie-ins. Our efforts also include promoting namesakes of our brands and our personalities through various media including live-streaming, television, design for performances, and other events. We also work with our retail partners to leverage their marketing resources, including e-commerce platforms and related digital marketing campaigns, social media platforms, direct mail pieces, and public relations efforts.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market Halston Brand through www.halston.com, the Judith Ripka brand through www.judithripka.com, the C Wonder brand through www.cwonder.com, and the Longaberger brand through www.longaberger.com. Through our websites, we are able to present the products under our brands to customers with branding that reflects each brand’s heritage and unique point of view.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own and for future acquisitions. We believe that the following factors help differentiate our Company in an increasingly crowded competitive landscape:</w:t>
      </w:r>
    </w:p>
    <w:p>
      <w:pPr>
        <w:spacing w:after="0" w:line="162" w:lineRule="exact"/>
        <w:rPr>
          <w:sz w:val="20"/>
          <w:szCs w:val="20"/>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 marketing, and technology;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strategies of licensing brands with significant media presence and driving sales through our true omni-channel retail sales strategy across interactive television, live streaming, and e-commerce distribution channels.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through its wholly owned subsidiaries, owns and exploits the Halston brands, which include the trademarks and brands Halston, Halston Heritage, Roy Frowick, H by Halston, and H Halston; the Ripka brands, which include the trademarks and brands Judith Ripka LTD, Judith Ripka Collection, Judith Ripka Legacy, Judith Ripka, and Judith Ripka Sterling; the C Wonder brands, which include the trademarks and brands C Wonder and C Wonder Limited, the TowerHill brand, and the LB70 brand. We manage and have a 50% ownership interest in the brands and trademarks of the Longaberger brand through our business venture with Hilco Global. We also have a 17.5% ownership interest in IM Topco, which owns the Mizrahi brands, including the trademarks and brands Isaac Mizrahi, Isaac Mizrahi New York, IMNYC Isaac Mizrahi, and IsaacMizrahiLIVE.</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employees’ knowledge, social, and personality attributes enable our company to achieve its goals, develop our business, and remain innovative. As of December 31, 2024, we had 21 employees. We value our employees and are committed to providing a healthy and safe work environment. For certain key employees, including our executives, brand ambassadors, and spokespersons, we typically enter into multi-year employment agreements. Overall, we believe that our relationship with our employees is good. None of our employees are represented by a labor union.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Securities and Exchange Commission (“SEC”), or in any press release or other written or oral statement we may make. Please also see “Forward-Looking Statements” on page 3 for additional information regarding Forward-Looking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business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obligations and our limited amount of cash;</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in our internal controls over financial reporting;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revenue with a limited number of licensees;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related to certain key licensing agreements;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operations through joint ventures and our dependence on the joint ventures;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performance and/or strategic initiatives of our licensees and retail partners;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social media and influencers to market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and shifting industry trends;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growth strategy, including the acquisition of new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Chief Executive Officer and other key executives;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apparel, fashion, and jewelry industries, and within our licensees’ markets;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trademarks and other intellectual property rights.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investment in our securities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significant control over matters requiring shareholder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in liquidating an investment in shares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SEC “penny stock” rules on trading of our shares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of and volatility in the market price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 substantial number of shares of common stock upon exercise of warrants and options;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Rule 144 restrictions on our shares of common stock as a former shell company;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not pay any cash dividends for the foreseeable future;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corporate charter documents which could delay or prevent change of control.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also subject to general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outbreak of disease or similar public health threat, or fear of such an event;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international trade, or consumer spending levels;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or unseasonable weather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our trademarks and other intangible assets under accounting guidelines;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adverse outcomes resulting from examination of our tax returns;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security of our information technology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liabilities of our directors and executive officers.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amount of cash to grow our operations. If we cannot obtain additional sources of cash, our growth prospects and future profitability will likely be materially adversely affected, and we may not be able to implement our business plan. Such additional financing may not be available on satisfactory terms or it may not be available when needed, or at all.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approximately $1.3 million, and during the year ended December 31, 2024, we used $4.7 million of cash in operating activities. On March 19, 2024, we closed on a public offering and private placement of our common stock, which resulted in aggregate net proceeds to us of approximately $2.0 million. In December 2024, we refinanced our debt by entering into a new loan agreement for an aggregate amount of $10.0 million of term loans, resulting in the net receipt of $2.8 million of cash after repayment of expenses and repayment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our prior loan agreement. In April 2025, we refinanced our debt with a new lender, resulting in the net receipt of approximately $3.0 million of cash after repayment of principal and payment of fees and expenses.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may require significant additional cash to satisfy our working capital requirements, expand our operations, or acquire and develop additional brands. Our inability to finance our growth, either internally through our operations or externally, may limit our growth potential and our ability to execute our business strategy successfully. If we issue additional securities to raise capital to finance operations and/or pay down or restructure our debt, our existing stockholders may experience dilution. In addition, the new securities may have rights senior to those of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have been prepared assuming that we will continue as a going concern.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incurred net losses of approximately $22.6 million and $22.2 million during the years ended December 31, 2024 and 2023, respectively (which included non-cash expenses of approximately $20.3 million and $9.0 million, respectively), and had an accumulated deficit of approximately $76.2 million and $53.8 million as of December 31, 2024 and 2023, respectively. Net cash used in operating activities was $4.7 million in 2024 and $6.5 million in 2023. Our audited financial statements for the fiscal year ended December 31, 2024 were prepared under the assumption that we will continue as a going concern; however, we have incurred significant losses over the past several years and have used a significant amount of cash in operating activities. These factors raise significant uncertainties regarding our ability to meet our financial obligations and financing requirements. As such, there is substantial doubt about our ability to continue as a going concern. Our ability to continue as a going concern is dependent on executing our business plans and meeting our obligations as they come due within the next twelve months from the filing date of this Annual Report on Form 10-K. Accordingly, the accompanying consolidated financial statements do not include any adjustments related to the recoverability and classification of assets or the amounts and calculations of liabilities that might be necessary should be Company be unable to continue as a going concern.</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auditor also included an explanatory paragraph in its report on our financial statements as of and for the year ended December 31, 2024 with respect to this uncertainty. Our auditor determined our ability to continue as a going concern is a critical audit matter due to the estimation and uncertainty regarding our available capital and the risk of bias in management’s judgments and assumptions in their determination. Although we intend to continue exploring strategic financing alternatives and operational efficiencies to improve liquidity, there can be no assurance that funding will be available on acceptable terms on a timely basis, or at all, or otherwise improve our liquidity. The various ways that we could raise capital carry potential risks. Any additional sources of financing will likely involve the issuance of our equity securities, which will have a dilutive effect on our stockholders. Any debt financing, if available, may involve restrictive covenants that may impact our ability to conduct our business. As such, we cannot conclude that such plans will be effectively implemented within one year after the date that the financial statements included in this Annual Report are filed with the SEC and there is uncertainty regarding our ability to maintain liquidity sufficient to operate our business effectively, which raises substantial doubt about our ability to continue as a going concern.</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obligations could impair our liquidity and financial condition, and in the event we are unable to meet our debt obligations, we could lose ownership of our trademarks and/or other assets.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April 21, 2025, we entered into an amendment our lenders and FEAC Agent, LLC, pursuant to which the December 12, 2024 loan and security agreement was amended to provide for $1.5 million repayment of the $3.95 million Term Loan A made on December 12, 2024 and an additional Term Loan B in the amount of $5.12 million on April 21, 2025. The loans outstanding after giving effect to this amendment and the application of the proceeds of the additional Term Loan B are as follows: (1) Term Loan A in the amount of $2.45 million, (2) Term Loan B in the amount of $9.12 million, and (3) Delayed Draw Term Loan in the amount of $2.05 million.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term loans are guaranteed by certain direct and indirect subsidiaries of the Company, and are secured by all of the assets of the Company and such subsidiaries. The April 21, 2025 amendment also contains various customary financial covenants and reporting requirements, as specified and defined therein. As of the date of this Annual Report on Form 10-K, the Company is in compliance with all applicable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Within 30 days after April 21, 2025, the outstanding principal amount of the Term Loan A shall be repaid, on a pro rata basis in an aggregate amount equal to $500,000. Principal on the Term Loan A is payable on a pro rata basis in quarterly installments of $250,000 on each of March 31, June 30, September 30, and December 31 of each year, commencing on March 31, 2026, with the unpaid balance due on the maturity date of December 12, 2028. Principal on the Term Loan B is payable on the maturity date of December 12, 2028.</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debt obligations:</w:t>
      </w:r>
    </w:p>
    <w:p>
      <w:pPr>
        <w:spacing w:after="0" w:line="22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impair our liquidity;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make it more difficult for us to satisfy our other obligations;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impede us from obtaining additional financing in the future;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us with respect to the use of our available cash, including in connection with future transactions;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limit our ability to execute on any potential acquisitions in the future;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in the event of a downturn in our business prospects and could limit our flexibility to plan for, or react to, changes in our sales and licensing channels.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There can be no assurance that the lenders will amend or grant waivers to the loan agreement to adjust or eliminate covenants or waive our non-compliance or breach of a financial or other covenant in the future. Failure to maintain our listing on Nasdaq would result in a default under our term loan debt agreements, as amended. A debt default could significantly diminish the market value and marketability of our common stock and could result in the acceleration of the payment obligations under all or a portion of our indebtedness, or a renegotiation of our loan agreement with more onerous terms and/or additional equity dilution. Since our debt obligations are secured by substantially all our assets, upon a default, our lenders may be able to foreclose on our assets.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We have identified material weaknesses in our internal controls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We are ultimately responsible for establishing and maintaining adequate internal controls over our financial reporting, as defined in Rule 13a-15(f) under the Securities Exchange Act of 1934.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We have identified material weaknesses in our internal controls over financial reporting as of December 31, 2024 (see “Controls and Procedures” in Item 9A for further information). We are actively developing and plan to implement a remediation plan designed to address these material weaknesses. However, we cannot guarantee these steps will be sufficient to address the material weaknesses. If this remediation proves ineffective, if we fail to develop and maintain proper and effective internal controls over financial reporting, or if additional material weaknesses in our disclosure controls and internal control over financial reporting are discovered or occur in the future, our ability to produce timely and accurate financial statements, comply with applicable laws and regulations, or access the capital markets could be impaired and we could be required to restate our financial results.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212529"/>
        </w:rPr>
        <w:t>If we identify any new material weaknesses in the future, or if our remediation measures are not effective, any such newly identified or existing material weakness could limit our ability to prevent or detect a misstatement of our accounts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12529"/>
        </w:rPr>
        <w:t>disclosures that could result in a material misstatement of our annual or interim financial statements. In such case, we may be unable to maintain compliance with securities law requirements regarding the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concentrated with a limited number of licensees such that the loss of any of such licensees could decrease our revenue and impair our cash flows.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 is generated from Qurate, through the respective agreements with Qurate through QVC and HSN, and from G-III Apparel Group, through our master license agreement relating to the Halston Brand. During the years ended December 31, 2024 and 2023, Qurate accounted for approximately 44% and 34%, respectively, of our total net revenue, while the Halston Master License represented approximately 31% and 9% of our total net revenue, respectively.</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we are dependent on these agreements for a significant portion of our revenues, if Qurate or G-III were to have financial difficulties, or if Qurate and/or G-III decide not to renew or extend their existing agreements with us, our revenue and cash flows could be reduced substantially. Our cash flow would also be significantly impacted if there were significant delays in our collection of receivables from these licensees. Additionally, we have limited control over the programming that Qurate devotes to our brands or its promotional sales with our brands (such as “Today’s Special Value” sales). If Qurate reduces or modifies its programming or promotional sales related to our brands, our revenues and cash flows could be reduced substantially. In order to increase sales of a brand through Qurate, we generally require additional television programming time dedicated to the brand by Qurate. Qurate is not required to devote any minimum amount of programming time for any of our brands.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Qurate revenues have declined since 2021, and there can be no guarantee that our Qurate revenues will grow in the future or that they will not decline further.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Qurate.</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Qurate restrict us from selling products under our brands with certain retailers, or branded products we sell on Qurate to any other retailer except certain interactive television channels in other territories approved by Qurate, and provides Qurate with a right to terminate the respective agreement if we breach these provisions.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Although most of our licenses and our Qurate Agreements prohibit the sale of products under our brands to retailers who are restricted by Qurate, and our license agreements with other interactive television companies prohibit such licensees from selling products to retailers restricted by Qurate under the brands we sell on Qurate outside of certain approved territories, one or more of our licensees could sell to a restricted retailer or territory, putting us in breach of our agreements with Qurate and exposing us to potential termination by Qurate. A breach of any of these agreements could also result in Qurate seeking monetary damages, seeking an injunction against us and our other licensees, reducing the programming time allocated to our brands, and/or terminating the respective agreement, which could have a material adverse effect on our net income and cash flows.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of our operations through joint ventures. Joint ventures could fail to meet our expectations or cease to deliver anticipated benefits. There could also be disagreements with our joint venture partners that could adversely affect our interest a joint venture.</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currently hold a 17.5% interest in IM Topco, LLC and a 19% interest in ORME. We may enter into additional joint ventures in the future. Our operating results are, in part, dependent upon the performance of IM Topco, LLC and ORME, and, in the future, could also be dependent in part upon the performance of future joint ventures. Joint ventures involve numerous risks, and could fail to meet our initial or ongoing expectations. While we provide certain services to IM Topco, LLC and may provide services to future joint ventures, we do not control the day-to-day operations of IM Topco, LLC or ORME, and may not control the day-to-day operations of future joint ventures. The anticipated synergies or other benefits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a joint venture may fail to materialize due to changing business conditions or changes in our business priorities or those of our joint venture partners.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joint ventures to provide timely and accurate information about their sales and operations, which we rely upon to effectively manage their brands.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 Topco, LLC and ORME are, and we expect any future joint ventures will be, contractually obligated to provide timely and accurate information regarding their sales and operations. We rely on this information to prepare our consolidated financial statements. Any delay in reporting reduces our visibility into the results of operations for our current and any future joint ventures, and our inability to collect timely and accurate information may affect our ability to timely complete our financial statements and timely file reports and other information with the SEC and may adversely affect our business and results of operations.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our fiscal year ended December 31, 2023, we were not able to complete the audit of IM Topco in a timely manner, which resulted in our late filing of our Annual Report on Form 10-K for the year ended December 31, 2023 and our late filing of such year’s audit of IM Topco. IM Topco information was not timely received for the fiscal year ended December 31, 2024, which contributed to our late filing of our Annual Report on Form 10-K for the year ended December 31, 2024. Effective the second quarter of 2025, our equity interest in IM Topco has decreased to the extent that our investment in IM Topco will no longer be accounted for under the equity method of accounting.</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adversely affect our business, results of operations, and cash flows.</w:t>
      </w:r>
    </w:p>
    <w:p>
      <w:pPr>
        <w:spacing w:after="0" w:line="19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retail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spacing w:after="0" w:line="1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continued market acceptance of our brands, our joint venture brands, and any future brands we may acquire directly or through a joint venture, and the products of our licensees.</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Although certain of our licensees guarantee minimum net sales and minimum royalties to us, some of our licensees are not yet selling licensed products or currently have limited distribution of licensed products, and a failure of our brands or of our joint venture brands or of products bearing our brands or our joint venture brands to achieve or maintain broad market acceptance could cause a reduction of our licensing revenues, diminish the value of and generally affect the operating results of our joint ventures, and could further cause existing licensees not to renew their agreements. Such failure could also cause the devaluation of our trademarks, which are our primary assets and the primary assets of our joint ventures, making it more difficult for us or our joint ventures to renew our current licenses upon their expiration or enter into new or additional licenses for such trademarks. In addition, if such devaluation of our trademarks were to occur, a material impairment in the carrying value of one or more of our trademarks, which had an aggregate carrying value of $34.8 million as of December 31, 2024, could also occur and be charged as an expense to our operating results. Continued market acceptance of our brands, our joint ventures’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and joint ventures to maintain the quality of their products could harm the reputation and marketability of our brands and our joint ventures’ brands, which would adversely impact our business and the business of our joint ventures.</w:t>
      </w:r>
    </w:p>
    <w:p>
      <w:pPr>
        <w:spacing w:after="0" w:line="20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Negative claims or publicity regarding Xcel, IM Topco, LLC, our brand co-developers, any future joint ventures, our or their brands, or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materially and adversely affect our reputation or subject us to fines or other penalties.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use and our joint ventures may use third-party social media platforms as, among other things, marketing tools. We also maintain, and our joint ventures may maintain, relationships with many social media influencers and engage in sponsorship initiatives. As existing e-commerce and social media platforms continue to rapidly evolve and new platforms develop, we and our joint ventures must continue to maintain a presence on these platforms and establish presences on new or emerging popular social media platforms. If we or our joint ventures are unable to cost-effectively use social media platforms as marketing tools or if the social media platforms we or our joint ventures use change their policies or algorithms, we or our joint ventures may not be able to fully optimize such platforms, and our and their ability to maintain and acquire customers and our financial condition may suffer.</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and our joint ventures to monitor compliance of such materials, and increase the risk that such materials could contain problematic product or marketing claims in violation of applicable regulations. For example, in some cases, the Federal Trade Commission has sought enforcement action where an endorsement has failed to clearly and conspicuously disclose a financial relationship or material connection between an influencer and an advertiser.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prescribe what our influencers post, and if we were held responsible for the content of their posts or their actions, we could be fined or forced to alter our practices, which could have an adverse impact on our business.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Negative commentary regarding us, our joint ventures or our or their products or influencers and other third parties who are affiliated with us or our joint ventures may also be posted on social media platforms and may be adverse to our or our joint ventures’ reputation or business. Influencers with whom we or our joint ventures maintain relationships could engage in behavior or use their platforms to communicate directly with our customers in a manner that reflects poorly on our or our joint ventures’ brand and may be attributed to us or our joint ventures or otherwise adversely affect us or our joint ventures. It is not possible to prevent such behavior, and the precautions we and our joint ventures take to detect this activity may not be effective in all cases. Our and our joint ventures’ target consumers often value readily available information and often act on such information without further investigation and without regard to its accuracy. The harm may be immediate, without affording us and our joint ventures an opportunity for redress or correction.</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and respond to changing customer preferences and shifts in fashion and industry trends in a timely manner, our business, financial condition, and operating results could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success largely depends on our ability to consistently gauge tastes and trends and provide a diverse and balanced assortment of merchandise that satisfies customer demands in a timely manner. Our ability to accurately forecast demand for our products could be affected by many factors, including an increase or decrease in demand for our products or for products of our competitors, our failure to accurately forecast acceptance of new products, product introductions by competitors, unanticipated changes in general market conditions, and weakening of economic conditions or consumer confidence in future economic conditions. We typically enter into agreements to manufacture and purchase our merchandise in advance of the applicable selling season and our failure to anticipate, identify or react appropriately, or in a timely manner to changes in customer preferences, tastes and trends or economic conditions could lead to, among other things, missed opportunities, excess inventory or inventory shortages, markdowns and write-offs, all of which could negatively impact our profitability and have a material adverse effect on our business, financial condition, and operating results. Failure to respond to changing customer preferences and fashion trends could also negatively impact the image of our brands with our customers and result in diminished brand loyalty.</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of our licensees sell our branded products through major department, mass merchant, and specialty store chains. Continued consolidation in the retail industry, as well as store closures or retailers ceasing to do business, could negatively impact our business. Consolidation could also reduce the number of our customers and potential customers who can access our branded products. A store group could decide to close stores, decrease the amount of our branded product purchased from our licensees, modify the amount of floor space allocated to apparel in general or to our brands specifically, or focus on promoting private label products or national brand products for which it has exclusive rights rather than promoting our brands. Customers are also concentrating purchases among a narrowing group of vendors. These types of decisions could adversely affect our business.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achieve growth based upon our plans to expand our business under our existing brands and brands we may develop independently or through collaborations or acquire. If we fail to manage our expected future growth, our business and operating results could be materially harmed.</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to achieve growth in our existing brands and brands we may develop independently or through collaborations or acquire through expansion of our licensing activities and social media e-commerce platforms, including ORME. We continue to seek new opportunities and international expansion through interactive television and licensing arrangements,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well as joint ventures and collaborations. The success of our company, however, will remain largely dependent on our ability to build and maintain broad market acceptance of our brands, co-developed brands, and joint venture brands to contract with and retain key licensees and on our licensees’ and join venture partners’ ability to accurately predict upcoming fashion and design trends within customer bases and fulfill the product requirements of retail channels within the global marketplace.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HSN, and JTV, competition for retail licenses and brand acquisitions, joint ventures and collaborations, and insufficient capitalization for future transactions.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success is largely dependent upon the efforts of Robert W.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successfully acquire additional trademarks or enter into joint ventures or collaborations for brands, our growth may be limited and, even if additional trademarks are acquired or joint ventures and collaborations are formed, we may not realize anticipated benefits due to integration or licensing difficulties.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we are focused on growing our existing brands, we intend to selectively seek to acquire additional intellectual property, either directly or through the formation of joint ventures or collaborations. However, as our competitors continue to pursue a brand management model, acquisitions, joint ventures, and collaborations may become more expensive and suitable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Although we will seek to temper our acquisition, joint venture, and collaboration risks by following guidelines relating to purchase price and valuation, projected returns, existing strength of the brand, its diversification benefits to us, its potential licensing scale and creditworthiness of licensee base, acquisitions, joint ventures, and collaborations,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87" w:lineRule="exact"/>
        <w:rPr>
          <w:sz w:val="20"/>
          <w:szCs w:val="20"/>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target acquisition, joint venture, or collaboration, or its integration with our company;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or consummate additional quality business opportunities, including potential licenses and new product lines and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reported results of operations from acquisition related charges and costs, and amortization of acquired intangibles;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maintaining focus on, and continuing to execute, core strategies and business plans as our brand and license portfolio grows and becomes more diversified;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licensing and other relationships;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When we acquire intellectual property assets or the companies that own them, or enter into joint ventures or collaborations,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Acquiring additional intellectual property could also have a significant effect on our financial position and could cause substantial fluctuations in our quarterly and yearly operating results. Acquisitions and joint ventures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joint ventures and collaborations will also depend on the availability of capital to complete the necessary acquisition arrangements. In the event that we are unable to obtain debt financing on acceptable terms for a particular transaction, we may elect to pursue the transaction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there is no guarantee that our stockholders will achieve greater returns as a result of any future acquisitions we complete.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apparel, fashion, and jewelry industries could reduce our sales and profitability.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80"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favorable brand recognition;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that appeal to consumers;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products appropriately;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maintaining product quality;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access to sufficient floor space in retail locations;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appropriate services and support to retailers;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competitive e-commerce site;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intellectual property.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Competition in the apparel, fashion and jewelry industries is intense and is dominated by a number of very large brands, many of which have longer operating histories, larger customer bases, more established relationships with a broader set of potential licensees,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Difficulties with foreign sourcing may adversely affect our business.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licensees work with several manufacturers overseas, primarily located overseas, including in China and Thailand. A manufacturing contractor’s failure to ship products to our licensees in a timely manner or to meet the required quality standards could cause the licensee to miss the delivery date requirements of its customers for those items or not have seasonal product available for a selling season. The failure to make timely deliveries may cause their customers to cancel orders, refuse to accept deliveries or demand reduced prices, any of which could reduce our licensing royalties, which could have a material adverse effect on us.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 magnitude of our licensees’ foreign sourcing, our business is subject to the following risks:</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countries or regions, especially Asia, including heightened terrorism and other security concerns, which could subject imported or exported goods to additional or more frequent inspections, leading to delays win deliveries or impoundment of goods;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regulations, quotas and other trade restrictions relating to imports, including quotas imposed by bilateral textile agreements between the U.S. and foreign countries;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increased duties, tariffs, taxes, and other charges on imports;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disease outbreaks such as COVID-19;</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union strikes at ports through which our products enter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in countries where contractors and suppliers are located;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or from foreign countries;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epidemics and health-related concerns, which could result in closed factories, reduced workforces, scarcity of raw materials and scrutiny or embargoing of goods produced in infected areas;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migration and development of manufacturing contractors, which could affect where our brands are or are planned to be produced;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fuel, travel and transportation;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by foreign contractors of labor and wage standards and resulting adverse publicity.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these risks limit or prevent our licensees from manufacturing products in any significant international market, prevent us from acquiring products from foreign suppliers, the production and sale of our brands be seriously disrupted until alternative suppliers are found or alternative markets are developed, which could negatively impact our business.</w:t>
      </w:r>
    </w:p>
    <w:p>
      <w:pPr>
        <w:spacing w:after="0" w:line="1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proprietary rights could compromise our competitive position and decrease the value of our brands.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w:t>
      </w:r>
    </w:p>
    <w:p>
      <w:pPr>
        <w:spacing w:after="0" w:line="17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voting agreements, certain shareholders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certain other stockholders have agreed to appoint Mr. D’Loren as their respective irrevocable proxy and attorney-in-fact with respect to the shares of the common stock issued to them by us. The proxy holder shall vote in favor of matters recommended or approved by the board of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combined voting power of the common stock ownership of our directors and executive officers was approximately 40% of our voting securities as of April 5, 2025. As a result, our management through such stock ownership will exercise significant influence over all matters requiring shareholder approval, including the election of our directors and approval of significant corporate transactions. This concentration of ownership in management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could result in a delisting of our common stock, which could negatively impact the market price and liquidity of our common stock and our ability to access the capital markets.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16, 2024, we received a letter from the Listing Qualifications Department of The Nasdaq Stock Market (“Nasdaq”) notifying us that the minimum bid price per share for our common stock fell below $1.00 for a period of 30 consecutive business days. Therefore, the Company did not meet the minimum bid price requirement set forth in the Nasdaq listing rules. On October 15, 2024, Nasdaq notified us that we would be provided an additional 180 days, or until April 14, 2025, to regain compliance with the minimum bid price requirement.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order to assist in bringing us in compliance with the minimum bid price requirement, we effected a one-for-ten (1:10) reverse stock split of our outstanding shares of common stock effective March 24, 2025. On April 8, 2025, we received a letter from the Listing Qualifications Department of Nasdaq confirming that we had regained compliance with the applicable listing rules, and this matter was closed. As of May 2, 2025, the closing price of our common stock was $2.79.</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However, there can be no assurance that the minimum bid price for our common stock will continue to stay above $1.00 per share in the future.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our shares of common stock were to lose their status on Nasdaq, we believe that they would likely be eligible to be quoted on the inter-dealer electronic quotation and trading system operated by OTC Markets Group Inc., commonly referred to as the Pink Open Market and we may also qualify to be traded on their OTCQB market (The Venture Market). These markets are generally not considered to be as efficient as, and not as broad as, Nasdaq. Selling our shares on these markets could be more difficult because smaller quantities of shares would likely be bought and sold, and transactions could be delayed. In addition, in the event our shares are delisted, broker-dealers have certain regulatory burdens imposed upon them, which may discourage broker-dealers from effecting transactions in our common stock or even holding our common stock, further limiting the liquidity of our common stock. These factors could result in lower prices and larger spreads in the bid and ask prices for our common stock.</w:t>
      </w:r>
    </w:p>
    <w:p>
      <w:pPr>
        <w:spacing w:after="0" w:line="184"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5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Rule 3a51-1 of the Exchange Act establishes the definition of a “penny stock,” for purposes relevant to us, as any equity security that has a minimum bid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3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35"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on which the broker or dealer made the suitability determination;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5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Capital Market. In addition, the liquidity for our common stock may decrease, with a corresponding decrease in the price of our common stock.</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assurance can be given that our stock will not be subject to these “penny stock” rules in the future.</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5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historically been thinly traded, and you may be unable to sell at or near ask prices or at all if you need to sell or liquidate a substantial number of shares at one time.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our common stock is listed on the NASDAQ Capital Market, our common stock has historically been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declined over the past several years and may be volatile, which could reduce the market price of our common stock.</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Currently the publicly traded shares of our common stock are not widely held, and do not have significant trading volume, and, therefore, may experience significant price and volume fluctuations. Although our common stock is quoted on the NASDAQ Capital Market, this does not assure that a meaningful, consistent trading market will develop or that the volatility will decline. This market volatility could reduce the market price of the common stock, regardless of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operating performance. In addition, the trading price of the common stock has been volatile over the past several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shares of common stock upon exercise of outstanding warrants and options.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we had outstanding warrants and options to purchase 736,349 shares of our common stock with a weighted average exercise price of $15.69.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we had an aggregate of 279,957 shares of common stock available for grants under our 2021 Equity Incentive Plan (the "2021 Plan") to our directors, executive officers, employees, and consultants. Issuances of common stock pursuant to the exercise of stock options or other stock grants or awards which may be granted under our 2021 Plan will dilute your interest in us.</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stock may be subject to restrictions on the use of Rule 144 by shell companies or former shell companies.</w:t>
      </w:r>
    </w:p>
    <w:p>
      <w:pPr>
        <w:spacing w:after="0" w:line="13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limits the amount of cash dividends we may pay while amounts under the credit facility are outstanding.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corporate charter documents could delay or prevent change of control.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outbreak of disease or similar public health threat, or fear of such an event, could have a material adverse impact on the Company's business, operating results and financial condition.</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 pandemic or outbreak of disease or similar public health threat, such as the COVID-19 pandemic, or fear of such an event, could have a material adverse impact on our business, operating results, and financial condition. The COVID-19 pandemic caused a disruption to our business, beginning in March 2020.</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impacts of the COVID-19 pandemic (including actions taken by national, state, and local governments in response to COVID-19) negatively impacted the U.S. and global economy, disrupted consumer spending and global supply chains, and created significant volatility and disruption of financial markets. The initial onset of the pandemic in 2020 resulted in a sudden decrease in sales for many of the Company’s products, from which we have yet to fully recover. The global pandemic affected the financial health of certain of our customers, and the bankruptcy of certain other customers; as a result, we may be required to make additional adjustments to our allowances for credit losses in future periods, which would increase our operating expenses and negatively impact our operating results.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the effects of the COVID-19 pandemic on the shipping industry negatively impacted our licensees’ ability to import products in a manner that allowed for timely delivery to customers. Congestion at ports of loading and ports of entry caused significant delays in deliveries and changes to the itineraries of steamship carriers. Truck driver shortages, shortages of truck equipment and the inability of ports to provide reliable pick up times, also negatively impacted our and our licensees’ ability to timely receive goods in the past. If our licensees are unable to mitigate any potential future supply chain disruptions, their ability to meet customer expectations, manage inventory and complete sales could be materially adversely affected, which could adversely affect our results of operations.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and availability of credit and tax rates in the general economy and in the international, regional and local markets in which our products are sold and the impact of natural disasters and pandemics and disease outbreaks.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and international trade conditions could adversely impact our business and results of operations.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business is also subject to risks associated with U.S. and foreign legislation, regulations and trade agreements (including those resulting from the transition to new political administrations) relating to the products and materials our licensees import, including quotas, duties, tariffs or taxes, and other charges or restrictions on imports on our branded and co-branded products. For example, the United States has recently enacted and proposed to enact significant new tariffs, including a 25% tariff on imports from Mexico and Canada into the United States. While these tariffs are currently suspended while negotiations take place for a long-term agreement, there continues to exist significant uncertainty about the future relationship between the U.S. and other countries (including China) with respect to trade policies, treaties and tariffs. These developments, or the perception that they could occur, may have a material adverse effect on global economic conditions and the stability of global financial markets, and may significantly reduce global trade and, in particular, trade between the impacted countries.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cannot predict whether additional U.S. and foreign customs quotas, duties (including antidumping or countervailing duties), tariffs and any retaliatory counter measures, taxes or other charges or restrictions, requirements as to where raw materials and component parts must be purchased, additional workplace regulations or other restrictions on our imports will be imposed in the future or adversely modified, or what effect such actions would have on our revenues and costs of operations. Recently imposed or future quotas, duties or tariffs and any retaliatory counter measures may have a material adverse effect on the cost of our products and the related components and raw materials and our ability to sell products and services outside the United States. Future trade agreements or modifications to existing trade agreements could also provide our competitors with an advantage over us, which could have a material adverse effect on our business, results of operations, financial condition and cash flows. The ultimate impact of any tariffs and any retaliatory counter measures will depend on various factors, including if any tariffs are ultimately implemented, the timing of implementation, and the amount, scope and nature of the tariffs.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government administrative policy, including the imposition of or increases in tariffs and changes to existing trade agreements could have a material adverse effect on us.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result of changes to U.S. and foreign government administrative policy, there may be changes to existing trade agreements, greater restrictions on free trade generally, the imposition of or significant increases in tariffs on goods imported into the U.S., including tariffs on products manufactured in China, Canada, or Mexico, and adverse responses by foreign governments to U.S. trade policies, among other possible changes. The U.S. administration has announced it intends to implement or increase tariffs, and it remains unclear what the U.S. administration or foreign governments will or will not do with respect to tariffs or trade agreements and policies. A trade war, other governmental action related to tariffs or trade agreements, changes in U.S. social, political, regulatory and economic conditions or in laws and policies governing foreign trade, manufacturing, development and investment in the territories and countries where the products of our licensees are manufactured may have a negative impact on the wholesale sales of our licensees and retail sales of our retail partners, and any resulting negative sentiments towards the U.S. as a result of such changes, could have a material adverse effect on license revenues, our business,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trademarks and other intangible assets are subject to impairment charges under accounting guidelines.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intangible assets including our trademarks had a net carrying value of $34.8 million as of December 31, 2024 and represent a substantial portion of our assets. Under accounting principles generally accepted in the United States of America (“GAAP”), finite-lived intangible assets are amortized over their estimated useful lives, and reviewed for impairment whenever events or changes in circumstances indicate that their carrying value may not be recoverable.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Any write-down of intangible assets resulting from future periodic evaluations would, as applicable, either decrease our net income or increase our net loss and those decreases or increases could be material.</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the years ended December 31, 2020 through December 31, 2024.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and/or upgrade our information technology systems.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as well as other major system failures could disrupt our internal operations or information technology services, and any such disruption could negatively impact our revenues, increase our expenses, and harm our reputation.</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systems and any failure, inadequacy, interruption, or security lapse of that technology, including any cybersecurity incidents, could harm our ability to operate our business effectively and have a material adverse effect on our business, reputation, financial condition, and results of operations.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rely significantly on our information technology systems to effectively manage and maintain our operations, and internal reports. Any failure, inadequacy, or interruption of that infrastructure or security lapse (whether intentional or inadvertent) of that technology, including cybersecurity incidents or attacks, could harm our ability to operate our business effectively. Our investment in ORME also leverages certain artificial intelligence (AI) technologies, which ORME’s technology partner licenses from several third parties including but not limited to Amazon and ChatGPT, and which technologies are nascent and rapidly evolving.</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our technology systems, including our cloud technologies, continue to increase in multitude and complexity, making them potentially vulnerable to breakdown, cyberattack, and other disruptions. Potential problems and interruptions associated with the implementation of new or upgraded technology systems or with maintenance or adequate support of existing systems could disrupt or reduce the efficiency of our operations and expose us to greater risk of security breaches. Cybersecurity incidents resulting in the failure of our enterprise resource planning system, production management, or other systems to operate effectively or to integrate with other systems, or a breach in security or other unauthorized access or unavailability of these systems or those of any third parties on whom we depend, have occurred in the past and may affect our ability in the future to manage and maintain our operations, internal reports, and result in reduced efficiency of our operations.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data, intellectual property, and personal data. The information and data processed and stored in our technology systems, and those of our licensees, joint ventures, and other third parties on whom we depend to operate our business, may be vulnerable to loss, damage, denial-of-service, unauthorized access, or misappropriation. Data security incidents may be the result of unauthorized or unintended activity (or lack of activity) by our employees, contractors, or others with authorized access to our network or malware, hacking, business email compromise, phishing, ransomware, or other cyberattacks directed by third parties. While we have implemented measures to protect our information and data stored in our technology systems and those of the third parties that we rely on, our efforts may not be successful.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cybersecurity incidents, including an unsuccessful ransomware attack in February 2024, although to our knowledge we have not experienced any material incident or interruption to date. If such a significant event were to occur, it could result in a material disruption of our business and commercial operations, including due to a loss, corruption, or unauthorized disclosure of our trade secrets, personal data, or other proprietary or sensitive information. Further, these cybersecurity incidents can lead to the public disclosure of personal information (including sensitive personal information) of our employees, customers, and others and result in demands for ransom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other forms of blackmail. Such attacks, including phishing attacks and attempts to misappropriate or compromise confidential or proprietary information or sabotage enterprise information technology systems, are of ever-increasing levels of sophistication and are made by groups and individuals with a wide range of motives (including industrial espionage) and expertise, including by organized criminal groups, “hacktivists,” nation states, and others. Moreover, the costs to us to investigate and mitigate cybersecurity incidents could be significant. Any security breach that results in the unauthorized access, use, or disclosure of personal data may require us to notify individuals, governmental authorities, credit reporting agencies, or other parties pursuant to privacy and security laws and regulations or other obligations. Such a security compromise could harm our reputation, erode confidence in our information security measures, and lead to regulatory scrutiny. To the extent that any disruption or security breach resulted in a loss of, or damage to, our data or systems, or inappropriate disclosure of confidential, proprietary, or personal information, we could be exposed to a risk of loss, enforcement measures, penalties, fines, indemnification claims, litigation and potential civil or criminal liability, which could materially adversely affect our business, financial condition and results of operations.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Not all our contracts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SEC has adopted new rules that require us to provide greater disclosures around proactive security protections that we employ and reactive issues (e.g., security incidents). Any such disclosures, including those under state data breach notification laws, can be costly, and the disclosures we make to comply with, or the failure to comply with, such requirements could lead to adverse consequences.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could make conducting our business more expensive or otherwise change the way we do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4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4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comply with this legislation for the years ended December 31, 2024 and 2023, and will continue to do so for future fiscal periods. However, our management has concluded that our internal control over financial reporting was not effective as of December 31, 2024 and 2023 due to material weaknesses. We cannot be certain that our internal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controls will become effective or that future material changes to our internal control over financial reporting will be effective. If we cannot adequately obtain and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3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3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receive, process, use, and store digitally large amounts of data, including customer data as well as confidential, sensitive, proprietary, and personal information. Maintaining the integrity and availability of our information technology systems and this information, as well as appropriate limitations on access and confidentiality of such information, is important to us and our business operations. To this end, we have implemented a program designed to assess, identify, and manage risks from potential unauthorized occurrences on or through our information technology systems that may result in adverse effects on the confidentiality, integrity, and availability of these systems and the data residing in them.</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program is managed by our executive management team, and includes mechanisms, controls, technologies, systems, policies, and other processes designed to prevent or mitigate data loss, theft, misuse, or other security incidents or vulnerabilities affecting the systems and data residing in them. We consult with and rely upon outside advisors and experts to assist us with assessing, identifying, and managing cybersecurity risks.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consider cybersecurity, along with other significant risks that we face, within our overall enterprise risk management framework. Our Board of Directors has oversight for the most significant risks facing us and for our processes to identify, prioritize, assess, manage, and mitigate those risks. The Board of Directors receives periodic updates on cybersecurity and information technology matters and related risk exposures from management.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currently lease and maintain our corporate offices and operations facility located at 550 Seventh Avenue, 11th floor, New York, New York. We entered into a lease agreement effective February 29, 2024 for such offices of approximately 12,000 square feet of office space. This lease commenced in April 2024 and shall expire in 2031.</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currently lease approximately 29,600 square feet of office space at 1333 Broadway, 10th floor, New York, New York; this location represented our former corporate offices and operations facility and this lease shall expire on October 30, 2027. We have subleased this office space to a third-party subtenant through October 30, 2027.</w:t>
      </w:r>
    </w:p>
    <w:p>
      <w:pPr>
        <w:spacing w:after="0" w:line="1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“XELB.”</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2024, the number of our stockholders of record was 518 (excluding beneficial owners and any shares held in street name or by nominees).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2021 Plan.</w:t>
      </w:r>
    </w:p>
    <w:p>
      <w:pPr>
        <w:spacing w:after="0" w:line="180" w:lineRule="exact"/>
        <w:rPr>
          <w:sz w:val="20"/>
          <w:szCs w:val="20"/>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(any grant under the 2021 Plan, an “Award”). The stock options may be incentive stock options or non-qualified stock options.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400,000 shares of common stock are eligible for issuance under the 2021 Plan.</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may be administered by the Board of Directors (the “Board”) or a committee consisting of two or more members of the Board of Directors appointed by the Board (for purposes of this description, any such committee, a “Committee”).</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other employees of our Company or any parent or subsidiary of our Company who are at the time of the grant of an Award employed by us or any parent or subsidiary of our Company are eligible to be granted options or other Awards under the 2021 Plan. In addition, non-qualified stock options and other Awards may be granted under the 2021 Plan to any person, including, but not limited to, directors, independent agents, consultants, and attorneys who the Board or the Committee, as the case may be, believes has contributed or will contribute to our success.</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stock option will not be less than the fair market value of the shares underlying the option on the date the option is granted, provided, however, that the exercise price of a stock option granted to a 10% Stockholder may not be less than 110% of such fair market value.</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2024.</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shall determine the eligible persons to whom, and the time or times at which, cash awards will be made, the amount that is subject to the cash award, the circumstances and conditions under which such amount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shall be paid, in whole or in part, the time of payment, and all other terms and conditions of the Awards. Each cash award shall be confirmed by, and shall be subject to the terms of, an agreement executed</w:t>
      </w:r>
    </w:p>
    <w:p>
      <w:pPr>
        <w:spacing w:after="0" w:line="162"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may be granted on or after the tenth anniversary of the effective date of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key terms and provisions of our Amended and Restated 2011 Equity Incentive Plan, which we refer to as the 2011 Plan, were substantially similar to the 2021 Plan described above, with the major difference being the number of shares of common stock reserved for issuance under the 2011 Plan. Stock-based awards (including options, warrants, and restricted stock) previously granted under the 2011 Plan remain outstanding, and shares of common stock may be issued to satisfy options or warrants previously granted under the 2011 Plan, although no new awards may be granted under the 2011 Plan.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the Company issues stock-based compensation to its officers, directors, employees, and consultants through its equity compensation plans. The maximum term of options granted is generally five years and generally options vest over a period of six months to two years. However, the Board may approve other vesting schedules. Options may be exercised in whole or in part. The exercise price of stock options granted is generally the fair market value of the Company’s common stock on the date of grant.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related to exercise activity, we use the simplified method to determine the expected term. The risk-free interest rate is based on the U.S. Treasury rates at the date of grant with maturity dates approximately equal to the expected term at the grant date. The historical volatility of our common stock is used as the basis for the volatility assumption. The Company has never paid cash dividends, and does not currently intend to pay cash dividends, and thus assumes a 0% dividend yield.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compensation plans under which our equity securities are authorized for issuance: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5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(1)</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Pursuant to our 2011 and 2021 Equity Incentive Plans.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 13,258, and 2,946 shares, respectively (collectively, the “Private Placement Shares”), at a price of $9.80 per Private Placement Share. The total number of Private Placement Shares purchased was 29,462. Net proceeds after payment of agent fees to the representative were approximately $0.3 million. The purchase of the Private Placement Shares closed on March 19,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12, 2024, the Company issued warrants to purchase 145,664 shares of common stock to lenders as additional consideration for entering into a loan and security agreement. The warrants are immediately exercisable and expire on December 12, 2034.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restricted stock purchased and retired by the Company during the year ended December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0" w:type="dxa"/>
            <w:vAlign w:val="bottom"/>
          </w:tcPr>
          <w:p>
            <w:pPr>
              <w:spacing w:after="0"/>
              <w:rPr>
                <w:sz w:val="1"/>
                <w:szCs w:val="1"/>
                <w:color w:val="auto"/>
              </w:rPr>
            </w:pPr>
          </w:p>
        </w:tc>
      </w:tr>
      <w:tr>
        <w:trPr>
          <w:trHeight w:val="148"/>
        </w:trPr>
        <w:tc>
          <w:tcPr>
            <w:tcW w:w="4940" w:type="dxa"/>
            <w:vAlign w:val="bottom"/>
            <w:gridSpan w:val="3"/>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173"/>
        </w:trPr>
        <w:tc>
          <w:tcPr>
            <w:tcW w:w="4940" w:type="dxa"/>
            <w:vAlign w:val="bottom"/>
            <w:gridSpan w:val="3"/>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or Program</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to July 31, 2024 (i)</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2024 to August 31, 2024 (i)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30, 2024 (i)</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October 1, 2024 to October 31, 2024 (i)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2024 to November 30, 2024 (i)</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December 1, 2024 to December 31, 2024 (i)</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year ended December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4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0" w:right="59" w:hanging="10"/>
        <w:spacing w:after="0" w:line="266"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in connection with the income tax withholding obligations on behalf of such employees from the receipt of stock awards. The 2011 Plan and 2021 Plan allow for award holders to surrender vested shares to cover withholding tax liabilities.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did not repurchase any shares of common stock during the year ended December 31, 2023.</w:t>
      </w:r>
    </w:p>
    <w:p>
      <w:pPr>
        <w:spacing w:after="0" w:line="22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 December 31, 2024 and 2023.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Brands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Xcel was founded in 2011 with a vision to reimagine shopping, entertainment, and social media as social commerce.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Currently, our brand portfolio consists of the following:</w:t>
      </w:r>
    </w:p>
    <w:p>
      <w:pPr>
        <w:spacing w:after="0" w:line="207"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Brand, the Ripka Brand, and the C Wonder Brand, which are wholly owned by the Company;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TowerHill by Christie Brinkley brand, which is a co-branded collaboration between Xcel and Christie Brinkley that launched in May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LB70 by Lloyd Boston brand, which is a co-branded collaboration between Xcel and Lloyd Boston that launched in August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Brand, which we manage through our 50% ownership interest in Longaberger Licensing, LLC;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brands (the “Isaac Mizrahi Brand”), in which we hold a noncontrolling interest through our 17.5% ownership interest in IM Topco, LLC (“IM Topco”) and continue to contribute to the operations of the brand through a service agreement with IM Topco.</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brand portfolio also included the Lori Goldstein Brand as a wholly owned brand from April 1, 2021 through June 30, 2024; the Lori Goldstein Brand was divested on June 30,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own a 19% interest in ORME, a short-form video and social commerce marketplace that launched in April 2024.</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Xcel continues to pioneer a true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 Our brands have generated over $5 billion in retail sales via live streaming in interactive television and digital channels alone, and our brands collectively reach over 5 million social media followers through Facebook, Instagram, and TikTok. All of the followers may not be unique followers, as many followers may follow multiple brands and follow our brands on multiple platforms.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our brands for sale through interactive television (e.g., QVC, HSN, JTV, etc.);</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digital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Model and Operations Restructuring</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During 2023, we restructured our business operations by shifting our business from a more capital-intensive wholesale/licensing hybrid model to a capital-light “licensing plus” model. These efforts included entering into new</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structured contractual arrangements with best-in-class business partners (including G-III for the Halston Brand, JTV for the Ripka Brand, and One Jeanswear Group, LLC for wholesale production related to certain of our other brands) in order to more efficiently operate our wholesale and e-commerce businesses and reduce and better manage our exposure to operating risks. The restructuring initiatives, which were largely completed by June 30, 2023, provided us with approximately $15 million of cost savings on an annualized basis compared to our previous operating model.</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2024, we took further actions to optimize our cost structure and manage our liquidity, including entering into a divestiture transaction (related to the Lori Goldstein Brand) which eliminated certain operating and compensation expenses, and relieved us of our contractual obligations to make certain future cash payments and as well as potential future contingent obligation to make future cash payments of up to approximately $11 million.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Based on these actions and initiatives taken by management over the past two years, we have reduced the Company’s direct operating costs on an annualized basis from approximately $8 million per quarter under our previous operating model to approximately $2.5 million to $3.0 million per quarter on a going-forward basis. This represents approximately $21 million of cost savings on an annualized basis compared to our cost structure in 2022. We believe that our current “licensing plus” operating model provides us with the appropriate level of resources and flexibility to execute our strategy and grow our business in light of the current economic environment and market/industry conditions.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Critical accounting estimates are those that involve a significant level of estimation uncertainty and have had or are reasonably likely to have a material impact on our financial condition or results of operations. While our significant accounting policies and estimates are described in more detail in the notes to our consolidated financial statements, our most critical accounting policies and estimates, discussed below, pertain to revenue recognition, trademarks and other intangible assets, equity method investments, and income taxes. These include but are not limited to: the estimation of the useful lives of our trademarks, and the estimation of future cash flows related to our trademarks; the estimation of the fair value of our equity method investments, and judgment as to whether any declines in value are temporary; and the estimation of our future income projections and the likelihood that we will be able to realize our deferred tax assets.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our “licensing plus” business model, we follow Financial Accounting Standards Board (“FASB”) Accounting Standards Codification (“ASC”) 606-10-55-65, by which we recognize licensing revenue at the later of when</w:t>
      </w:r>
    </w:p>
    <w:p>
      <w:pPr>
        <w:ind w:left="60" w:right="59" w:hanging="10"/>
        <w:spacing w:after="0" w:line="260"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sale or usage occurs or (2) the performance obligation to which some or all of the sales- or usage-based royalty has been allocated is satisfied (in whole or in part). More specifically, we separately identify:</w:t>
      </w:r>
    </w:p>
    <w:p>
      <w:pPr>
        <w:spacing w:after="0" w:line="181" w:lineRule="exact"/>
        <w:rPr>
          <w:rFonts w:ascii="Times New Roman" w:cs="Times New Roman" w:eastAsia="Times New Roman" w:hAnsi="Times New Roman"/>
          <w:sz w:val="18"/>
          <w:szCs w:val="18"/>
          <w:color w:val="auto"/>
        </w:rPr>
      </w:pPr>
    </w:p>
    <w:p>
      <w:pPr>
        <w:jc w:val="both"/>
        <w:ind w:left="440" w:right="59" w:hanging="1"/>
        <w:spacing w:after="0" w:line="258" w:lineRule="auto"/>
        <w:tabs>
          <w:tab w:leader="none" w:pos="7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40" w:right="59" w:hanging="1"/>
        <w:spacing w:after="0" w:line="256" w:lineRule="auto"/>
        <w:tabs>
          <w:tab w:leader="none" w:pos="9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Wholesale Sales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the restructuring of our business model and operations, we generated a portion of our revenue through sale of branded jewelry and apparel to both domestic and international customers who, in turn, sold the products to their consumers. We recognized revenue from such transactions within net sales in our consolidated statements of operations when performance obligations identified under the terms of contracts with our customers were satisfied, which occurred upon the transfer of control of the merchandise in accordance with the contractual terms and conditions of the sale. Shipping to customers was accounted for as a fulfillment activity and was recorded within other 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Direct-to-Consumer Sales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revenue associated with our e-commerce jewelry operations and the Longaberger brand (prior to the restructuring of our business model and operations) was recognized within net sales in our consolidated statements of operations at the point in time when product is shipped to the customer. Shipping to customers was accounted for as a fulfillment activity and was recorded within other selling, general and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(primarily trademarks, along with other intangible assets) are amortized over their estimated useful lives, which are estimated based principally on our expected use and strategic plans for each asset, our own historical experience with similar assets, and our expectations related to demand, competition, and other economic factors.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finite-lived intangible assets are reviewed for impairment whenever events or changes in circumstances indicate that their carrying value may not be recoverable. To test our finite-lived intangible assets for impairment, we group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impairment charges recorded for our intangible assets for the years ended December 31, 2024 and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account for our investments in entities over which we have the ability to exercise significant influence, but do not control, under the equity method of accounting, and we recognize our proportionate share of income or losses from the entity within other operating costs and expenses (income) in our consolidated statements of operations.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initially measure our investment in an equity method investee at cost. In cases where we retain a noncontrolling interest in an investee which we had previously consolidated, we initially measure such retained interest at fair value. In estimating fair value in such cases, we seek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Subsequent recognition of an investor’s proportionate share of income or losses of an equity method investee is generally determined based on the investor’s proportional ownership interest. However, in cases where contractual agreements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specify allocation ratios for profits and losses, specified costs and expenses, and/or distributions of cash from operations, that differ from our ownership interest, we use such specified allocation ratios for purposes of determining our share of income or losses from the investee if the agreement is considered substantive.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we review our equity method investments whenever there are indicators that their carrying value may not be recoverable; if a decrease in value of the investment has occurred and such decrease is determined to be other than temporary in nature, we record an impairment charge to reduce the carrying amount of the investment to its fair value. During the year ended December 31, 2024, we recognized a $5.75 million non-cash charge for the other-than-temporary impairment of our investment in IM Topco, LLC, stemming from a decline in the fair value of the investment as a result of decreases in IM Topco, LLC’s revenues and cash flows. There were no such comparable impairment charges for the year ended December 31,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We consider forecasted earnings, future taxable income, and prudent and feasible tax planning strategies in determined the need for these valuation allowances.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any uncertainties in income taxes recognized in our financial statements, tax positions are initially recognized in the financial statements when it is more likely than not that the position will be sustained upon examination by the tax authorities. Such tax positions are initially and subsequently measured as the largest amount of tax benefit that has a probability of fifty percent or greater of being realized upon ultimate settlement with the tax authority, assuming full knowledge of the position and all relevant facts.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notes included elsewhere in this Form 10-K are as of or for the years ended December 31, 2024 (the “Current Year”), and December 31, 2023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net revenue decreased approximately $9.5 million to $8.3 million from $17.8 million for the Prior Year.</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decline was primarily attributable to the $8.25 million decrease in net product sales from $8.60 million in the Prior Year to $0.35 million in the Current Year, due to the exit from our wholesale apparel and fine jewelry sales operations and outsourcing of our Longaberger business as part of the restructuring and transformation of our business operating model in 2023. The only net product sales in the Current Year were related to the final sale of certain residual jewelry inventories and the sale of all remaining inventory related to the Longaberger brand; as of December 31, 2024, the Company has no remaining inventory.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revenues decreased by approximately $1.25 million, from $9.16 million in the Prior Year to $7.91 million in the Current year. This decline was primarily attributable to the June 30, 2024 divestiture of the Lori Goldstein Brand, partially offset by licensing revenues from the new licensing agreements with best-in-class business partners that we entered into in 2023, most notably the Halston Master License with G-III Apparel Group, as well as increased revenues generated by the C Wonder brand and Judith Ripka brand and the recently launched TowerHill by Christie Brinkley brand.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Current Year cost of goods sold was $0.45 million, compared with $6.92 million for the Prior Year. This decrease was driven by the aforementioned exit from our wholesale and direct-to-consumer operations as part of the 2023 business model restructuring.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Gross profit margin from net product sales (net sales less cost of goods sold, divided by net sales) decreased from approximately 20% in the Prior Year to approximately negative 28% in the Current Year. The negative margin results for the Current Year reflect the fact that we sold all of our remaining inventory at cost, and also recognized a reduction to revenue for charge-backs.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Costs and Expenses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Direct operating costs and expenses decreased approximately $10.41 million from $23.17 million in the Prior Year to $12.76 million in the Current Year. This decrease was primarily attributable to the 2023 restructuring and transformation of our business operating model, which included reductions in staffing levels as well as related reductions in other overhead costs, as well as additional actions taken in 2024 to further optimize our cost structure (including the divestiture of the Lori Goldstein Brand, which eliminated certain operating and compensation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Costs and Expenses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approximately $2.00 million, from $6.95 million in the Prior Year to $4.95 million in the Current Year. This decrease was primarily attributable to the June 30, 2024 divestiture of the Lori Goldstein Brand, which included trademarks related to that brand with a net book value of approximately $1.93 million at the time of the divestiture.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Equity method losses related to our equity investments in unconsolidated affiliates (IM Topco, LLC and Orme Live Inc.) were $1.73 million and $2.06 million for the Current Year and Prior Year, respectively, due to the operations of those businesses and the allocation and distribution provisions of the applicable operating agreements. The equity method losses for both 2024 and 2023 primarily consisted of our proportional share of the amortization expense of the Isaac Mizrahi intellectual property assets held by IM Topco, LLC.</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recognized $9.96 million of non-cash charges in the Current Year related to our investment in IM Topco, LLC, including (i) a $4.21 million non-cash charge to recognize the estimated value of our contractual obligation to transfer a portion of our equity ownership interests in IM Topco, LLC to WHP in 2025, and (ii) a $5.75 million non-cash charge for the other-than-temporary impairment of our investment in IM Topco, LLC. The former item was recognized in 2024 to reflect the Company’s economic interest and represents a subsequent reduction of the previously-recognized gain from the 2022 sale of a majority interest in the Isaac Mizrahi Brand, while the latter item is reflective of the decrease in the fair value of our investment due to declines in the revenues and cash flows of IM Topco, LLC.</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Current Year, we recognized a $3.80 million gain on the divestiture of the Lori Goldstein Brand. The consideration received from this transaction was non-cash in nature, and consisted of approximately $6.08 million of relief from certain accrued earn-out payments and the release of contingent obligations under contractual agreements with the buyer. The net book value of the intangible assets sold was approximately $1.93 million, and we also incurred approximately $0.35 million of legal fees in connection with the sale.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during the Current Year, we recognized asset impairment charges of approximately $3.48 million related to our exit from and sublease of our offices at 1333 Broadway, of which approximately $3.1 million related to the operating lease right-of-use asset and approximately $0.4 million related to leasehold improvements at that location.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Prior Year, we recognized a gain of $0.36 million related to the sale of a limited partner ownership interest in an unconsolidated affiliate, which was entered into in 2016, and a gain of $0.45 million related to a lease termination settlement with the landlord of our former retail store location.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finance expense for the Current Year was $0.93 million, compared with $0.38 million for the Prior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$0.55 million increase was primarily attributable to the fact that during the Prior Year, we did not have any outstanding debt for most of the year, until we entered into a $5.0 million term loan in October 2023. That term loan debt remained outstanding for most of the Current Year, until we refinanced our debt and entered into a new $10.0 million term loan agreement in December 2024. Also in connection with the refinancing in the Current Year, we incurred a loss on the early extinguishment of $0.29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estimated annual effective income tax rate for the Current Year was approximately -1%, resulting in an income tax provision of $0.22 million. During the Current Year, the effective tax rate differed from the federal statutory rate primarily due to the recording of a valuation allowance against the benefit that would have otherwise been recognized for the year, as it was considered not more likely than not that the net operating losses generated during the year will be utilized in future periods.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Prior Year was approximately -6%, resulting in a $1.21 million income tax provision. During the Prior Year, the federal statutory rate differed from the effective tax rate primarily due to the initial establishment of a valuation allowance against the Company’s cumulative net deferred tax assets, as it was determined that it was not more likely than not that the net operating losses generated by the Company will be utilized in future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Xcel Brands, Inc. Stockholders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had a net loss of approximately $22.4 million for the Current Year, compared with a net loss of approximately $21.1 million for the Prior Year, as a result of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a non-GAAP net loss of $5.1 million or $(2.23) per share (“non-GAAP diluted EPS”) based on 2,275,332 weighted average shares outstanding for the Current Year, compared with a non-GAAP net loss of $12.2 million or $(6.17) per share based on 1,971,072 weighted average shares outstanding for the Prior Year. Non-GAAP net income is a non-GAAP unaudited term, which we define as net income (loss) attributable to Xcel Brands, Inc. stockholders, exclusive of asset impairment charges, amortization of trademarks, income (loss) from equity method investments, contingent reduction in equity ownership of IM Topco, LLC, stock-based compensation and cost of licensee warrants, loss on extinguishment of debt, gains on sales of assets and investments, gain on lease termination, and income taxes. Non-GAAP net income and non-GAAP diluted EPS measures do not include the tax effect of the aforementioned adjusting items, due to the nature of these items and the Company’s tax strategy.</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had Adjusted EBITDA of approximately $(3.5) million for the Current Year, compared with Adjusted EBITDA of approximately $(5.7) million for the Prior Year. Adjusted EBITDA is a non-GAAP unaudited measure, which we define as net income (loss) attributable to Xcel Brands, Inc. stockholders before interest and finance expenses (including loss on extinguishment of debt, if any), accretion of lease liability for exited leases, income taxes, other state and local franchise taxes, depreciation and amortization, income (loss) from equity method investments, contingent reduction in equity ownership of IM Topco, LLC, asset impairment charges, stock-based compensation and cost of licensee warrants, gains on sales of assets and investments, gain on lease termination, and costs associated with restructuring of operations. Costs associated with restructuring of operations include operating losses generated by certain of our businesses that have been restructured or discontinued (i.e., wholesale apparel and fine jewelry), as well as non-cash charges associated with the restructuring of certain contractual arrangements.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these measures in a different manner than we do.</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(22,395)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reduction in equity ownership of IM Topco, LLC</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(3,801)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(5,071)</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The following table is a reconciliation of diluted loss per share to non-GAAP diluted EPS: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 attributable to Xcel Brands, Inc. stockholders</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reduction in equity ownership of IM Topco, LLC</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EPS</w:t>
            </w: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2,275,332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1,971,072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28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lease liability for exited lease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reduction in equity ownership of IM Topco, LLC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3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restructuring of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and 2023, our cash and cash equivalents were $1.3 million and $3.0 million, respectively.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cash at December 31, 2024 (included within other non-current assets in the consolidated balance sheet) consisted of $0.7 million of cash deposited as collateral for a standby letter of credit associated with a real estate lease; there was no restricted cash as of December 31, 2023.</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Our current “licensing plus” operating model is a working capital light business model, and generally does not require material capital expenditures. As of December 31, 2024, we have no significant commitments for future capital expenditures. Material cash requirements from known contractual and other obligations are discussed under “Obligations and Commitments”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working capital (current assets less current liabilities, excluding the current portions of lease obligations, deferred revenue, and any contingent obligations payable in shares) was $0.8 million and $3.0 million as of December 31, 2024 and 2023, respectively. Commentary on components of our cash flows for the Current Year compared with the Prior Year is set forth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of December 31, 2024, we have incurred recurring losses, a history of cash flows used in operating activities, and an accumulated deficit. While we have undertaken significant restructuring efforts during 2023 and 2024, including divesting an unprofitable brand during 2024, reducing overhead costs, raising capital, and securing debt financing, management has determined that, absent additional funding, there is substantial doubt about the Company’s ability to meet its financial obligations as they become due within twelve months from the date the accompanying financial statements are issued.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Subsequent to year-end, we restructured our outstanding debt and received net proceeds from financing activities. However, these proceeds may still be insufficient to fully address our liquidity needs. We are actively pursuing an equity offering to secure additional capital; however, there can be no assurance that such efforts will be successful or that sufficient funds will be obtained to meet our obligations.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We intend to continue exploring strategic financing alternatives and operational efficiencies to improve liquidity. The accompanying consolidated financial statements do not include any adjustments that might result from the outcome of this uncertainty.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approximately $4.7 million and $6.5 million in the Current Year and Prior Year, respectively.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Current Year’s cash used in operating activities was primarily attributable to the combination of the net loss of $(22.6) million, partially offset by non-cash items of approximately $17.3 million and a net change in operating assets and liabilities of approximately $0.6 million. Non-cash items were primarily comprised of, but not limited to, undistributed losses and other charges related to equity method investees totaling $11.8 million, $4.9 million of depreciation and amortization, $3.5 million of asset impairment charges, and $0.4 million of stock-based compensation and cost of licensee warrants, partially offset by a $(3.8) million gain on the divestiture of the Lori Goldstein Brand. The net change in operating assets and liabilities was less significant, as the positive cash flow impacts from decreases in accounts receivable ($1.2 million) and inventory ($0.5 million) were largely offset by changes in deferred revenue and other current liabilities, along with changes in lease-related assets and liabilities.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Prior Year’s cash used in operating activities was primarily attributable to the combination of the net loss of $(22.2) million, partially offset by non-cash items of approximately $9.8 million and a net change in operating assets and liabilities of approximately $5.9 million. Non-cash items were primarily comprised of, but not limited to, $7.0 million of depreciation and amortization, the $2.1 million undistributed proportional share of net loss of equity method investee, and $1.1 million of deferred taxes, partially offset by a $(0.4) million gain on the sale of a financial asset and a $(0.4) million gain on the settlement of a lease liability. The net change in operating assets and liabilities was primarily comprised of (i) an increase in deferred revenue of approximately $4.4 million, which was mainly attributable to the upfront payment received for the Halston Master License agreement entered into during the Current Year, (ii) a decrease in inventory of approximately $2.4 million, driven by the sale of all of our C Wonder apparel inventory to HSN and the sale of all of our Judith Ripka fine jewelry inventory to JTV, as part of the restructuring and transformation of our business operating model. Partially offsetting these net changes in operating assets and liabilities were decreases in various operating liabilities of approximately $(2.9) million.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Current Year was comprised of purchases of furniture and fixtures totaling approximately $0.1 million.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Prior Year was approximately $0.2 million, primarily driven by $0.5 million of proceeds received from the sale of a limited partner ownership interest in an unconsolidated affiliate, partially offset by approximately $0.2 million capital contributions made to our equity investee ORME.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Current Year was approximately $3.8 million. This was primarily attributable to approximately $2.8 million of net cash proceeds generated from the December 2024 refinancing of our term loan debt ($8.0 million of gross cash proceeds, less $4.25 million repayment of our previous term loan debt and the payment of $0.9 million of debt issuance costs) and $1.9 million of net proceeds generated by equity issuance transactions undertaken during the first quarter of 2024. Also during the Current Year, we made $0.75 million of scheduled principal payments on term loan debt.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Prior Year was approximately $4.7 million, which primarily consisted of $5.0 million of proceeds from borrowings incurred under a new term loan debt agreement in October 2023, partially offset by the payment of $0.3 million of debt issuance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 Transactions – Public Offering and Private Placement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March 19, 2024, the Company closed on a public offering of 328,427 shares of common stock at an offering price of $6.50 per share and a private placement of 29,462 shares of common stock at an offering price of $9.80 per share. In connection with the public offering, Robert W. D’Loren, Chairman and Chief Executive Officer of the Company; an affiliate of Mark DiSanto, a director of the Company; and Seth Burroughs, Executive Vice President of Business Development and Treasury of the Company, purchased 14,625, 14,625, and 3,250 shares of common stock, respectively. Robert W. D’Loren, an affiliate of Mark DiSanto, and Seth Burroughs also purchased 13,258, 13,258, and 2,946 shares of common stock, respectively, in the private placement. The aggregate number of shares of common stock issued from the public offering and the private placement was 357,889 shares and the total net proceeds received was approximately $1.9 million.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 – December 2024 Refinancing</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and certain of its subsidiaries entered into a new loan and security agreement with FEAC Agent, LLC, as administrative agent and collateral agent, FEF Distributors, LLC, as lead arranger, and Restore Capital, LLC,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which will be made upon the satisfaction of a condition precedent described in the loan agreement. The proceeds from Term Loan A and Term Loan B were used to repay the remaining balance of the Company’s October 2023 term loan with IDB, as well as to pay fees, costs, and expenses incurred in connection with entering into the new loan agreement, and the balance may be used for working capital purposes. The proceeds from the Delayed Draw Term Loan will be deposited in a bank account to satisfy a liquidity covenant in the loan agreement.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Principal amounts on Term Loans are payable on a pro rata basis in quarterly installments of $250,000 on each of March 31, June 30, September 30, and December 31 of each year, commencing on March 31, 2026, with the unpaid balance due at the maturity date of December 12, 2028.</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Term Loans accrues at an annual rate equal to the secured overnight financing rate as administered by the Federal Reserve Bank of New York for an interest period equal to three months, subject to a 2.0% floor, plus (i) 8.5% for Term Loan A and Delayed Draw Term Loan and (ii) 13.5% for Term Loan B. Interest on amounts outstanding under the Term Loans accrues daily and is payable at the end of each calendar month.</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Term Loans are guaranteed by certain direct and indirect subsidiaries of the Company, and are secured by all of the asset of the Company and such subsidiaries. The loan agreement contains various customary financial covenants and reporting requirements, as specified and defined in the loan agreement.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Also in connection with the loan agreement, the Company issued warrants to purchase an aggregate of 145,664 shares of the Company’s common stock. These warrants have an exercise price of $6.32 per share, are immediately exercisable, and expire on December 12, 2034.</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 xml:space="preserve">Further, IPX Capital, LLC, a company controlled by Mr. D’Loren, </w:t>
      </w:r>
      <w:r>
        <w:rPr>
          <w:rFonts w:ascii="Times New Roman" w:cs="Times New Roman" w:eastAsia="Times New Roman" w:hAnsi="Times New Roman"/>
          <w:sz w:val="18"/>
          <w:szCs w:val="18"/>
          <w:color w:val="000000"/>
        </w:rPr>
        <w:t>purchased a 12.5% undivided, last-out, subordinated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participation interest in Term Loan B for a purchase price of $500,000; IPX also received 15,333 of the aforementioned warrants, which is the pro rata share of the Term B Lenders’ warrants that were issued by the Company. Also, in October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2024, IPX made a $250,000 non-interest-bearing advance to one of the Company’s subsidiaries, of which $200,000 was repaid to IPX upon the closing of the December 12, 2024 debt refinancing transaction.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 – April 2025 Refinancing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April 21, 2025, the Company and certain of its subsidiaries entered into an amendment with each lender party thereto and FEAC Agent, LLC, pursuant to which the December 12, 2024 loan and security agreement, was amended to provide for $1.5 million repayment of the $3.95 million Term Loan A made on December 12, 2024 and an additional Term Loan B in the amount of $5.12 million on April 21, 2025. The loans outstanding after giving effect to this amendment and the application of the proceeds of the additional Term Loan B are as follows: (1) Term Loan A in the amount of $2.45 million, (2) Term Loan B in the amount of $9.12 million, and (3) Delayed Draw Term Loan in the amount of $2.05 million.</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proceeds from the additional Term Loan B were used to repay a portion of Term Loan A, as well as to pay fees, costs, and expenses incurred in connection with entering into the April 21, 2025 amendment, and the balance will be used for working capital purposes.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Within 30 days after April 21, 2025, the outstanding principal amount of the Term Loan A shall be repaid, on a pro rata basis in an aggregate amount equal to $500,000. Principal on the Term Loan A is payable on a pro rata basis in quarterly installments of $250,000 on each of March 31, June 30, September 30, and December 31 of each year, commencing on March 31, 2026, with the unpaid balance due on the maturity date of December 12, 2028. Principal on the Term Loan B is payable on the maturity date of December 12, 2028.</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From and after April 21, 2025, interest on each Term Loan A accrues at an annual rate equal to the secured overnight financing rate as administered by the Federal Reserve Bank of New York for an interest period equal to three months, subject to a 2.0% floor, plus 8.5%. From and after April 21, 2025, interest on each Term Loan B accrues at an annual rate equal to the secured overnight financing rate as administered by the Federal Reserve Bank of New York for an interest period equal to three months, subject to a 2.0% floor, plus 6.5%. From and after April 21, 2025 through March 31, 2027, interest on the Term Loan B will be paid in-kind by being capitalized and added to the principal amount of the Term Loan B at the end of each calendar month.</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Term Loans are guaranteed by certain direct and indirect subsidiaries of the Company, and are secured by all of the assets of the Company and such subsidiaries. The April 21, 2025 amendment contains various customary financial covenants and reporting requirements, as specified and defined therein, including that (i) Company is required to maintain a class or series of capital stock that is traded on the New York Stock Exchange or the NASDAQ; and (iii) Company is required to file a Form S-1 Registration Statement with the SEC.</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this refinancing transaction, UTG Capital, Inc., a Delaware corporation (“UTG”), purchased a 100% undivided, participation interest in Term Loan B for a purchase price of $9.12 million and received warrants entitling it to purchase 1,107,457 warrants shares of the Company. The Company also issued warrants to purchase 30,000 shares of common stock to Restore Capital (EQ-W), LLC (“Restore”), another of the lenders, and amended warrants to purchase an aggregate of 107,333 shares of common stock held by Restore and warrants previously issued to warrants of FEAC Agent, LLC.</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Also in connection with this refinancing transaction, IPX’s participation in Term Loan B was repaid and IPX purchased a $500,000 undivided, last-out, subordinated participation interest in Term Loan 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Debt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Refer to information outlined under ‘Debt Transactions – December 2024 Refinancing’ and ‘Debt Transactions – April 2025 Refinancing’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we had agreed to pay the seller additional cash consideration (the “Lori Goldstein Earn-Out”) of up to $12.5 million, based on royalties earned during the six calendar year period commencing in 2021. The Lori Goldstein Earn-Out of was initially recorded as a liability of $6.6 million, based on the difference between the fair value of the acquired assets of the Lori Goldstein Brand and the total consideration paid.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January 1, 2023, based on the performance of the Lori Goldstein Brand to date, approximately $0.2 million of additional consideration was earned by the seller, and thus $0.2 million of the balance was paid to the seller during 2023. Based on the performance of the Lori Goldstein Brand through December 31, 2023, approximately $1.0 million of incremental additional consideration was earned by the seller, which would have been paid out in 2024. Accordingly, as of December 31, 2023, $1.0 million of the remaining balance was recorded as a current liability and approximately $5.4 million was recorded as a long-term liability.</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the Company paid approximately $0.3 million of the $1.0 million earned. However, as a result of the June 30, 2024 divestiture of the Lori Goldstein Brand, the seller waived its rights with respect to the Lori Goldstein Earn-Out amounts that had been previously earned and had not yet been paid, and terminated its rights to any future payments under the Lori Goldstein Earn-Out. As a result, the Company de-recognized approximately $1.03 million of accrued Lori Goldstein Earn-Out payments and the remaining balance of approximately $5.05 million of contingent obligations recorded on the Company’s balance sheet. As of December 31, 2024, there are no liability amounts remaining on the Company’s balance sheet related to the Lori Goldstein Earn-Out.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we agreed with WHP (the buyer) that, in the event that IM Topco, LLC receives less than $13.3 million in aggregate royalties for any four consecutive calendar quarters over a three-year period ending on May 31, 2025, WHP would be entitled to receive from us up to $16 million, less all amounts of net cash flow distributed to WHP on an accumulated basis, as an adjustment to the purchase price previously paid by WHP. Such amount would be payable by us in either cash or equity interests in IM Topco held by us.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November 2023, this agreement was initially amended such that the purchase price adjustment provision was waived until the measurement period ending March 31, 2024.</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12, 2024, this agreement was further amended such that the purchase price adjustment provision within the membership purchase agreement was waived until the measurement period ending September 30, 2025. This amendment also provided that if (i) IM Topco royalties are less than $13.5 million for the twelve-month period ending March 31, 2025 or (ii) IM Topco royalties are less than $18.0 million for the year ending December 31, 2025 or (iii) Xcel fails to make certain payments to IM Topco under the terms of a certain license agreement between Xcel and IM Topco on or before January 30, 2025, then Xcel shall transfer equity interests in IM Topco to WHP equal to 12.5% of the total outstanding equity interests of IM Topco, such that Xcel’s ownership interest in IM Topco would decrease from 30% to 17.5%, and WHP’s ownership interest in IM Topco would increase from 70% to 82.5%.</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Prior to the Current Year, no amount was recorded on the Company’s consolidated balance sheets related to this contingent obligation.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Current Year, management concluded that, based on current trends in and projections of IM Topco’s royalty revenues as well as the Company’s decision to not make the remaining royalty payments to IM Topco, it was virtually certain that the Company would be required to make such transfer of equity interests to WHP in 2025. As such, the Company estimated and recorded a contingent obligation of $4.2 million in the accompanying consolidated balance sheets, and recognized a corresponding non-cash charge in the consolidated statements of operations for the Current Year.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31, 2025, in accordance with the terms of the amended membership purchase agreement between Xcel and WHP, WHP became contractually entitled to receive from Xcel equity interests in IM Topco equal to 12.5% of the total outstanding equity interests of IM Topco. On April 15, 2025, such equity interests were transferred to WHP.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currently party to a lease (as lessee) for approximately 29,600 square feet of office space at 1333 Broadway, 10th floor, New York, New York. This location represented our former corporate offices and operations facility, and our lease for this location expires on October 30, 2027. Future payments under this lease are expected to be approximately $1.55 million for the year ending December 31, 2025, $1.55 million for the year ending December 31, 2026, and $1.29 million for the year ending December 31, 2027. We have subleased this office space to a third-party subtenant through October 30, 2027.</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also currently party to a lease (as lessee) for approximately 12,000 square feet of office space at 550 Seventh Avenue, 11th floor, New York, New York. This location represents our current corporate offices and operations facility, and our lease for this location expires in 2032. Future payments under this lease are expected to be approximately $0.37 million for the year ending December 31, 2025, $0.51 million for the year ending December 31, 2026, $0.55 million for the year ending December 31, 2027, $0.57 million for the year ending December 31, 2028, $0.58 million for the year ending December 31, 2029, and $1.42 million thereafter.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entered into contracts with certain executives and key employees. The future minimum payments under these contracts is approximately $2.1 million, which is expected to be paid in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Halston brand, C Wonder brand, TowerHill by Christie Brinkley brand, and the LB70 by Lloyd Boston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While the 2022 sale of a majority interest in the Isaac Mizrahi brand resulted in a substantial decrease in our licensing revenues, as that brand represented a significant portion of our historical licensing revenues, and the 2024 divestiture of the LOGO by Lori Goldstein brand also resulted in a notable decrease in our licensing revenues, we have taken and continue to take actions to replace those revenues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including the recently-launched TowerHill by Christie Brinkley brand and LB70 by Lloyd Boston brand.</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2023, we restructured our business operations by shifting our business from a wholesale/licensing hybrid model into a “licensing plus” business model. These efforts included entering into new structured contractual arrangements with best-in-class business partners in order to more efficiently operate our wholesale and e-commerce businesses and reduce and better manage our exposure to operating risks. These restructuring initiatives were originally expected to provide us with approximately $15 million of cost savings on an annualized basis compared to our previous operating model. Based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additional actions taken by management during 2024 and the recent divestiture of the Lori Goldstein brand, the Company’s direct operating costs on an annualized basis have been reduced from approximately $8 million per quarter under our previous operating model to approximately $2.5 million to $3.0 million per quarter on a going-forward basis. This represents approximately $21 million of cost savings on an annualized basis compared to our cost structure in 2022. Management has continued to implement additional cost cutting measures throughout the first quarter of 2025 to further optimize the Company’s cost structure; these additional actions have reduced direct operating expenses to a run rate of less than $10 million per annum.</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Nonetheless, we continue to face a number of headwinds in the current macroeconomic environment. Poor economic and market conditions, including the impacts of recent inflation and rising consumer debt levels,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inflation and/or a potential recession, our business, financial condition, and results of operations could be adversely affected.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attract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the section captioned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540" w:type="dxa"/>
            <w:vAlign w:val="bottom"/>
          </w:tcPr>
          <w:p>
            <w:pPr>
              <w:spacing w:after="0"/>
              <w:rPr>
                <w:sz w:val="20"/>
                <w:szCs w:val="20"/>
                <w:color w:val="auto"/>
              </w:rPr>
            </w:pPr>
          </w:p>
        </w:tc>
      </w:tr>
      <w:tr>
        <w:trPr>
          <w:trHeight w:val="432"/>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700" w:type="dxa"/>
            <w:vAlign w:val="bottom"/>
            <w:gridSpan w:val="7"/>
          </w:tcPr>
          <w:p>
            <w:pPr>
              <w:jc w:val="right"/>
              <w:ind w:right="39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0" w:type="dxa"/>
            <w:vAlign w:val="bottom"/>
          </w:tcPr>
          <w:p>
            <w:pPr>
              <w:spacing w:after="0"/>
              <w:rPr>
                <w:sz w:val="24"/>
                <w:szCs w:val="24"/>
                <w:color w:val="auto"/>
              </w:rPr>
            </w:pPr>
          </w:p>
        </w:tc>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6"/>
        </w:trPr>
        <w:tc>
          <w:tcPr>
            <w:tcW w:w="20" w:type="dxa"/>
            <w:vAlign w:val="bottom"/>
          </w:tcPr>
          <w:p>
            <w:pPr>
              <w:spacing w:after="0"/>
              <w:rPr>
                <w:sz w:val="17"/>
                <w:szCs w:val="17"/>
                <w:color w:val="auto"/>
              </w:rPr>
            </w:pPr>
          </w:p>
        </w:tc>
        <w:tc>
          <w:tcPr>
            <w:tcW w:w="4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1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20" w:type="dxa"/>
            <w:vAlign w:val="bottom"/>
          </w:tcPr>
          <w:p>
            <w:pPr>
              <w:spacing w:after="0"/>
              <w:rPr>
                <w:sz w:val="17"/>
                <w:szCs w:val="17"/>
                <w:color w:val="auto"/>
              </w:rPr>
            </w:pPr>
          </w:p>
        </w:tc>
        <w:tc>
          <w:tcPr>
            <w:tcW w:w="35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8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898"/>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gridSpan w:val="4"/>
          </w:tcPr>
          <w:p>
            <w:pPr>
              <w:spacing w:after="0"/>
              <w:rPr>
                <w:sz w:val="24"/>
                <w:szCs w:val="24"/>
                <w:color w:val="auto"/>
              </w:rPr>
            </w:pPr>
          </w:p>
        </w:tc>
        <w:tc>
          <w:tcPr>
            <w:tcW w:w="5220" w:type="dxa"/>
            <w:vAlign w:val="bottom"/>
            <w:gridSpan w:val="3"/>
          </w:tcPr>
          <w:p>
            <w:pPr>
              <w:jc w:val="right"/>
              <w:ind w:right="382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Xcel Brands, Inc. and Subsidiaries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and 2023,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Finite-Lived Trademarks and Other Intangible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described further in Note 4 to the financial statements, the carrying amount of finite-lived trademarks and other intangible assets was $34.8 million as of December 31, 2024. Under the applicable accounting guidance, these assets shall be tested for recoverability whenever events or changes in circumstances indicate that carrying amounts may not be recoverable. Management has concluded that these assets are not impaired as of December 31,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determined the Company’s ability to assess if their trademark and other intangible assets are impaired as a critical audit matter due to the estimation and uncertainty regarding the Company’s ability to generate sufficient undiscounted cash flows to be in excess of the carrying value of the reported value of the assets. The Company evaluates its trademark and other intangible assets for impairment annually or when events are triggered by economic conditions. These events require the management to compare the carrying values to their estimated fair values as of the evaluation date. The Company uses the income approach using an undiscounted cash flow model to value the trademark and other intangible assets. If the carrying value of this asset is considered to be impaired, the impairment to be recognized is measured as the amount by which the carrying amount of the asset exceeds fair value.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Auditing the Company’s trademark and other intangible asset impairment is complex and subjective due to the significant estimation required to determine the forecasted cash flows used in the Company’s evaluation. Specifically, the forecasted cash flows are sensitive to significant assumptions such as revenue growth rates and expenses over the estimated useful life all of which are affected by expected future market or economic conditions, and other factors.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 among others:</w:t>
      </w:r>
    </w:p>
    <w:p>
      <w:pPr>
        <w:spacing w:after="0" w:line="225" w:lineRule="exact"/>
        <w:rPr>
          <w:sz w:val="20"/>
          <w:szCs w:val="20"/>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of events and changes in circumstances, which required a more detailed evaluation of undiscounted cash flows.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management’s forecasts of undiscounted cash flows, and assumptions utilized in developing such forecasts.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forecasts and key assumptions utilized to arrive at undiscounted cash flows.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analysis of management’s forecasts and key assumptions used to arrive at undiscounted cash flows.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undiscounted cash flows to the carrying amounts of the respective assets and determined in all cases that undiscounted cash flows exceeded the carrying amounts.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IM Topco, LLC</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described further in Note 3 to the financial statements, the Company’s investment in IM Topco, LLC was $10.1 million as of December 31, 2024. The Company’s investment in IM Topco, LLC is reviewed for impairment whenever there are indicators that their carrying value may not be recoverable; if a decrease in value of the investment has occurred and such decrease is determined to be other than temporary in nature, the Company shall record an impairment charge to reduce the carrying amount of the investment to its fair value. During the year ended December 31, 2024, the Company recognized $9.96 million of other non-cash charges related to IM Topco, LLC including (i) a $4.21 million non-cash charge to recognize the estimated value of their contractual obligation to transfer a portion of their equity ownership interests in IM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Topco, LLC to WHP in 2025, and (ii) a $5.75 million non-cash charge for the other-than-temporary impairment of their investment in IM Topco, LLC.</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determined the Company’s ability to assess if their Investment in IM Topco, LLC is impaired as a critical audit matter due to the estimation and uncertainty regarding the Company’s ability to generate sufficient undiscounted cash flows to be in excess of the carrying value of the reported value of the investment. The Company’s investments in unconsolidated affiliates are reviewed for impairment whenever there are indicators that their carrying value may not be recoverable; if a decrease in value of the investment has occurred and such decrease is determined to be other than temporary in nature, the Company shall record an impairment charge to reduce the carrying amount of the investment to its fair value. These events require the management to compare the carrying values to their estimated fair values as of the evaluation date. The Company uses the income approach using a discounted cash flow model to value the investment. If the carrying value of this investment is considered to be impaired, the impairment to be recognized is measured as the amount by which the carrying amount of the impairment exceeds fair value.</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Auditing the Company’s Investment in IM Topco, LLC impairment is complex and subjective due to the significant estimation required to determine the forecasted cash flows used in the Company’s evaluation. Specifically, the forecasted cash flows are sensitive to significant assumptions such as revenue growth rates, including the terminal growth rates, margins, expenses, and discount rates, all of which are affected by expected future market or economic conditions. In addition, our audit effort involved the use of professionals within our firm with specialized skill and knowledge in valuation methods and models.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 among others:</w:t>
      </w:r>
    </w:p>
    <w:p>
      <w:pPr>
        <w:spacing w:after="0" w:line="225"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forecasted revenue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guideline companies used that operated in similar industries.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Company used the appropriate modified capital asset pricing model and a weighted average cost of capital.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independent calculations to evaluate the sensitivity of the key assumptions used by management.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Marcum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Marcum LLP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26"/>
        </w:trPr>
        <w:tc>
          <w:tcPr>
            <w:tcW w:w="57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$0 and $75 at December 31, 2024</w:t>
            </w: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0" w:type="dxa"/>
            <w:vAlign w:val="bottom"/>
          </w:tcPr>
          <w:p>
            <w:pPr>
              <w:spacing w:after="0"/>
              <w:rPr>
                <w:sz w:val="1"/>
                <w:szCs w:val="1"/>
                <w:color w:val="auto"/>
              </w:rPr>
            </w:pPr>
          </w:p>
        </w:tc>
      </w:tr>
      <w:tr>
        <w:trPr>
          <w:trHeight w:val="171"/>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2023, respectively</w:t>
            </w: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4,043</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7,303</w:t>
            </w:r>
          </w:p>
        </w:tc>
        <w:tc>
          <w:tcPr>
            <w:tcW w:w="0" w:type="dxa"/>
            <w:vAlign w:val="bottom"/>
          </w:tcPr>
          <w:p>
            <w:pPr>
              <w:spacing w:after="0"/>
              <w:rPr>
                <w:sz w:val="1"/>
                <w:szCs w:val="1"/>
                <w:color w:val="auto"/>
              </w:rPr>
            </w:pPr>
          </w:p>
        </w:tc>
      </w:tr>
      <w:tr>
        <w:trPr>
          <w:trHeight w:val="142"/>
        </w:trPr>
        <w:tc>
          <w:tcPr>
            <w:tcW w:w="5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41,520</w:t>
            </w: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method investments, net</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17,735</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49,713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64,357</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7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53,756</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71,660</w:t>
            </w:r>
          </w:p>
        </w:tc>
        <w:tc>
          <w:tcPr>
            <w:tcW w:w="0" w:type="dxa"/>
            <w:vAlign w:val="bottom"/>
          </w:tcPr>
          <w:p>
            <w:pPr>
              <w:spacing w:after="0"/>
              <w:rPr>
                <w:sz w:val="1"/>
                <w:szCs w:val="1"/>
                <w:color w:val="auto"/>
              </w:rPr>
            </w:pPr>
          </w:p>
        </w:tc>
      </w:tr>
      <w:tr>
        <w:trPr>
          <w:trHeight w:val="129"/>
        </w:trPr>
        <w:tc>
          <w:tcPr>
            <w:tcW w:w="5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w:t>
            </w:r>
          </w:p>
        </w:tc>
        <w:tc>
          <w:tcPr>
            <w:tcW w:w="2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income taxes payable</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tcPr>
          <w:p>
            <w:pPr>
              <w:spacing w:after="0"/>
              <w:rPr>
                <w:sz w:val="12"/>
                <w:szCs w:val="12"/>
                <w:color w:val="auto"/>
              </w:rPr>
            </w:pPr>
          </w:p>
        </w:tc>
        <w:tc>
          <w:tcPr>
            <w:tcW w:w="15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contingent obligations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4,213</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10,394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6,469</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portion of contingent obligation</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17,020</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23,489</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5780" w:type="dxa"/>
            <w:vAlign w:val="bottom"/>
          </w:tcPr>
          <w:p>
            <w:pPr>
              <w:ind w:left="120"/>
              <w:spacing w:after="0" w:line="122"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2,368,072 and 1,979,413</w:t>
            </w: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5780" w:type="dxa"/>
            <w:vAlign w:val="bottom"/>
          </w:tcPr>
          <w:p>
            <w:pPr>
              <w:ind w:left="120"/>
              <w:spacing w:after="0" w:line="176" w:lineRule="exact"/>
              <w:rPr>
                <w:sz w:val="20"/>
                <w:szCs w:val="20"/>
                <w:color w:val="auto"/>
              </w:rPr>
            </w:pPr>
            <w:r>
              <w:rPr>
                <w:rFonts w:ascii="Times New Roman" w:cs="Times New Roman" w:eastAsia="Times New Roman" w:hAnsi="Times New Roman"/>
                <w:sz w:val="14"/>
                <w:szCs w:val="14"/>
                <w:color w:val="auto"/>
              </w:rPr>
              <w:t xml:space="preserve">shares issued and outstanding at December 31, 2024 and 2023, respectively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Paid-in capital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106,666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103,879</w:t>
            </w: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2"/>
                <w:szCs w:val="12"/>
                <w:color w:val="auto"/>
              </w:rPr>
            </w:pPr>
          </w:p>
        </w:tc>
        <w:tc>
          <w:tcPr>
            <w:tcW w:w="1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(76,244)</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(53,849)</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30,424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50,032</w:t>
            </w: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Pr>
          <w:p>
            <w:pPr>
              <w:spacing w:after="0"/>
              <w:rPr>
                <w:sz w:val="12"/>
                <w:szCs w:val="12"/>
                <w:color w:val="auto"/>
              </w:rPr>
            </w:pPr>
          </w:p>
        </w:tc>
        <w:tc>
          <w:tcPr>
            <w:tcW w:w="1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28,398</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48,171</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53,756</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71,660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right="199" w:hanging="330"/>
        <w:spacing w:after="0" w:line="26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of Common stock and Paid-in capital, as well as the number of shares issued and outstanding, have been retroactively adjusted in order to give effect to the Company’s 1-for-10 reverse stock split. See Note 2 and Note 12.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licensing revenue</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7,912</w:t>
            </w:r>
          </w:p>
        </w:tc>
        <w:tc>
          <w:tcPr>
            <w:tcW w:w="24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sales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auto"/>
              </w:rPr>
              <w:t>Net revenue</w:t>
            </w:r>
          </w:p>
        </w:tc>
        <w:tc>
          <w:tcPr>
            <w:tcW w:w="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8,259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17,755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Cost of goods sold</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7,814</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10,837</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Direct operating costs and expenses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Salaries, benefits and employment taxes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selling, general and administrative expenses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13,261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3"/>
                <w:szCs w:val="13"/>
                <w:color w:val="auto"/>
              </w:rPr>
              <w:t>Total direct operating costs and expenses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12,758</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23,171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loss before other operating costs and expenses (income)</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(4,944)</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(12,334)</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operating costs and expenses (income)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 impairment charges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from equity method investments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Contingent reduction in equity ownership of IM Topco, LLC</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divestiture of Lori Goldstein Brand</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(3,801)</w:t>
            </w:r>
          </w:p>
        </w:tc>
        <w:tc>
          <w:tcPr>
            <w:tcW w:w="260" w:type="dxa"/>
            <w:vAlign w:val="bottom"/>
          </w:tcPr>
          <w:p>
            <w:pPr>
              <w:spacing w:after="0"/>
              <w:rPr>
                <w:sz w:val="12"/>
                <w:szCs w:val="12"/>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limited partner ownership interest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4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settlement of lease liability</w:t>
            </w:r>
          </w:p>
        </w:tc>
        <w:tc>
          <w:tcPr>
            <w:tcW w:w="260" w:type="dxa"/>
            <w:vAlign w:val="bottom"/>
          </w:tcPr>
          <w:p>
            <w:pPr>
              <w:spacing w:after="0"/>
              <w:rPr>
                <w:sz w:val="12"/>
                <w:szCs w:val="12"/>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(445)</w:t>
            </w:r>
          </w:p>
        </w:tc>
        <w:tc>
          <w:tcPr>
            <w:tcW w:w="0" w:type="dxa"/>
            <w:vAlign w:val="bottom"/>
          </w:tcPr>
          <w:p>
            <w:pPr>
              <w:spacing w:after="0"/>
              <w:rPr>
                <w:sz w:val="1"/>
                <w:szCs w:val="1"/>
                <w:color w:val="auto"/>
              </w:rPr>
            </w:pPr>
          </w:p>
        </w:tc>
      </w:tr>
      <w:tr>
        <w:trPr>
          <w:trHeight w:val="142"/>
        </w:trPr>
        <w:tc>
          <w:tcPr>
            <w:tcW w:w="60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(21,409)</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(20,644)</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finance expense (income)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interest and finance charges (income), net</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Interest and finance expense (income), net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931</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(22,340)</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(21,025)</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(22,560)</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(22,237)</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(165)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(1,185)</w:t>
            </w:r>
          </w:p>
        </w:tc>
        <w:tc>
          <w:tcPr>
            <w:tcW w:w="0" w:type="dxa"/>
            <w:vAlign w:val="bottom"/>
          </w:tcPr>
          <w:p>
            <w:pPr>
              <w:spacing w:after="0"/>
              <w:rPr>
                <w:sz w:val="1"/>
                <w:szCs w:val="1"/>
                <w:color w:val="auto"/>
              </w:rPr>
            </w:pPr>
          </w:p>
        </w:tc>
      </w:tr>
      <w:tr>
        <w:trPr>
          <w:trHeight w:val="182"/>
        </w:trPr>
        <w:tc>
          <w:tcPr>
            <w:tcW w:w="60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Xcel Brands, Inc. stockholders</w:t>
            </w: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(22,395)</w:t>
            </w:r>
          </w:p>
        </w:tc>
        <w:tc>
          <w:tcPr>
            <w:tcW w:w="2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(21,052)</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per common share attributable to Xcel Brands, Inc. stockholders: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Basic and diluted net loss per share </w:t>
            </w:r>
            <w:r>
              <w:rPr>
                <w:rFonts w:ascii="Times New Roman" w:cs="Times New Roman" w:eastAsia="Times New Roman" w:hAnsi="Times New Roman"/>
                <w:sz w:val="17"/>
                <w:szCs w:val="17"/>
                <w:color w:val="auto"/>
                <w:vertAlign w:val="superscript"/>
              </w:rPr>
              <w:t>(1)</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(9.84)</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Weighted average number of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2"/>
                <w:szCs w:val="12"/>
                <w:color w:val="auto"/>
              </w:rPr>
              <w:t xml:space="preserve">Basic and diluted weighted average common shares outstanding </w:t>
            </w:r>
            <w:r>
              <w:rPr>
                <w:rFonts w:ascii="Times New Roman" w:cs="Times New Roman" w:eastAsia="Times New Roman" w:hAnsi="Times New Roman"/>
                <w:sz w:val="17"/>
                <w:szCs w:val="17"/>
                <w:color w:val="auto"/>
                <w:vertAlign w:val="superscript"/>
              </w:rPr>
              <w:t>(1)</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2,275,332</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1,971,072</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right="259" w:hanging="330"/>
        <w:spacing w:after="0" w:line="26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shares outstanding and per share information have been retroactively adjusted in order to give effect to the Company’s 1-for-10 reverse stock split. See Note 2 and Note 12.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Xcel Brands, Inc. Stockholders</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140" w:type="dxa"/>
            <w:vAlign w:val="bottom"/>
            <w:tcBorders>
              <w:bottom w:val="single" w:sz="8" w:color="auto"/>
            </w:tcBorders>
            <w:gridSpan w:val="3"/>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Amount</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1"/>
                <w:szCs w:val="11"/>
                <w:b w:val="1"/>
                <w:bCs w:val="1"/>
                <w:color w:val="auto"/>
              </w:rPr>
              <w:t>Capital</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as of January 1, 2023</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1,962,396</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103,610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(32,797)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(676)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70,139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expense related to stock options and restricted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Contra-revenue related to warrants held by licensee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directors in connection with restricted stock grants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Forfeitures of restricted stock grants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(500)</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consultant in connection with stock grants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employee in connection with stock grant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on exercises of stock options, net of shares surrendered for</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cashless exercises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for the year ended December 31, 2023</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(21,052)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1,979,413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103,879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(53,849)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48,171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expense related to stock options and restricted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Contra-revenue related to warrants held by licensee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directors in connection with restricted stock grants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consultant in connection with stock grants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employee in connection with stock grant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to executives for pro rata portion of base salaries, net of</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withholding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17,502</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in connection with public offering and private placement</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transactions, net of transaction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357,889</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 issued in connection with refinancing of term loan debt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for the year ended December 31, 2024</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(22,395)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2,368,072</w:t>
            </w: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$ 106,666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(76,244)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(2,026)</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80" w:right="199" w:hanging="330"/>
        <w:spacing w:after="0" w:line="261"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of Common stock and Paid-in capital, as well as the number of shares issued and outstanding, have been retroactively adjusted in order to give effect to the Company’s 1-for-10 reverse stock split. See Note 2 and Note 12.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280" w:type="dxa"/>
            <w:vAlign w:val="bottom"/>
          </w:tcPr>
          <w:p>
            <w:pPr>
              <w:spacing w:after="0"/>
              <w:rPr>
                <w:sz w:val="14"/>
                <w:szCs w:val="14"/>
                <w:color w:val="auto"/>
              </w:rPr>
            </w:pPr>
          </w:p>
        </w:tc>
        <w:tc>
          <w:tcPr>
            <w:tcW w:w="2640" w:type="dxa"/>
            <w:vAlign w:val="bottom"/>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8"/>
              </w:rPr>
              <w:t>(22,560)</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Asset impairment charges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finance costs included in interest expense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 and cost of licensee warrants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from equity method investments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Contingent reduction in equity ownership of IM Topco, LLC</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income tax provision</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Gain on divestiture of Lori Goldstein brand</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(3,801)</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Gain on sale of limited partner ownership interest</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Gain on settlement of lease liability</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and non-current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(279)</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(398)</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 accrued expenses, accrued income taxes payable, and other current liabilities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Lease-related assets and liabilities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(794)</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(4,716)</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Capital contribution to equity method investee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proceeds from sale of assets</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(112)</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7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(112)</w:t>
            </w:r>
          </w:p>
        </w:tc>
        <w:tc>
          <w:tcPr>
            <w:tcW w:w="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public offering and private placement transactions, net of transaction costs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deferred finance costs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(922)</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Shares repurchased including vested restricted stock in exchange for withholding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(107)</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of long-term debt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(5,000)</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3,823</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(1,005)</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7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to amounts on consolidated balance sheets: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200" w:type="dxa"/>
            <w:vAlign w:val="bottom"/>
          </w:tcPr>
          <w:p>
            <w:pPr>
              <w:spacing w:after="0"/>
              <w:rPr>
                <w:sz w:val="12"/>
                <w:szCs w:val="12"/>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(reported in other non-current assets)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74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1,993</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Recognition of operating lease right-of-use asset</w:t>
            </w:r>
          </w:p>
        </w:tc>
        <w:tc>
          <w:tcPr>
            <w:tcW w:w="7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Recognition of operating lease obligation</w:t>
            </w: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80" w:type="dxa"/>
            <w:vAlign w:val="bottom"/>
            <w:tcBorders>
              <w:bottom w:val="single" w:sz="8" w:color="CCEEFF"/>
            </w:tcBorders>
            <w:vMerge w:val="continue"/>
          </w:tcPr>
          <w:p>
            <w:pPr>
              <w:spacing w:after="0"/>
              <w:rPr>
                <w:sz w:val="14"/>
                <w:szCs w:val="14"/>
                <w:color w:val="auto"/>
              </w:rPr>
            </w:pPr>
          </w:p>
        </w:tc>
        <w:tc>
          <w:tcPr>
            <w:tcW w:w="740" w:type="dxa"/>
            <w:vAlign w:val="bottom"/>
            <w:tcBorders>
              <w:top w:val="single" w:sz="8" w:color="auto"/>
              <w:bottom w:val="single" w:sz="8" w:color="auto"/>
            </w:tcBorders>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2,596</w:t>
            </w:r>
          </w:p>
        </w:tc>
        <w:tc>
          <w:tcPr>
            <w:tcW w:w="2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Issuance of warrants in connection with debt refinancing</w:t>
            </w:r>
          </w:p>
        </w:tc>
        <w:tc>
          <w:tcPr>
            <w:tcW w:w="740" w:type="dxa"/>
            <w:vAlign w:val="bottom"/>
            <w:tcBorders>
              <w:bottom w:val="single" w:sz="8" w:color="auto"/>
            </w:tcBorders>
            <w:shd w:val="clear" w:color="auto" w:fill="CCEEFF"/>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481</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Cash paid during the year for interest</w:t>
            </w: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Borders>
              <w:bottom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paid during the year for income taxes</w:t>
            </w:r>
          </w:p>
        </w:tc>
        <w:tc>
          <w:tcPr>
            <w:tcW w:w="740" w:type="dxa"/>
            <w:vAlign w:val="bottom"/>
            <w:tcBorders>
              <w:bottom w:val="single" w:sz="8" w:color="auto"/>
            </w:tcBorders>
            <w:shd w:val="clear" w:color="auto" w:fill="CCEEFF"/>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Brands, Inc. (“Xcel” and, together with its subsidiaries, the “Company”)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brand portfolio consisted of the Halston brands (the “Halston Brand”), the Judith Ripka brands (the "Ripka Brand"), the C Wonder brands (the “C Wonder Brand”), the TowerHill by Christie Brinkley brand (the “CB Brand”), the LB70 by Lloyd Boston brand (the ‘LB70 Brand”), the Longaberger brand (the “Longaberger Brand”), the Isaac Mizrahi brands (the “Isaac Mizrahi Brand”), and other proprietary brands.</w:t>
      </w:r>
    </w:p>
    <w:p>
      <w:pPr>
        <w:spacing w:after="0" w:line="180"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Brand, Ripka Brand, and C Wonder Brand are wholly owned by the Company.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CB Brand is a co-branded collaboration between Xcel and Christie Brinkley that launched in May 2024. The LB Brand is a co-branded collaboration between Xcel and Lloyd Boston that launched in August 2024.</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manages the Longaberger Brand through its 50% ownership interest in Longaberger Licensing, LLC; the Company consolidates Longaberger Licensing, LLC and recognizes noncontrolling interest for the remaining ownership interest held by a third party (see Note 3 for additional details).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 noncontrolling interest in the Isaac Mizrahi Brand through a 30% ownership interest in IM Topco, LLC (“IM Topco”); the Company accounts for its interest in IM Topco, LLC using the equity method of accounting (see Note 3 for additional details).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brand portfolio also included the LOGO by Lori Goldstein brand (the “Lori Goldstein Brand”) as a wholly owned brand from April 1, 2021 through June 30, 2024; the Lori Goldstein Brand was divested on June 30, 2024 (see Note 3 for additional details).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owns a noncontrolling equity ownership interest in ORME Live Inc. (“ORME”), a short-form video and social commerce marketplace that launched in April 2024.</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primarily generates revenue through the licensing of its brands through contractual arrangements with manufacturers and retailers. The Company, through its licensees, distributes through an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and for a portion of 2023, the Company also engaged in certain wholesale and direct-to-consumer sales of products under its brands. The Company’s former wholesale and direct-to-consumer operations are presented as "Net sales" and "Cost of goods sold" in the Consolidated Statements of Operations, separately from the Company’s licensing revenues. The only net sales and cost of goods sold recognized for the year ended December 31, 2024 were (i) the final sale of certain residual jewelry inventories and (ii) the sale of all remaining inventory related to the Longaberger Brand. As of December 31, 2024, the Company has no remaining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that the Company will continue as a going concern. As of December 31, 2024, the Company has incurred recurring losses, a history of cash flows used in operating activities, and an accumulated deficit. While the Company has undertaken significant restructuring efforts during 2023 and 2024, including divesting an unprofitable brand during 2024, reducing overhead costs, raising capital, and securing debt financing, management has determined that, absent additional funding, there is substantial doubt about the Company’s ability to meet its financial obligations as they become due within twelve months from the date these financial statements are issued.</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Subsequent to year-end, the Company restructured its outstanding debt and received net proceeds from financing activities. However, these proceeds may still be insufficient to fully address the Company’s liquidity needs. Management is actively pursuing an equity offering to secure additional capital; however, there can be no assurance that such efforts will be successful or that sufficient funds will be obtained to meet the Company’s obligations.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Management intends to continue exploring strategic financing alternatives and operational efficiencies to improve liquidity. The consolidated financial statements do not include any adjustments that might result from the outcome of this uncertainty.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Xcel, its wholly owned subsidiaries, and entities in which Xcel has a controlling financial interest as of and for the years ended December 31, 2024 (the "Current Year") and 2023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holds noncontrolling equity interests in IM Topco, LLC and ORME Live, Inc. These investments are accounted for in accordance with ASC Topic 323, “Investments – Equity Method and Joint Ventures,” as the Company has the ability to exercise significant influence over the operating and financial policies of these affiliates, but does not control the affiliates. See Note 3 for additional information related to the Company’s investments in unconsolidated affiliates.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recognizes its share of the ongoing operating results of these affiliates within other operating costs and expenses (income) in the accompanying consolidated statements of operations. The Company’s investments in unconsolidated affiliates are reviewed for impairment whenever there are indicators that their carrying value may not be recoverable; if a decrease in value of the investment has occurred and such decrease is determined to be other than temporary in nature, the Company shall record an impairment charge to reduce the carrying amount of the investment to its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Capital Structure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described more fully in Note 12, effective March 24, 2025, the Company effected a 1-for-10 reverse stock split for all of its issued and outstanding common stock. All share and per share amounts presented in these consolidated financial statements and accompanying notes, including but not limited to shares issued and outstanding, earnings/(loss) per share, and warrants and options, as well as the dollar amounts of common stock and paid-in capital, have been retroactively adjusted for all periods presented in order to reflect this change in capital structure. There were no changes to the total number of authorized common shares or par value per common share as a result of this change.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deems the following items to require significant estimates from management:</w:t>
      </w:r>
    </w:p>
    <w:p>
      <w:pPr>
        <w:spacing w:after="0" w:line="225" w:lineRule="exact"/>
        <w:rPr>
          <w:sz w:val="20"/>
          <w:szCs w:val="20"/>
          <w:color w:val="auto"/>
        </w:rPr>
      </w:pPr>
    </w:p>
    <w:p>
      <w:pPr>
        <w:ind w:left="700" w:hanging="29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trademarks;</w:t>
      </w:r>
    </w:p>
    <w:p>
      <w:pPr>
        <w:spacing w:after="0" w:line="225" w:lineRule="exact"/>
        <w:rPr>
          <w:rFonts w:ascii="Times New Roman" w:cs="Times New Roman" w:eastAsia="Times New Roman" w:hAnsi="Times New Roman"/>
          <w:sz w:val="18"/>
          <w:szCs w:val="18"/>
          <w:color w:val="auto"/>
        </w:rPr>
      </w:pPr>
    </w:p>
    <w:p>
      <w:pPr>
        <w:ind w:left="740" w:right="79" w:hanging="333"/>
        <w:spacing w:after="0" w:line="282" w:lineRule="auto"/>
        <w:tabs>
          <w:tab w:leader="none" w:pos="7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the valuation of intangible assets, including cash flow estimates for initial determinations of fair value and/or impairment analysis;</w:t>
      </w:r>
    </w:p>
    <w:p>
      <w:pPr>
        <w:spacing w:after="0" w:line="161"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and valuation of equity method investees;</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and effective tax rate for tax purposes; and</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 for lease accounting purposes.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highly liquid investments with original maturities of three months or less are considered to be cash equivalents.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cash at December 31, 2024 (included within other non-current assets in the consolidated balance sheet) consisted of $0.7 million of cash deposited as collateral for a standby letter of credit associated with a real estate lease; there was no restricted cash as of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Accounts receivable are reported net of an allowance for credit losses. As of December 31, 2024 and 2023, the Company had $2.3 million and $3.5 million, respectively, of accounts receivable, net of allowances of $0.00 million and $0.08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determined based upon a variety of judgments and factors. Factors considered in determining the allowance include historical collection, write-off experience, and management's assessment of collectibility from customers, including current conditions, reasonable forecasts, and expectations of future collectibility and collection efforts. Management continuously assesses the collectibility of receivables and adjusts estimates based on actual experience and future expectations based on economic indicators. Management also monitors the aging analysis of receivables to determine if there are changes in the collections of accounts receivable. Receivable balances are written-off against the allowance for credit losses when such balances are deemed to be uncollectible.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rollforward of the allowance for credit losses for the Current Year and Prior Year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 expense (recovery)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on October 17, 2023, the Company and one of the licensees managed under the Halston Master License (see Note 5) entered into an amendment of their respective licensing agreement. Under this amendment, the payment terms of a $0.76 million outstanding balance due to the Company were changed such that this receivable (and collection thereof) became contractually contingent upon the licensee’s future performance. This licensee is also required to pay interest to the Company on a monthly basis until the outstanding balance is paid in full. The Company recorded a non-cash charge of $0.76 million within other selling, general and administrative expenses in the Prior Year related to the restructuring of this licensing arrangement, in order to write-down the previously-recorded receivable to zero, which is not included in the credit loss expense and allowance for credit losses amounts set forth above.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earned revenue that has been accrued but not billed as of December 31, 2024 and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All of the Company’s inventory consisted solely of finished goods, and was recorded at the lower of cost or net realizable value, with cost determined on a weighted average basis. The Company periodically reviewed the composition of its inventory in order to identify obsolete, slow-moving, or otherwise non-saleable items, and recorded write-downs to net realizable value for any non-saleable inventory with no alternative use. The Company also recorded write-downs for inventory shrinkage, representing the risk of physical loss of inventory, based on historical experience and physical inventory counts.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January 1, 2023, inventory was composed of jewelry, wholesale apparel, and home goods. During the Prior Year, as a result of the restructuring of its business operating model, the Company sold all of its wholesale apparel inventory and substantially all of its remaining fine jewelry inventory to its new business partners and licensees. Thus, as of December 31, 2023, inventory was composed of home goods and related items for the Longaberger Brand, as well as certain residual jewelry inventories.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Current Year, the Company sold all of its remaining inventory items, and as of December 31, 2024, the Company had no remaining inventory.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Furniture, equipment, and software are stated at cost less accumulated depreciation and amortization, and are depreciated using the straight-line method over their estimated useful lives, generally three (3) to seven (7) years. Depreciation expense for the years ended December 31, 2024 and 2023 was approximately $0.1 million and $0.8 million,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terms of the leases.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Betterments and improvements are capitalized, while repairs and maintenance are expensed as incurred.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Costs to develop or acquire software for internal use incurred during the preliminary project stage and the post implementation stage are expensed, while internal and external costs to acquire or develop software for internal use incurred during the application development stage – including design, configuration, coding, testing, and installation – are generally capitalized.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long-lived property and equipment assets are reviewed for impairment whenever events or changes in circumstances indicate that their carrying value may not be recoverable. To perform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a discounted cash flows analysis or appraisals. The inputs utilized in the impairment analysis are classified as Level 3 inputs within the fair value hierarchy as defined in Financial Accounting Standards Board (“FASB”) Accounting Standards Codification (“ASC”) Topic 820, “Fair Value Measurement.”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finite-lived intangible assets are amortized over their estimated useful lives of three (3) to eighteen</w:t>
      </w:r>
    </w:p>
    <w:p>
      <w:pPr>
        <w:spacing w:after="0" w:line="27" w:lineRule="exact"/>
        <w:rPr>
          <w:sz w:val="20"/>
          <w:szCs w:val="20"/>
          <w:color w:val="auto"/>
        </w:rPr>
      </w:pPr>
    </w:p>
    <w:p>
      <w:pPr>
        <w:jc w:val="both"/>
        <w:ind w:left="60" w:right="59" w:hanging="10"/>
        <w:spacing w:after="0" w:line="253" w:lineRule="auto"/>
        <w:tabs>
          <w:tab w:leader="none" w:pos="4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Company re-evaluates the remaining useful life of its finite-lived intangible assets on an annual basis, based on consideration of current events and circumstances, the expected use of the asset, and the effects of demand, competition, and other economic factors. No changes were made to the estimated useful lives of intangible assets in the Current Year or Prior Year.</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finite-lived intangible assets are reviewed for impairment whenever events or changes in circumstances indicate that their carrying value may not be recoverable. To perform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a discounted cash flows analysis or appraisals. No impairment charges were recorded related to intangible assets for the Current Year or Prior Year.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4 for additional information related to the Company’s trademarks and other intangible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Costs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borrowings under term loans (primarily professional fees and lender underwriting fees) are deferred on the consolidated balance sheet as a reduction to the carrying value of the associated borrowings, and are amortized as interest expense over the term of the related borrowings using the effective interest method.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applicable accounting guidance, the Company is required to carry such contingent liability balances on its consolidated balance sheet until the measurement period of the earn-out expires and all related contingencies have been resolved.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9 for additional information related to the Company’s contingent obligations.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applies the guidance in ASC Topic 606, “Revenue from Contracts with Customers” to recognize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recognizes revenue continuously over time as it satisfies its continuous obligation of granting access to its licensed intellectual properties, which are deemed symbolic intellectual properties under the applicable revenue accounting guidance. The Company determines the transaction price based on the terms of the contract.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 significant escalations of contractually guaranteed minimum payments. With the exception of the Halston Master License agreement described in Note 5, there were no such differences that would have a material impact on the Company’s consolidated balance sheets at December 31, 2024 and 2023. In accordance with ASC 606-10-55-65, the Company recognizes net licensing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92" w:lineRule="exact"/>
        <w:rPr>
          <w:sz w:val="20"/>
          <w:szCs w:val="20"/>
          <w:color w:val="auto"/>
        </w:rPr>
      </w:pPr>
    </w:p>
    <w:p>
      <w:pPr>
        <w:jc w:val="both"/>
        <w:ind w:left="1040" w:right="79" w:hanging="315"/>
        <w:spacing w:after="0" w:line="258"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unconditional right to receive consideration based on the terms and conditions of licensing contracts is presented as accounts receivable on the accompanying consolidated balance sheets.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does not typically perform by transferring goods or services to customers before the customer pays consideration or before payment is due, thus the amounts of contract assets as defined by ASC 606-10-45-3 related to licensing contracts were not material as of December 31, 2024 and 2023.</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does not typically receive consideration in advance of performance and, consequently, amounts of contract liabilities as defined by ASC 606-10-45-2 related to licensing contracts are generally not material; however, as of December 31, 2024 and 2023, the Company has recognized approximately $3.6 million and $4.4 million, respectively, of deferred revenue contract liabilities on its consolidated balance sheet related to the Halston Master License agreement (see Note 5 for additional details).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2024 are expected to be recognized ratably in accordance with View C over the remaining term of each contract based on the passage of time and through December 2028, subject to renewal or extension upon termination.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Wholesale Sales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the restructuring of the Company’s business model and operations, the Company generated a portion of its revenue through the design, sourcing, and sale of branded jewelry and apparel to both domestic and international customers who, in turn, sold the products to the consumer. The Company recognized such revenue within net sales in the accompanying consolidated statements of operations when performance obligations identified under the terms of contracts with its customers were satisfied, which occurred upon the transfer of control of the merchandise in accordance with the contractual terms and conditions of the sale. Shipping to customers was accounted for as a fulfillment activity and was recorded within other 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Direct-to-Consumer Sales</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revenue associated with its e-commerce jewelry operations and the Longaberger Brand (prior to the restructuring of the Company’s business model and operations in the Prior Year) was recognized within net sales in the accompanying consolidated statements of operations at the point in time when product is shipped to the customer. Shipping to customers was accounted for as a fulfillment activity and was recorded within other selling, general and administrative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approximately $0.7 million and $1.0 million in advertising and marketing costs for the Current Year and Prior Year, respectively, which are included within other selling, general and administrative expenses in the accompanying consolidated statements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(as defined in ASC Topic 842, “Leases”) at the inception of the arrangement. 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w:t>
      </w:r>
    </w:p>
    <w:p>
      <w:pPr>
        <w:spacing w:after="0" w:line="180"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For real estate leases of office space, the Company accounts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Subsequent to initial measurement, these variable payments are recognized when the event determining the amount of variable consideration to be paid occurs.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9 for additional information related to the Company’s leases.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by recognizing the fair value of stock-based compensation as an operating expense over the service period of the award or term of the corresponding contract, as applicable.</w:t>
      </w:r>
    </w:p>
    <w:p>
      <w:pPr>
        <w:spacing w:after="0" w:line="162"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the expected life of the awards and the expected stock price volatility over the terms of the awards. The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risk-free rate is based on the U.S. Treasury rate for the expected term at the time of grant, volatility is based on the historical volatility of the Company’s common stock, and the expected dividend assumption is based on the Company’s history and expectation of dividend payouts.</w:t>
      </w:r>
    </w:p>
    <w:p>
      <w:pPr>
        <w:spacing w:after="0" w:line="17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Restricted stock awards and other stock awards are valued using the fair value of the Company’s stock at the date of grant, based on the quoted market price of the Company’s common shares on the NASDAQ Capital Market.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Non-employee awards are measured at the grant date fair value of the equity instruments to be issued, and the Company recognizes compensation cost for grants to non-employees on a straight-line basis over the period of the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accounts for forfeitures as a reduction of compensation cost in the period when such forfeitures occur.</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7 for additional information related to stock-based compensation.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Current income taxes are based on the respective period’s taxable income for federal and state income tax reporting purposes. Deferred tax assets and liabilities are determined based on the differences between the financial statement and income tax bases of assets and liabilities, using enacted tax rates and laws that will be in effect for the year in which the differences are expected to reverse.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valuation allowance is recognized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the Company’s business. A valuation allowance is established if, based on the weight of available evidence, it is more likely than not that some portion or all of the deferred tax assets will not be realized.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applicable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2024 and 2023. Interest and penalties related to uncertain tax positions, if any, are recorded in income tax expense. Tax years that remain open for assessment for federal and state tax purposes include the years ended December 31, 2020 through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effects of changes in tax laws are recognized in the period when enacted.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10 for additional information related to income taxes.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ASC Topic 820, “Fair Value Measurement,”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certain of the Company’s financial instruments, including cash and cash equivalents, accounts receivable, and accounts payable, the carrying amounts approximate fair value due to the short-term maturities of these instruments. The carrying value of term loan debt approximates fair value due to the floating interest rate structure of the term loan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limits its credit risk with respect to cash and cash equivalents by maintaining such balances with high quality financial institutions. At times, the Company’s cash and cash equivalents may exceed federally insured limits. Concentrations of credit risk with respect to accounts receivable are not considered significant due to the collection history and due to the nature of the Company’s royalty revenues. Generally, the Company does not require collateral or other security to support accounts receivable.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available to common stockholders by the weighted average number of common shares outstanding during the period, excluding the effects of any potentially dilutive securities. Diluted earnings (loss)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 See Note 8 for additional information related to earnings (loss) per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 single reportable segment, which generates revenue from the design and licensing of branded apparel, jewelry, and similar consumer products. The Company derives revenue in North America and manages its business activities on a consolidated basis.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chief operating decision maker, as such term is defined under U.S. GAAP, is its Chief Executive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accounting policies of the Company’s single reportable segment are the same as those for the Company as a whole.</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assesses performance for the single reportable segment and decides how to allocate resources based on net income that also is reported on the income statement as consolidated net income. The chief operating decision maker analyzes and reviews business performance based on available sales data from key licensees and quarterly sales and royalty reports provided by its licensees in addition to assessing the overall operating results on a monthly basis. The measure of segment assets is reported on the balance sheet as total consolidated assets, and, as the Company has a single reportable segment, the Company’s resources are applicable to the business as a whole. The Company does not have intra-entity sales or transfers.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adopted the provisions of Accounting Standards Update (“ASU”) No. 2023-07, “Segment Reporting (Topic 280): Improvements to Reportable Segment Disclosures” during the year ended December 31, 2024. This ASU requires additional disclosures regarding reportable segments and significant segment expenses, but does not change how an entity identifies its operating segments, aggregates those operating segments, or applies the quantitative thresholds to determine its reportable segments. The adoption of this new guidance did not have a significant impact on the Company’s results of operations, cash flows, or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requires disclosure of additional categories of information about federal, state, and foreign income taxes in the rate reconciliation table and requires entities to provide more details about the reconciling items in some categories if items meet a quantitative threshold. The ASU also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and is effective for fiscal years beginning after December 15, 2024. The Company does not anticipate that the adoption of this ASU will have a significant impact on its consolidated financial statements.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and interim reporting periods beginning after December 15, 2027. The Company is currently evaluating the ASU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19" w:lineRule="exact"/>
        <w:rPr>
          <w:sz w:val="20"/>
          <w:szCs w:val="20"/>
          <w:color w:val="auto"/>
        </w:rPr>
      </w:pPr>
    </w:p>
    <w:p>
      <w:pPr>
        <w:ind w:left="60" w:right="2319"/>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3. Investments in Unconsolidated Affiliates, Variable Interest Entities, and Divestitures </w:t>
      </w:r>
      <w:r>
        <w:rPr>
          <w:rFonts w:ascii="Times New Roman" w:cs="Times New Roman" w:eastAsia="Times New Roman" w:hAnsi="Times New Roman"/>
          <w:sz w:val="18"/>
          <w:szCs w:val="18"/>
          <w:b w:val="1"/>
          <w:bCs w:val="1"/>
          <w:i w:val="1"/>
          <w:iCs w:val="1"/>
          <w:color w:val="auto"/>
        </w:rPr>
        <w:t>Investment in IM Topco, LLC</w:t>
      </w:r>
    </w:p>
    <w:p>
      <w:pPr>
        <w:spacing w:after="0" w:line="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Xcel sold 70% of the membership interests of IM Topco, LLC, a former subsidiary which holds the trademarks and other intellectual property rights relating to the Isaac Mizrahi Brand, to a subsidiary of WHP Global (“WHP”), a private equity-backed brand management and licensing company.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its 30% retained interest in the ongoing operations of IM Topco as a component of other operating costs and expenses (income) under the equity method of accounting. Pursuant to the business venture agreement between the Company and WHP governing the operation of IM Topco, IM Topco’s net cash flow (as defined in the agreement) shall be distributed to the members during each fiscal year no less than once per fiscal quarter, as follows:</w:t>
      </w:r>
    </w:p>
    <w:p>
      <w:pPr>
        <w:spacing w:after="0" w:line="180" w:lineRule="exact"/>
        <w:rPr>
          <w:sz w:val="20"/>
          <w:szCs w:val="20"/>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WHP, until WHP has received an aggregate amount during such fiscal year equal to $8,852,000 (subject to adjustment in certain circumstances as set forth in the agreement);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Xcel, until Xcel has received an aggregate amount during such fiscal year equal to $1,316,200 (subject to adjustment in certain circumstances as set forth in the agreement);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proportion to the members’ respective ownership interests.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12, 2024, the Company, WHP, and IM Topco entered into an amendment of the business venture agreement, such that on and after January 1, 2026, WHP shall receive 50% of the net cash flow which would otherwise be payable to Xcel, until WHP has received an aggregate amount of additional net cash flow equal to $1,000,000.</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Based on these distribution provisions, the Company recognized an equity method loss related to its investment in IM Topco of $1.73 million and $2.06 million for the years ended December 31, 2024 and 2023, respectively. For cash flow earnings (i.e., net income before intangible asset amortization expense), management allocated the amounts based on the preferences outlined above. As such, Xcel recognized no cash-based earnings for all periods presented. For non-cash amortization expense, management allocated the amounts based on the relative ownership of each member (i.e., 70% WHP and 30% Xcel). The equity method loss for each period presented is equal to Xcel’s share of amortization expense.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IM Topco for the year ended December 31, 2023 is as follows. Comparable information for the year ended December 31, 2024 is not presented below as the Company’s investment in IM Topco was not considered significant to the Company as of and for the year ended December 31,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0"/>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w:t>
            </w: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w:t>
            </w: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4"/>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bl>
    <w:p>
      <w:pPr>
        <w:spacing w:after="0" w:line="1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2022 membership purchase agreement, under which the parties agreed to waive a certain purchase price adjustment provision until the measurement period ending March 31, 2024 (see Note 9 for additional information). In exchange, Xcel agreed to make additional royalty payments to IM Topco totaling $0.45 million over the subsequent 11 months. As a result of this amendment, the Company recognized a $0.45 million increase to the carrying value basis of its equity method investment.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Current Year, the Company recognized $9.96 million of other non-cash charges related to IM Topco, comprised of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$4.21 million non-cash charge to recognize a contingent obligation related to certain contractual provisions contained within the amended membership purchase agreement between Xcel and WHP (see Note 9 for details), which is presented as “Contingent reduction in equity ownership of IM Topco, LLC” within Other operating costs and expenses (income) in the consolidated statements of operations, and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$5.75 million other-than-temporary impairment of the Company’s investment in IM Topco, stemming from a decline in the fair value of the investment as a result of decreases in IM Topco’s revenues and cash flows (which is presented as part of “Loss from equity method investments” within Other operating costs and expenses (income) in the consolidated statements of operations).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investment in IM Topco was $10.11 million and $17.59 million as of December 31,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Orme Live, Inc.</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December 2023, the Company contributed $0.15 million of cash to ORME in exchange for a 30% equity ownership interest in ORME. The Company accounts for its interest in the operations of ORME as a component of other operating costs and expenses (income) under the equity method of accounting.</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Company’s proportional share of the operating results of ORME was a loss of approximately $0.15 million in the Current Year and was not material in the Prior Year. The carrying value of the Company’s investment in ORME was $0 and $0.15 million as of December 31, 2024 and 2023,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Current Year, the Company’s proportional ownership interest in ORME was reduced from 30% to 19% as the result of dilution arising from other parties making investments in ORME; however, by that point, the carrying value of the Company’s investment in ORME had already been reduced to $0.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Longaberger Licensing, LLC Variable Interest Entity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2019, Xcel has been party to a limited liability company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agreements between the Members,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of Investment in Unconsolidated Affiliate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previously held a limited partner ownership interest in an unconsolidated affiliate, which was entered into in 2016. This investment did not have a readily determinable fair value and in accordance with ASC 820-10-35-59, the investment was valued at cost, less impairment, plus or minus observable price changes of an identical or similar investment of the same issuer. This investment was included within other assets on the Company’s consolidated balance sheet at December 31, 2022, at a carrying value of $0.1 million. During the Prior Year, the Company sold its ownership interest in this entity, and recognized a gain of $0.36 million related to the sale within other operating costs and expenses (income) on the consolidated statement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Lori Goldstein Brand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June 21, 2024, the Company (through its wholly owned subsidiary, Gold Licensing, LLC) entered into an asset purchase agreement with Lori Goldstein and Lori Goldstein, Ltd (together the “LG Parties”), pursuant to which the Company agreed to sell, and the LG Parties agreed to purchase, substantially all of the assets of the Lori Goldstein Brand, including the “LOGO by Lori Goldstein” trademark and other intellectual property rights relating thereto. Also in conjunction with this transaction, key license agreements related to the Lori Goldstein Brand were assigned to and assumed by the LG Parties. This divestiture transaction closed on June 30,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consideration for the sale of these assets, the parties agreed to the following:</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LG Parties waived their rights with respect to certain contingent consideration amounts that had been previously earned by the LG Parties (under the terms of the April 1, 2021 purchase of the assets by Xcel), and terminated their rights to any future earn-out payments.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retained the right to all royalties and fee income for net sales from licensees related to the Lori Goldstein Brand through the closing date.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May 2, 2024 termination of the employment agreement and consulting agreement with the LG Parties was withdrawn. The Company paid the LG Parties a combined total of $25,000 as compensation for services rendered under the employment agreement and consulting agreement through June 30, 2024, and also reimbursed Ms. Goldstein for expenses incurred in the course of fulfilling her duties under the employment agreement through June 30, 2024.</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LG Parties entered into a mutual general release and waiver of outstanding legal disputes.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total consideration received by the Company for this divestiture transaction was approximately $6.08 million, comprised of (i) the waiver of approximately $1.03 million of accrued earn-out payments earned by the LG Parties through June 30, 2024, plus (ii) the release of the remaining balance of approximately $5.05 million of contingent obligations recorded on the Company’s balance sheet. The remaining unamortized net book value of the Lori Goldstein intangible assets immediately prior to the sale was approximately $1.93 million, and the Company also incurred approximately $0.35 million of legal fees in connection with this transaction. Accordingly, the Company recorded a net non-cash gain on the divestiture of the Lori Goldstein Brand of approximately $3.80 million for the year ended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Trademarks and Other Intangibles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10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1"/>
                <w:szCs w:val="11"/>
                <w:color w:val="auto"/>
              </w:rPr>
            </w:pPr>
          </w:p>
        </w:tc>
        <w:tc>
          <w:tcPr>
            <w:tcW w:w="1000" w:type="dxa"/>
            <w:vAlign w:val="bottom"/>
          </w:tcPr>
          <w:p>
            <w:pPr>
              <w:jc w:val="center"/>
              <w:ind w:right="4"/>
              <w:spacing w:after="0" w:line="134" w:lineRule="exact"/>
              <w:rPr>
                <w:sz w:val="20"/>
                <w:szCs w:val="20"/>
                <w:color w:val="auto"/>
              </w:rPr>
            </w:pPr>
            <w:r>
              <w:rPr>
                <w:rFonts w:ascii="Times New Roman" w:cs="Times New Roman" w:eastAsia="Times New Roman" w:hAnsi="Times New Roman"/>
                <w:sz w:val="15"/>
                <w:szCs w:val="15"/>
                <w:b w:val="1"/>
                <w:bCs w:val="1"/>
                <w:color w:val="auto"/>
              </w:rPr>
              <w:t>Net Carrying</w:t>
            </w:r>
          </w:p>
        </w:tc>
        <w:tc>
          <w:tcPr>
            <w:tcW w:w="0" w:type="dxa"/>
            <w:vAlign w:val="bottom"/>
          </w:tcPr>
          <w:p>
            <w:pPr>
              <w:spacing w:after="0"/>
              <w:rPr>
                <w:sz w:val="1"/>
                <w:szCs w:val="1"/>
                <w:color w:val="auto"/>
              </w:rPr>
            </w:pPr>
          </w:p>
        </w:tc>
      </w:tr>
      <w:tr>
        <w:trPr>
          <w:trHeight w:val="18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in thousands)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Period</w:t>
            </w:r>
          </w:p>
        </w:tc>
        <w:tc>
          <w:tcPr>
            <w:tcW w:w="16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80" w:type="dxa"/>
            <w:vAlign w:val="bottom"/>
          </w:tcPr>
          <w:p>
            <w:pPr>
              <w:spacing w:after="0"/>
              <w:rPr>
                <w:sz w:val="15"/>
                <w:szCs w:val="15"/>
                <w:color w:val="auto"/>
              </w:rPr>
            </w:pPr>
          </w:p>
        </w:tc>
        <w:tc>
          <w:tcPr>
            <w:tcW w:w="10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0" w:type="dxa"/>
            <w:vAlign w:val="bottom"/>
          </w:tcPr>
          <w:p>
            <w:pPr>
              <w:spacing w:after="0"/>
              <w:rPr>
                <w:sz w:val="1"/>
                <w:szCs w:val="1"/>
                <w:color w:val="auto"/>
              </w:rPr>
            </w:pPr>
          </w:p>
        </w:tc>
      </w:tr>
      <w:tr>
        <w:trPr>
          <w:trHeight w:val="155"/>
        </w:trPr>
        <w:tc>
          <w:tcPr>
            <w:tcW w:w="38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Trademarks (finite-lived)</w:t>
            </w:r>
          </w:p>
        </w:tc>
        <w:tc>
          <w:tcPr>
            <w:tcW w:w="2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15 years</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58,580</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23,852</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34,728</w:t>
            </w:r>
          </w:p>
        </w:tc>
        <w:tc>
          <w:tcPr>
            <w:tcW w:w="0" w:type="dxa"/>
            <w:vAlign w:val="bottom"/>
          </w:tcPr>
          <w:p>
            <w:pPr>
              <w:spacing w:after="0"/>
              <w:rPr>
                <w:sz w:val="1"/>
                <w:szCs w:val="1"/>
                <w:color w:val="auto"/>
              </w:rPr>
            </w:pPr>
          </w:p>
        </w:tc>
      </w:tr>
      <w:tr>
        <w:trPr>
          <w:trHeight w:val="162"/>
        </w:trPr>
        <w:tc>
          <w:tcPr>
            <w:tcW w:w="4040" w:type="dxa"/>
            <w:vAlign w:val="bottom"/>
            <w:tcBorders>
              <w:bottom w:val="single" w:sz="8" w:color="CCEEFF"/>
            </w:tcBorders>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Copyrights and other intellectual property</w:t>
            </w:r>
          </w:p>
        </w:tc>
        <w:tc>
          <w:tcPr>
            <w:tcW w:w="1240" w:type="dxa"/>
            <w:vAlign w:val="bottom"/>
            <w:tcBorders>
              <w:bottom w:val="single" w:sz="8" w:color="CCEEFF"/>
            </w:tcBorders>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8 years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59,009</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24,250</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34,759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10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1"/>
                <w:szCs w:val="11"/>
                <w:color w:val="auto"/>
              </w:rPr>
            </w:pPr>
          </w:p>
        </w:tc>
        <w:tc>
          <w:tcPr>
            <w:tcW w:w="1000" w:type="dxa"/>
            <w:vAlign w:val="bottom"/>
          </w:tcPr>
          <w:p>
            <w:pPr>
              <w:jc w:val="center"/>
              <w:ind w:right="4"/>
              <w:spacing w:after="0" w:line="134" w:lineRule="exact"/>
              <w:rPr>
                <w:sz w:val="20"/>
                <w:szCs w:val="20"/>
                <w:color w:val="auto"/>
              </w:rPr>
            </w:pPr>
            <w:r>
              <w:rPr>
                <w:rFonts w:ascii="Times New Roman" w:cs="Times New Roman" w:eastAsia="Times New Roman" w:hAnsi="Times New Roman"/>
                <w:sz w:val="15"/>
                <w:szCs w:val="15"/>
                <w:b w:val="1"/>
                <w:bCs w:val="1"/>
                <w:color w:val="auto"/>
              </w:rPr>
              <w:t>Net Carrying</w:t>
            </w:r>
          </w:p>
        </w:tc>
        <w:tc>
          <w:tcPr>
            <w:tcW w:w="0" w:type="dxa"/>
            <w:vAlign w:val="bottom"/>
          </w:tcPr>
          <w:p>
            <w:pPr>
              <w:spacing w:after="0"/>
              <w:rPr>
                <w:sz w:val="1"/>
                <w:szCs w:val="1"/>
                <w:color w:val="auto"/>
              </w:rPr>
            </w:pPr>
          </w:p>
        </w:tc>
      </w:tr>
      <w:tr>
        <w:trPr>
          <w:trHeight w:val="18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in thousands)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Period</w:t>
            </w:r>
          </w:p>
        </w:tc>
        <w:tc>
          <w:tcPr>
            <w:tcW w:w="16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80" w:type="dxa"/>
            <w:vAlign w:val="bottom"/>
          </w:tcPr>
          <w:p>
            <w:pPr>
              <w:spacing w:after="0"/>
              <w:rPr>
                <w:sz w:val="15"/>
                <w:szCs w:val="15"/>
                <w:color w:val="auto"/>
              </w:rPr>
            </w:pPr>
          </w:p>
        </w:tc>
        <w:tc>
          <w:tcPr>
            <w:tcW w:w="10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0" w:type="dxa"/>
            <w:vAlign w:val="bottom"/>
          </w:tcPr>
          <w:p>
            <w:pPr>
              <w:spacing w:after="0"/>
              <w:rPr>
                <w:sz w:val="1"/>
                <w:szCs w:val="1"/>
                <w:color w:val="auto"/>
              </w:rPr>
            </w:pPr>
          </w:p>
        </w:tc>
      </w:tr>
      <w:tr>
        <w:trPr>
          <w:trHeight w:val="155"/>
        </w:trPr>
        <w:tc>
          <w:tcPr>
            <w:tcW w:w="38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Trademarks (finite-lived)</w:t>
            </w:r>
          </w:p>
        </w:tc>
        <w:tc>
          <w:tcPr>
            <w:tcW w:w="2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15 years</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68,880</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27,431</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41,449</w:t>
            </w:r>
          </w:p>
        </w:tc>
        <w:tc>
          <w:tcPr>
            <w:tcW w:w="0" w:type="dxa"/>
            <w:vAlign w:val="bottom"/>
          </w:tcPr>
          <w:p>
            <w:pPr>
              <w:spacing w:after="0"/>
              <w:rPr>
                <w:sz w:val="1"/>
                <w:szCs w:val="1"/>
                <w:color w:val="auto"/>
              </w:rPr>
            </w:pPr>
          </w:p>
        </w:tc>
      </w:tr>
      <w:tr>
        <w:trPr>
          <w:trHeight w:val="162"/>
        </w:trPr>
        <w:tc>
          <w:tcPr>
            <w:tcW w:w="4040" w:type="dxa"/>
            <w:vAlign w:val="bottom"/>
            <w:tcBorders>
              <w:bottom w:val="single" w:sz="8" w:color="CCEEFF"/>
            </w:tcBorders>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Copyrights and other intellectual property</w:t>
            </w:r>
          </w:p>
        </w:tc>
        <w:tc>
          <w:tcPr>
            <w:tcW w:w="1240" w:type="dxa"/>
            <w:vAlign w:val="bottom"/>
            <w:tcBorders>
              <w:bottom w:val="single" w:sz="8" w:color="CCEEFF"/>
            </w:tcBorders>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8 years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69,309</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27,789</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41,520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2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$4.83 million and $6.14 million for the Current Year and Prior Year,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over the remaining useful lives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5"/>
                <w:szCs w:val="15"/>
                <w:color w:val="auto"/>
              </w:rPr>
            </w:pP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 (through 2036)</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17,213</w:t>
            </w:r>
          </w:p>
        </w:tc>
      </w:tr>
      <w:tr>
        <w:trPr>
          <w:trHeight w:val="209"/>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Significant Contracts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Through its wholly owned subsidiaries, the Company has entered into direct-to-retail license agreements with Qurate Retail Group (“Qurate”), collectively referred to as the Qurate Agreements (individually, each a “Qurate Agreement”), pursuant to which the Company designs, and Qurate sources and sells, various products under the C Wonder Brand, the CB Brand, the LB Brand, and the Longaberger Brand. The Company was also previously party to similar agreements with Qurate related to the IsaacMizrahiLIVE brand and the Judith Ripka brand, and the LOGO by Lori Goldstein brand. Qurate owns the rights to all designs produced under these agreements, and the agreements include the sale of products across various categories through Qurate’s television media (including QVC and HSN) and related internet sites.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these agreements, the Company has granted to Qurate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In connection with the Qurate Agreements and during the same periods, Qurate and its subsidiaries have the exclusive, worldwide right to use the names, likenesses, images, voices, and performances of the Company’s spokespersons to promote the respective products.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 Term Expiry</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Automatic Renewal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Launch</w:t>
            </w:r>
          </w:p>
        </w:tc>
      </w:tr>
      <w:tr>
        <w:trPr>
          <w:trHeight w:val="196"/>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 Wonder Qurate Agreement (HSN)</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two-year period</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2023</w:t>
            </w:r>
          </w:p>
        </w:tc>
      </w:tr>
      <w:tr>
        <w:trPr>
          <w:trHeight w:val="20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TowerHill by Christie Brinkley Qurate Agreement (HSN)</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May 30, 2027</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three-year period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2024</w:t>
            </w:r>
          </w:p>
        </w:tc>
      </w:tr>
      <w:tr>
        <w:trPr>
          <w:trHeight w:val="20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LB70 by Lloyd Boston Qurate Agreement (HSN)</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2025</w:t>
            </w:r>
          </w:p>
        </w:tc>
        <w:tc>
          <w:tcPr>
            <w:tcW w:w="1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two-year period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2024</w:t>
            </w: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Longaberger Qurate Agreement (QVC)</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October 31, 2025</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two-year period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2019</w:t>
            </w:r>
          </w:p>
        </w:tc>
      </w:tr>
    </w:tbl>
    <w:p>
      <w:pPr>
        <w:spacing w:after="0" w:line="190" w:lineRule="exact"/>
        <w:rPr>
          <w:sz w:val="20"/>
          <w:szCs w:val="20"/>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2024, in connection with the divestiture of the Lori Goldstein Brand (see Note 3), the agreement with Qurate related to the LOGO by Lori Goldstein brand was assigned to assumed by the counterparties to the divestiture transaction.</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2022, Qurate and Xcel amended the licensing agreement for the Judith Ripka brand to terminate the license period effective December 31, 2021. Effective January 1, 2022, the agreement entered a sell-off period, under which Qurate was allowed to continue to license the Ripka Brand on a non-exclusive basis for as long as necessary to sell off any of its remaining inventory. The sell-off period ended in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in connection with the sale of a majority interest in the Isaac Mizrahi Brand to WHP (see Note 3), the Qurate Agreement related to the IsaacMizrahiLIVE brand was assigned to IM Topco, LLC.</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the Company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Qurate Agreements generally prohibit the Company from selling products under the specified respective brands to a direct competitor of Qurate without Qurate’s consent. Under certain of the Qurate Agreements, the Company may, with the permission of Qurate, sell the respective branded products via certain specified sales channels in exchange for making reverse royalty payments to Qurate based on the net retail sales of such products through such channels. However, the Company is generally restricted from selling products under the specified respective brands or trademarks to certain mass merchants.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under certain of the Qurate Agreements, the Company may be required for a period of time to pay a royalty participation fee to Qurate on revenue earned from the sale, license, consignment, or any other form of distribution of any products, bearing, marketed in connection with, or otherwise associated with the specified trademarks and brands.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 from Qurate totaled $3.7 million and $6.0 million for the Current Year and Prior Year, respectively, representing approximately 44% and 34% of the Company’s total net revenue, respectively. As of December 31, 2024 and 2023, the Company had receivables from Qurate of $0.40 million and $1.28 million, representing approximately 18% and 37% of the Company’s accounts receivable, respectively. The December 31, 2024 and 2023 Qurate receivables did not include any earned revenue accrued but not yet billed as of the respective balance sheet 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79"/>
        <w:spacing w:after="0" w:line="276" w:lineRule="auto"/>
        <w:rPr>
          <w:sz w:val="20"/>
          <w:szCs w:val="20"/>
          <w:color w:val="auto"/>
        </w:rPr>
      </w:pPr>
      <w:r>
        <w:rPr>
          <w:rFonts w:ascii="Times New Roman" w:cs="Times New Roman" w:eastAsia="Times New Roman" w:hAnsi="Times New Roman"/>
          <w:sz w:val="17"/>
          <w:szCs w:val="17"/>
          <w:color w:val="auto"/>
        </w:rPr>
        <w:t>On May 15, 2023, the Company, through its subsidiaries, H Halston, LLC and H Heritage Licensing, LLC (collectively, the “Licensor”), entered into a master license agreement relating to the Halston Brand (the “Halston Master License”) with G-</w:t>
      </w:r>
    </w:p>
    <w:p>
      <w:pPr>
        <w:spacing w:after="0" w:line="1" w:lineRule="exact"/>
        <w:rPr>
          <w:sz w:val="20"/>
          <w:szCs w:val="20"/>
          <w:color w:val="auto"/>
        </w:rPr>
      </w:pPr>
    </w:p>
    <w:p>
      <w:pPr>
        <w:jc w:val="both"/>
        <w:ind w:left="60" w:right="59" w:hanging="10"/>
        <w:spacing w:after="0" w:line="251" w:lineRule="auto"/>
        <w:tabs>
          <w:tab w:leader="none" w:pos="2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Apparel Group (“G-III”), an industry-leading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the Company has recognized $3.56 million and $4.44 million of deferred revenue contract liabilities on its consolidated balance sheet as of December 31, 2024 and 2023, respectively. As of December 31, 2023, approximately $0.89 million of the contract liability balance was classified as a current liability and approximately $3.55 million was classified as a long-term liability. As of December 31, 2024, approximately $0.89 million of the contract liability balance was classified as a current liability and approximately $2.67 million was classified as a long-term liability; the balance of the deferred revenue contract liabilities will be recognized ratably as revenue over the next 4.0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recognized from the Halston Master License was $2.54 million and $1.60 million for the Current Year and Prior Year, respectively, representing approximately 31% and 9% of the Company’s total net revenue,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JTV / America’s Collectibles Network,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a license agreement with America’s Collectibles Network, Inc. (d/b/a JTV) (“JTV”) that obligates JTV to pay the Company royalties based on product sales of Judith Ripka Brand merchandise. In addition, the Company has outstanding receivables from prior product sales of fine jewelry made to JTV. As of December 31, 2024 and 2023, the Company had receivables from JTV of $1.06 million and $1.37 million, respectively, representing approximately 45% and 40% of the Company’s total net accounts receivable,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0" w:type="dxa"/>
            <w:vAlign w:val="bottom"/>
          </w:tcPr>
          <w:p>
            <w:pPr>
              <w:spacing w:after="0"/>
              <w:rPr>
                <w:sz w:val="15"/>
                <w:szCs w:val="15"/>
                <w:color w:val="auto"/>
              </w:rPr>
            </w:pP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debt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other reductions to carrying value</w:t>
            </w: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0"/>
        </w:trPr>
        <w:tc>
          <w:tcPr>
            <w:tcW w:w="64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16"/>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9"/>
        </w:trPr>
        <w:tc>
          <w:tcPr>
            <w:tcW w:w="6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Year and Prior Year, the Company incurred interest expense of approximately $0.6 million and $0.1 million, respectively, related to term loan debt. The effective interest rate related to term loan debt was approximately 11.9% and 11.6% for the Current Year and Prior Year,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Previous Term Loan Debt (October 19, 2023 through December 11, 2024)</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October 19, 2023, H Halston IP, LLC (the “Borrower”), a wholly owned indirect subsidiary of Xcel Brands, Inc., entered into a term loan agreement with Israel Discount Bank of New York (“IDB”). Pursuant to this loan agreement, IDB made a term loan to the Company in the aggregate amount of $5.0 million. The proceeds of this term loan were used to pay fees, costs, and expenses incurred in connection with entering into the loan agreement, and may be used for working capital purposes. Such costs incurred in connection with the borrowing included a commitment fee paid to IDB, plus various legal and other fees. These fees and costs totaling $0.30 million were deferred on the Company’s balance sheet as a reduction of the carrying value of the term loan debt, and were being amortized to interest expense over the term of the debt using the effective interest method.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October 2023 loan agreement, the Borrower and H Licensing, LLC (“H Licensing”), a wholly owned subsidiary of Xcel, entered into a security agreement (the “Security Agreement”) in favor of IDB, and Xcel entered into a Membership Interest Pledge Agreement (the “Pledge Agreement”) in favor of IDB. Pursuant to the Security Agreement, the Borrower and H Licensing granted to IDB a security interest in substantially all of their respective assets, other than the trademarks owned by the Borrower and H Licensing, to secure the Borrower’s obligations under the October 2023 loan agreement. Pursuant to the Pledge Agreement, Xcel granted to IDB a security interest in its membership interests in H Licensing to secure the Borrower’s obligations under the October 2023 loan agreement.</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term loan was to mature on October 19, 2028. Principal on the term loan was payable in quarterly installments of $250,000 on each of January 2, April 1, July 1, and October 1 of each year, commencing on April 1, 2024. The Borrower had the right to prepay all or any portion of the term loan at any time without penalty.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the October 2023 term loan accrued at “Term SOFR” (as defined in the loan agreement as the forward-looking term rate based on secured overnight financing rate as administered by the Federal Reserve Bank of New York for an interest period equal to one month on the day that is two U.S. Government Securities Business Days prior to the first day of each calendar month) plus 4.25% per annum. Interest on the term loan was payable on the first day of each calendar month.</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October 2023 term loan agreement contained customary covenants, including reporting requirements, trademark preservation, and certain financial covenants including annual guaranteed minimum royalty ratio, annual fixed charge coverage ratio, and minimum cash balance levels, all as specified and defined in the loan agreement. The Company was in compliance with all applicable covenants under the loan agreement as of and for all periods presented in the financial statements.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on October 19, 2023, the Borrower also entered into a swap agreement with IDB, pursuant to which IDB agreed to pay the Borrower Term SOFR plus 4.25% per annum on the notional amount of the swap in exchange for the Borrower paying IDB 9.46% per annum on such notional amount. The term and declining notional amount of the swap agreement was aligned with the amortization of the October 2023 term loan principal amount.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Term Loan Debt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and certain of its subsidiaries entered into a new loan and security agreement with FEAC Agent, LLC, as administrative agent and collateral agent, FEF Distributors, LLC, as lead arranger, and Restore Capital, LLC,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which will be made upon the satisfaction of a condition precedent described in the loan agreement. The proceeds from Term Loan A and Term Loan B were used to repay the remaining balance of the Company’s October 2023 term loan with IDB, as well as to pay fees, costs, and expenses incurred in connection with entering into the new loan agreement, and the balance may be used for working capital purposes. The proceeds from the Delayed Draw Term Loan will be deposited in a bank account to satisfy a liquidity covenant in the loan agreement.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Principal amounts on Term Loans are payable on a pro rata basis in quarterly installments of $250,000 on each of March 31, June 30, September 30, and December 31 of each year, commencing on March 31, 2026, with the unpaid balance due at the maturity date of December 12, 2028.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aggregate future principal payments under the Term Loans are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Term Loans accrues at an annual rate equal to the secured overnight financing rate as administered by the Federal Reserve Bank of New York for an interest period equal to three months, subject to a 2.0% floor, plus (i) 8.5% for Term Loan A and Delayed Draw Term Loan and (ii) 13.5% for Term Loan B. Interest on amounts outstanding under the Term Loans accrues daily and is payable at the end of each calendar month.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2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the Terms Loans, the Company incurred loan origination fees, plus various legal and other fees. These fees and costs totaling $0.92 million were deferred on the Company’s balance sheet as a reduction of the carrying value of the term loan debt.</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Also in connection with entering into the Terms Loans, the Company issued warrants to the lenders to purchase an aggregate of 145,664 shares of the Company’s common stock. These warrants have an exercise price of $6.32 per share, are immediately exercisable, and expire on December 12, 2034. In accordance with applicable GAAP, the Company allocated the value of the total proceeds of $10.0 million between the term loan debt and the warrants, based on the relative fair values of each. The fair value of the term loan debt was determined using a net present value calculation, while the fair value of the warrants was determined using a Black-Scholes option pricing model. As a result, the Company recognized a $0.48 million increase to stockholders’ equity as additional paid-in capital for the allocated fair value of the warrants, and an offsetting decrease to the net carrying value of the term loan debt.</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reductions to the carrying value of the term loan debt totaling $1.40 million are being amortized to interest expense over the term of the debt using the effective interest method.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loan agreement also requires that the Company pay an exit fee of $175,000 for the ratable benefit of the Term Loan A lenders and an exit fee of $375,000 for the ratable benefit of the Term Loan B lenders upon the maturity or full payment of the Term Loans. The Company is accruing the cost of these exit fees over the term of the related debt.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 Loans are guaranteed by certain direct and indirect subsidiaries of the Company, and are secured by all of the asset of the Company and such subsidiaries. The loan agreement contains various customary financial covenants and reporting requirements, as specified and defined in the loan agreement. The Company was in compliance with all applicable covenants under the loan agreement as of and for all periods presented in the financial statements.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the debt refinancing transaction on December 12, 2024 as described above, the Company recognized a loss on extinguishment of debt of approximately $0.3 million (primarily comprised of the write-off of $0.2 million of remaining unamortized deferred finance costs related to the October 2023 IDB term loan debt, and $0.1 million paid to exit the interest rate swap agreement with IDB) during the Current Year.</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subsequently refinanced its term loan debt again in April 2025; see Note 12 for additional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authority to issue up to 51,000,000 shares, consisting of 50,000,000 shares of common stock and 1,000,000 shares of preferred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and Private Placement Transactions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March 15, 2024, the Company entered into an underwriting agreement with Craig-Hallum Capital Group LLC (the “Representative”), as the representative of the underwriters, relating to a firm commitment underwritten public offering (the “Offering”) of 328,427 shares of the Company’s common stock at a price to the public of $6.50 per share.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Offering occurred on March 19, 2024. The net proceeds to the Company from the sale of the shares, after deducting the underwriting discounts and commissions and other estimated offering expenses payable by the Company, were approximately $1.7 million.</w:t>
      </w:r>
    </w:p>
    <w:p>
      <w:pPr>
        <w:spacing w:after="0" w:line="1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Upon closing of the Offering, the Company issued the Representative certain warrants to purchase up to 18,293 shares of common stock (the “Representative’s Warrants”) as compensation, which amount was offset against the proceeds received.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Representative’s Warrants became exercisable on September 15, 2024 (180 days after the closing), and have an exercise price of $8.13.</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 13,258, and 2,946 shares, respectively (collectively, the “Private Placement Shares”), at a price of $9.80 per Private Placement Share. The total number of Private Placement Shares purchased was 29,462. Net proceeds after payment of agent fees to the Representative were approximately $0.3 million. The purchase of the Private Placement Shares closed concurrently with the Offering.</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from the Offering and the Private Placement was 357,889 shares and the total net proceeds received was approximately $1.9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expense recognized for all forms of stock-based compensation was approximately $0.47 million and $0.22 million in the Current Year and Prior Year, respectively.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Current Year expense amount, approximately $0.23 million related to employees and approximately $0.24 million related to directors and consultants; all of this expense was recorded as a direct operating cost in the accompanying statement of operations. Of the Prior Year expense amount, approximately $0.02 million related to employees and approximately $0.20 million related to directors and consultants; all of this expense was recorded as a direct operating cost in the accompanying statement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Options granted under the Company’s equity incentive plans expire at various times – generally either five or ten years from the date of grant, depending on the particular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Current Year is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2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 and expected to vest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97,392</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27.22</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option grants were as follows: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April 3, 2024, the Company granted options to purchase an aggregate of 10,000 shares of common stock to non-management directors. The exercise price of the options is $8.50 per share, and 50% of the options vest on each of April 3, 2025 and April 3,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option grants were as follows: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April 2023, the Company granted options to purchase an aggregate of 10,000 shares of common stock to a key individual. The exercise price of the options is $15.00 per share, and the vesting of such options is dependent upon the achievement of certain revenue targets. None of these options were vested as of December 31, 2023.</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August 23, 2023, the Company granted options to purchase an aggregate of 10,000 shares of common stock to non-management directors. The exercise price of the options is $15.10 per share; 50% of the options vested on April 1, 2024 and the remaining 50% vests April 1, 2025.</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were estimated at the respective dates of grant using the Black-Scholes option pricing model with the following range of assumptions: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18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67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(Term, in years)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10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4.46 %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 4.7 %</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Year and Prior Year was approximately $0.08 million and $0.09 million, respectively. Total unrecognized compensation expense related to unvested stock options (excluding stock options with performance-based vesting) at December 31, 2024 amounts to approximately $0.04 million and is expected to be recognized over a weighted average period of 0.94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total stock options outstanding at December 31, 2024, the vesting of 350,000 options is contingent upon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common stock achieving certain target prices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Number of Options Vesting</w:t>
            </w:r>
          </w:p>
        </w:tc>
      </w:tr>
      <w:tr>
        <w:trPr>
          <w:trHeight w:val="209"/>
        </w:trPr>
        <w:tc>
          <w:tcPr>
            <w:tcW w:w="5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r>
      <w:tr>
        <w:trPr>
          <w:trHeight w:val="216"/>
        </w:trPr>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70,000</w:t>
            </w:r>
          </w:p>
        </w:tc>
      </w:tr>
      <w:tr>
        <w:trPr>
          <w:trHeight w:val="216"/>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55,000</w:t>
            </w:r>
          </w:p>
        </w:tc>
      </w:tr>
      <w:tr>
        <w:trPr>
          <w:trHeight w:val="216"/>
        </w:trPr>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34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2024, none of these 350,000 performance-based stock options have vested, and no compensation expense has been recorded related to such options.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Year: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Canceled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Year is as follows: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60" w:type="dxa"/>
            <w:vAlign w:val="bottom"/>
          </w:tcPr>
          <w:p>
            <w:pPr>
              <w:spacing w:after="0"/>
              <w:rPr>
                <w:sz w:val="24"/>
                <w:szCs w:val="24"/>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(28,770)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award grants were as follows: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12, 2024, the Company issued 7,800 shares of common stock to a consultant, which vested immediately.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3, 2024, the Company issued an aggregate of 4,000 shares of common stock to non-management directors, of which 50% vests on each of April 3, 2025 and April 3, 2026.</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amendments to the employment agreements dated February 27, 2019 with each of Robert W. D’Loren, its Chairman of the Board, Chief Executive Officer and President, and Seth Burroughs, its Executive Vice President of Business Development. Pursuant to each amendment, the Company agreed with the respective executive officer that commencing July 16, 2024 and ending December 31, 2025, the executive officer shall accept and the Company shall pay for each month 40% of such executive officer’s pro rata portion of Base Salary (as defined in the respective employment agreement) for each such month through the issuance of shares of the Company’s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shares of common stock are issued on the last day of each month, and the number of shares issuable for a month to Mr. D’Loren and Mr. Burroughs is determined by dividing 40% of executive officer’s pro-rated Base Salary for such month by the closing sale price of the Company’s common stock on the last trading day of such month. Each of Mr. D’Loren and Mr. Burroughs are permitted to pay the withholding tax through the exchange of a portion of the shares. As a result of these amendments, the Company issued an aggregate of 17,502 shares of common stock (net of shares exchanged for withholding taxes) to executives for the Current Year.</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August 2, 2024, the Company issued 1,468 shares of common stock to a member of management, which vested immediately.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award grants were as follows: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 2023, the Company issued 833 shares of common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17, 2023, the Company issued 833 shares of common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15, 2023, the Company issued 5,000 shares of common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20, 2023, the Company issued 730 shares of common stock to an employee, which vested immediately.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August 23, 2023, the Company issued an aggregate of 4,000 shares of common stock to non-management directors, of which 50% vests on each of April 1, 2024 and April 1, 2025.</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 awards for the Current Year and Prior Year (inclusive of the amounts detailed above) was approximately $0.39 million and $0.12 million, respectively. Total unrecognized compensation expense related to unvested restricted stock grants at December 31, 2024 amounts to $0.03 million and is expected to be recognized over a weighted average period of 0.95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restricted stock purchased and retired by the Company during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w:t>
      </w:r>
    </w:p>
    <w:tbl>
      <w:tblPr>
        <w:tblLayout w:type="fixed"/>
        <w:tblInd w:w="40" w:type="dxa"/>
        <w:tblCellMar>
          <w:top w:w="0" w:type="dxa"/>
          <w:left w:w="0" w:type="dxa"/>
          <w:bottom w:w="0" w:type="dxa"/>
          <w:right w:w="0" w:type="dxa"/>
        </w:tblCellMar>
      </w:tblPr>
      <w:tr>
        <w:trPr>
          <w:trHeight w:val="146"/>
        </w:trPr>
        <w:tc>
          <w:tcPr>
            <w:tcW w:w="2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Re-Purchased</w:t>
            </w:r>
          </w:p>
        </w:tc>
        <w:tc>
          <w:tcPr>
            <w:tcW w:w="0" w:type="dxa"/>
            <w:vAlign w:val="bottom"/>
          </w:tcPr>
          <w:p>
            <w:pPr>
              <w:spacing w:after="0"/>
              <w:rPr>
                <w:sz w:val="1"/>
                <w:szCs w:val="1"/>
                <w:color w:val="auto"/>
              </w:rPr>
            </w:pPr>
          </w:p>
        </w:tc>
      </w:tr>
      <w:tr>
        <w:trPr>
          <w:trHeight w:val="173"/>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2024 (i)</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0" w:type="dxa"/>
            <w:vAlign w:val="bottom"/>
          </w:tcPr>
          <w:p>
            <w:pPr>
              <w:spacing w:after="0"/>
              <w:rPr>
                <w:sz w:val="1"/>
                <w:szCs w:val="1"/>
                <w:color w:val="auto"/>
              </w:rPr>
            </w:pPr>
          </w:p>
        </w:tc>
      </w:tr>
      <w:tr>
        <w:trPr>
          <w:trHeight w:val="216"/>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31, 2024 (i)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 (i)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October 31, 2024(i)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31, 2024 (i)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2024 (i)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380" w:right="79" w:hanging="330"/>
        <w:spacing w:after="0" w:line="266"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in connection with the income tax withholding obligations on behalf of such employees from the receipt of stock awards. The 2011 Plan and 2021 Plan allow for award holders to surrender vested shares to cover withholding tax liabilities.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did not repurchase any shares of common stock during the year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restricted stock units outstanding as of December 31, 2024 and 2023, and no restricted stock units have been issued since the inception of the 2021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December 31, 2024, there were 1,016,306 shares of common stock reserved for issuance, including 423,392 shares reserved pursuant to unexercised stock options previously granted under the 2011 Plan, 49,000 shares reserved pursuant to unexercised stock options granted under the 2021 Plan, and 279,957 shares available for issuance (future award grants) under the 2021 Plan. Also included in the aforementioned total shares reserved for issuance were 263,957 shares reserved pursuant to unexercised warrants issued through various corporate transactions, as described further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Warrants granted by the Company expire at various times – generally either five or ten years from the date of grant, depending on the particular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 activity for the Current Year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2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163,957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Warrants issued during the Current Year include (i) warrants to purchase up to 18,293 shares of common stock issued in connection with the March 19, 2024 Offering (see “Public Offering and Private Placement Transactions” above) and (ii) warrants to purchase up to 145,664 shares of common stock issued in connection with the December 12, 2024 debt refinancing transaction (see Note 6). There was no compensation expense recognized during the Current Year related to these warrants.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Prior Year, in connection with the entrance into the Halston Master License (see Note 5), the Company issued to G-</w:t>
      </w:r>
    </w:p>
    <w:p>
      <w:pPr>
        <w:spacing w:after="0" w:line="27" w:lineRule="exact"/>
        <w:rPr>
          <w:sz w:val="20"/>
          <w:szCs w:val="20"/>
          <w:color w:val="auto"/>
        </w:rPr>
      </w:pPr>
    </w:p>
    <w:p>
      <w:pPr>
        <w:jc w:val="both"/>
        <w:ind w:left="60" w:right="59" w:hanging="10"/>
        <w:spacing w:after="0" w:line="252" w:lineRule="auto"/>
        <w:tabs>
          <w:tab w:leader="none" w:pos="2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ten-year warrant to purchase up to 100,000 shares of the Company’s common stock at an exercise price of $15.00 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The amount of contra-revenue recorded related to this warrant during the Current Year and Prior Year was approximately $0.04 million and $0.03 million, respectively. As of December 31, 2024, no portion of this warrant had vested.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 and denominator of the basic and diluted net loss per share computations for the years ended December 31, 2024 and 2023:</w:t>
      </w:r>
    </w:p>
    <w:p>
      <w:pPr>
        <w:spacing w:after="0" w:line="16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5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 (in thousands)</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(22,395)</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2,275,332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warrants</w:t>
            </w:r>
          </w:p>
        </w:tc>
        <w:tc>
          <w:tcPr>
            <w:tcW w:w="38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Effect of stock options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2,275,332</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result of the net loss presented for the Current Year and Prior Year, the Company calculated diluted loss per share using basic weighted-average shares outstanding for both years, as utilizing diluted shares would be anti-dilutive to loss per share.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loss per share excludes the common stock equivalents of the following potentially dilutive securities because their inclusion would be anti-dilutive:</w:t>
      </w:r>
    </w:p>
    <w:p>
      <w:pPr>
        <w:spacing w:after="0" w:line="16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55"/>
        </w:trPr>
        <w:tc>
          <w:tcPr>
            <w:tcW w:w="566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472,392</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514,854</w:t>
            </w: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263,957</w:t>
            </w:r>
          </w:p>
        </w:tc>
        <w:tc>
          <w:tcPr>
            <w:tcW w:w="2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111,606</w:t>
            </w: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736,349</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626,460</w:t>
            </w:r>
          </w:p>
        </w:tc>
      </w:tr>
      <w:tr>
        <w:trPr>
          <w:trHeight w:val="20"/>
        </w:trPr>
        <w:tc>
          <w:tcPr>
            <w:tcW w:w="5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is party to operating leases for real estate, and for certain equipment and storage space with a term of 12 months or less. The Company is currently not a party to any finance leases. As of December 31, 2024, the Company’s real estate leases have a weighted-average remaining lease term of approximately 4.68 years, and the lease liabilities are measured using a weighted-average discount rate of 7.85%.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1333 Broadway Lease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approximately 29,600 square feet of office space at 1333 Broadway, 10th floor, New York, New York, which commenced on March 1, 2016 and expires on October 30, 2027. The average annual fixed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rent over the term of this lease is approximately $1.3 million per year, and the lease requires the Company to pay additional rents related to increases in certain taxes and other costs on the property.</w:t>
      </w:r>
    </w:p>
    <w:p>
      <w:pPr>
        <w:spacing w:after="0" w:line="162"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On January 26, 2024, the Company (as sublessor) entered into an agreement for the sublease of the offices located at 1333 Broadway to a third-party subtenant through October 30, 2027. The average annual fixed rent over the term of the sublease is approximately $0.8 million per year. As a result of entering into the sublease, the Company recognized non-cash impairment charges of approximately $3.1 million during the Current Year related to the right-of-use asset. Also in connection with entering into the sublease, the Company recognized a non-cash impairment charge of approximately $0.4 million during the Current Year related to leasehold improvement assets at this location.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this lease had a remaining lease term of approximately 2.83 years.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550 Seventh Avenue Lease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February 29, 2024, the Company entered into an operating lease for new corporate offices located at 550 Seventh Avenue, 11th floor, New York, New York. This lease commenced in April 2024 and expires in April 2031. The average annual lease cost over the term of this lease is approximately $0.5 million per year.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commencement of the lease during the Current Year, the Company recognized a right-of-use asset and corresponding lease liability related to this lease of approximately $2.6 million; the discount rate used for the measurement of this right-of-use asset and lease liability was based on the Company’s incremental borrowing rate of 9.60%.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this lease had a remaining minimum lease term of approximately 7.33 years.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Westchester Lease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previously leased approximately 1,300 square feet of retail space for its former retail store location in Westchester, New York, which was closed in 2022. In the Prior Year, the Company successfully negotiated a settlement with the lessor resulting in the termination of this lease, and recognized a gain related to the settlement of $0.4 million within other operating costs and expenses (income) in the consolidated statement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Lease Information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total lease expense included in selling, general and administrative expenses on the Company's consolidated statements of operations was approximately $0.9 million and $1.6 million, respectively, and was comprised of the following: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$1.6 million in each of the Current Year and Prior Year. Cash received from subleasing in the Current Year was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20" w:type="dxa"/>
            <w:vAlign w:val="bottom"/>
            <w:gridSpan w:val="2"/>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9"/>
              </w:rPr>
              <w:t>XCEL BRANDS, INC. AND SUBSIDIARIES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20" w:type="dxa"/>
            <w:vAlign w:val="bottom"/>
            <w:gridSpan w:val="2"/>
          </w:tcPr>
          <w:p>
            <w:pPr>
              <w:jc w:val="center"/>
              <w:ind w:left="1011"/>
              <w:spacing w:after="0"/>
              <w:rPr>
                <w:sz w:val="20"/>
                <w:szCs w:val="20"/>
                <w:color w:val="auto"/>
              </w:rPr>
            </w:pPr>
            <w:r>
              <w:rPr>
                <w:rFonts w:ascii="Times New Roman" w:cs="Times New Roman" w:eastAsia="Times New Roman" w:hAnsi="Times New Roman"/>
                <w:sz w:val="18"/>
                <w:szCs w:val="18"/>
                <w:b w:val="1"/>
                <w:bCs w:val="1"/>
                <w:color w:val="auto"/>
              </w:rPr>
              <w:t>December 31, 2024 and 2023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2024, the maturities of lease liabilities were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24"/>
                <w:szCs w:val="24"/>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7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employment contracts with certain executives. The total future minimum payments due under these contracts for the remainder of their current terms is $2.14 million, which will be paid during the year ending December 31, 2025.</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the Company’s employment contracts with certain executives contain performance-based bonus provisions, which include bonuses based on the Company achieving revenues in excess of established targets and/or on operating results.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of the employment agreements contain severance and/or change in control provisions. Aggregate potential severance compensation amounted to approximately $2.84 million as of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the Company had agreed to pay the seller additional cash consideration (the “Lori Goldstein Earn-Out”)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 in accordance with the guidance in ASC Subtopic 805-50.</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based on the performance of the Lori Goldstein brand to date, approximately $0.2 million of additional consideration was earned by the seller, and this $0.2 million of additional consideration was paid to the seller during 2023. Based on the performance of the Lori Goldstein brand through December 31, 2023, approximately $1.0 million of incremental additional consideration was earned by the seller, which would have been paid out in 2024.</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paid approximately $0.3 million of the $1.0 million earned. As a result of the June 30, 2024 divestiture of the Lori Goldstein brand (as described in Note 3), the seller waived their rights with respect to the Lori Goldstein Earn-Out amounts that had been previously earned and had not yet been paid, and terminated their rights to any future payments under the Lori Goldstein Earn-Out. As a result, the Company de-recognized approximately $1.03 million of accrued Lori Goldstein Earn-Out payments and the remaining balance of approximately $5.05 million of contingent obligations recorded on the Company’s balance sheet. As of December 31, 2024, there are no liability amounts remaining on the Company’s consolidated balance sheet related to the Lori Goldstein Earn-Out.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the Company agreed with WHP that, in the event that IM Topco receives less than $13.3 million in aggregate royalties for any four consecutive calendar quarters over a three-year period ending on May 31, 2025, WHP would be entitled to receive from Xcel up to $16 million, less all amounts of net cash flow distributed to WHP on an accumulated basis, as an adjustment to the purchase price previously paid by WHP. Such amount would be payable by the Company in either cash or equity interests in IM Topco held by the Company.</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this agreement was amended such that the purchase price adjustment provision was waived until the measurement period ending March 31, 2024.</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12, 2024, this agreement was further amended such that the purchase price adjustment provision within the membership purchase agreement was waived until the measurement period ending September 30, 2025. This amendment also provided that if (i) IM Topco royalties are less than $13.5 million for the twelve-month period ending March 31, 2025 or (ii) IM Topco royalties are less than $18.0 million for the year ending December 31, 2025 or (iii) Xcel fails to make certain payments to IM Topco under the terms of the license agreement between Xcel and IM Topco (see Note 11) on or before January 30, 2025, then Xcel shall transfer equity interests in IM Topco to WHP equal to 12.5% of the total outstanding equity interests of IM Topco, such that Xcel’s ownership interest in IM Topco would decrease from 30% to 17.5%, and WHP’s ownership interest in IM Topco would increase from 70% to 82.5%.</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Prior to the Current Year, no amount was recorded on the Company’s consolidated balance sheets related to this contingent obligation.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Current Year, management concluded that, based on current trends in and projections of IM Topco’s royalty revenues as well as the Company’s decision to not make the remaining royalty payments to IM Topco, it was virtually certain that the Company would be required to make such transfer of equity interests to WHP in 2025. As such, the Company estimated and recorded a contingent obligation of $4.21 million in the accompanying consolidated balance sheets, and recognized a corresponding non-cash charge in the consolidated statements of operations for the Current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the opinion of management, based on consultations with legal counsel, the disposition of litigation pending against the Company as of December 31, 2024 is unlikely to have, individually or in the aggregate, a materially adverse effect on the Company’s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provision for income taxes in the consolidated statements of operations consists of the following:</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 in thousands)</w:t>
            </w: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0" w:type="dxa"/>
            <w:vAlign w:val="bottom"/>
          </w:tcPr>
          <w:p>
            <w:pPr>
              <w:spacing w:after="0"/>
              <w:rPr>
                <w:sz w:val="1"/>
                <w:szCs w:val="1"/>
                <w:color w:val="auto"/>
              </w:rPr>
            </w:pPr>
          </w:p>
        </w:tc>
      </w:tr>
      <w:tr>
        <w:trPr>
          <w:trHeight w:val="155"/>
        </w:trPr>
        <w:tc>
          <w:tcPr>
            <w:tcW w:w="6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56"/>
        </w:trPr>
        <w:tc>
          <w:tcPr>
            <w:tcW w:w="66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Current:</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Federal</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0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State and local</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current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220</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56"/>
        </w:trPr>
        <w:tc>
          <w:tcPr>
            <w:tcW w:w="6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Deferred: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Federal</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727</w:t>
            </w:r>
          </w:p>
        </w:tc>
        <w:tc>
          <w:tcPr>
            <w:tcW w:w="0" w:type="dxa"/>
            <w:vAlign w:val="bottom"/>
          </w:tcPr>
          <w:p>
            <w:pPr>
              <w:spacing w:after="0"/>
              <w:rPr>
                <w:sz w:val="1"/>
                <w:szCs w:val="1"/>
                <w:color w:val="auto"/>
              </w:rPr>
            </w:pPr>
          </w:p>
        </w:tc>
      </w:tr>
      <w:tr>
        <w:trPr>
          <w:trHeight w:val="162"/>
        </w:trPr>
        <w:tc>
          <w:tcPr>
            <w:tcW w:w="68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State and local</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rPr>
                <w:sz w:val="1"/>
                <w:szCs w:val="1"/>
                <w:color w:val="auto"/>
              </w:rPr>
            </w:pPr>
          </w:p>
        </w:tc>
      </w:tr>
      <w:tr>
        <w:trPr>
          <w:trHeight w:val="155"/>
        </w:trPr>
        <w:tc>
          <w:tcPr>
            <w:tcW w:w="682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deferred</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1,107</w:t>
            </w:r>
          </w:p>
        </w:tc>
        <w:tc>
          <w:tcPr>
            <w:tcW w:w="0" w:type="dxa"/>
            <w:vAlign w:val="bottom"/>
          </w:tcPr>
          <w:p>
            <w:pPr>
              <w:spacing w:after="0"/>
              <w:rPr>
                <w:sz w:val="1"/>
                <w:szCs w:val="1"/>
                <w:color w:val="auto"/>
              </w:rPr>
            </w:pPr>
          </w:p>
        </w:tc>
      </w:tr>
      <w:tr>
        <w:trPr>
          <w:trHeight w:val="156"/>
        </w:trPr>
        <w:tc>
          <w:tcPr>
            <w:tcW w:w="66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provision</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220</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1,212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tax rate reflected in the income tax provision shown in the consolidated statements of operations is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900" w:type="dxa"/>
            <w:vAlign w:val="bottom"/>
          </w:tcPr>
          <w:p>
            <w:pPr>
              <w:spacing w:after="0"/>
              <w:rPr>
                <w:sz w:val="15"/>
                <w:szCs w:val="15"/>
                <w:color w:val="auto"/>
              </w:rPr>
            </w:pPr>
          </w:p>
        </w:tc>
        <w:tc>
          <w:tcPr>
            <w:tcW w:w="2000" w:type="dxa"/>
            <w:vAlign w:val="bottom"/>
            <w:gridSpan w:val="5"/>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r>
      <w:tr>
        <w:trPr>
          <w:trHeight w:val="155"/>
        </w:trPr>
        <w:tc>
          <w:tcPr>
            <w:tcW w:w="690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56"/>
        </w:trPr>
        <w:tc>
          <w:tcPr>
            <w:tcW w:w="69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U.S. statutory federal rate</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21.00</w:t>
            </w:r>
          </w:p>
        </w:tc>
        <w:tc>
          <w:tcPr>
            <w:tcW w:w="200" w:type="dxa"/>
            <w:vAlign w:val="bottom"/>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21.00</w:t>
            </w:r>
          </w:p>
        </w:tc>
        <w:tc>
          <w:tcPr>
            <w:tcW w:w="1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r>
      <w:tr>
        <w:trPr>
          <w:trHeight w:val="162"/>
        </w:trPr>
        <w:tc>
          <w:tcPr>
            <w:tcW w:w="69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State and local rate, net of federal tax benefit</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7.34</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 compensation</w:t>
            </w:r>
          </w:p>
        </w:tc>
        <w:tc>
          <w:tcPr>
            <w:tcW w:w="1040" w:type="dxa"/>
            <w:vAlign w:val="bottom"/>
            <w:gridSpan w:val="2"/>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8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(0.14)</w:t>
            </w:r>
          </w:p>
        </w:tc>
        <w:tc>
          <w:tcPr>
            <w:tcW w:w="100" w:type="dxa"/>
            <w:vAlign w:val="bottom"/>
            <w:shd w:val="clear" w:color="auto" w:fill="CCEEFF"/>
          </w:tcPr>
          <w:p>
            <w:pPr>
              <w:spacing w:after="0"/>
              <w:rPr>
                <w:sz w:val="14"/>
                <w:szCs w:val="14"/>
                <w:color w:val="auto"/>
              </w:rPr>
            </w:pPr>
          </w:p>
        </w:tc>
      </w:tr>
      <w:tr>
        <w:trPr>
          <w:trHeight w:val="162"/>
        </w:trPr>
        <w:tc>
          <w:tcPr>
            <w:tcW w:w="69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Excess compensation deduction</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(0.27)</w:t>
            </w:r>
          </w:p>
        </w:tc>
        <w:tc>
          <w:tcPr>
            <w:tcW w:w="100" w:type="dxa"/>
            <w:vAlign w:val="bottom"/>
          </w:tcPr>
          <w:p>
            <w:pPr>
              <w:spacing w:after="0"/>
              <w:rPr>
                <w:sz w:val="14"/>
                <w:szCs w:val="14"/>
                <w:color w:val="auto"/>
              </w:rPr>
            </w:pPr>
          </w:p>
        </w:tc>
      </w:tr>
      <w:tr>
        <w:trPr>
          <w:trHeight w:val="162"/>
        </w:trPr>
        <w:tc>
          <w:tcPr>
            <w:tcW w:w="6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Federal true-ups</w:t>
            </w:r>
          </w:p>
        </w:tc>
        <w:tc>
          <w:tcPr>
            <w:tcW w:w="1040" w:type="dxa"/>
            <w:vAlign w:val="bottom"/>
            <w:gridSpan w:val="2"/>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(0.61)</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Life insurance</w:t>
            </w:r>
          </w:p>
        </w:tc>
        <w:tc>
          <w:tcPr>
            <w:tcW w:w="104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(0.10)</w:t>
            </w:r>
          </w:p>
        </w:tc>
        <w:tc>
          <w:tcPr>
            <w:tcW w:w="8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(0.12)</w:t>
            </w:r>
          </w:p>
        </w:tc>
        <w:tc>
          <w:tcPr>
            <w:tcW w:w="100" w:type="dxa"/>
            <w:vAlign w:val="bottom"/>
          </w:tcPr>
          <w:p>
            <w:pPr>
              <w:spacing w:after="0"/>
              <w:rPr>
                <w:sz w:val="14"/>
                <w:szCs w:val="14"/>
                <w:color w:val="auto"/>
              </w:rPr>
            </w:pPr>
          </w:p>
        </w:tc>
      </w:tr>
      <w:tr>
        <w:trPr>
          <w:trHeight w:val="162"/>
        </w:trPr>
        <w:tc>
          <w:tcPr>
            <w:tcW w:w="69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Change in valuation allowance</w:t>
            </w:r>
          </w:p>
        </w:tc>
        <w:tc>
          <w:tcPr>
            <w:tcW w:w="1040" w:type="dxa"/>
            <w:vAlign w:val="bottom"/>
            <w:gridSpan w:val="2"/>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(28.60)</w:t>
            </w:r>
          </w:p>
        </w:tc>
        <w:tc>
          <w:tcPr>
            <w:tcW w:w="8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(33.16)</w:t>
            </w:r>
          </w:p>
        </w:tc>
        <w:tc>
          <w:tcPr>
            <w:tcW w:w="100" w:type="dxa"/>
            <w:vAlign w:val="bottom"/>
            <w:shd w:val="clear" w:color="auto" w:fill="CCEEFF"/>
          </w:tcPr>
          <w:p>
            <w:pPr>
              <w:spacing w:after="0"/>
              <w:rPr>
                <w:sz w:val="14"/>
                <w:szCs w:val="14"/>
                <w:color w:val="auto"/>
              </w:rPr>
            </w:pPr>
          </w:p>
        </w:tc>
      </w:tr>
      <w:tr>
        <w:trPr>
          <w:trHeight w:val="155"/>
        </w:trPr>
        <w:tc>
          <w:tcPr>
            <w:tcW w:w="69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tax provision</w:t>
            </w: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(0.99)</w:t>
            </w:r>
          </w:p>
        </w:tc>
        <w:tc>
          <w:tcPr>
            <w:tcW w:w="20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(6.15)</w:t>
            </w:r>
          </w:p>
        </w:tc>
        <w:tc>
          <w:tcPr>
            <w:tcW w:w="1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6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significant components of net deferred tax assets (liabilities) of the Company consist of the following:</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 in thousands)</w:t>
            </w:r>
          </w:p>
        </w:tc>
        <w:tc>
          <w:tcPr>
            <w:tcW w:w="200" w:type="dxa"/>
            <w:vAlign w:val="bottom"/>
          </w:tcPr>
          <w:p>
            <w:pPr>
              <w:spacing w:after="0"/>
              <w:rPr>
                <w:sz w:val="15"/>
                <w:szCs w:val="15"/>
                <w:color w:val="auto"/>
              </w:rPr>
            </w:pPr>
          </w:p>
        </w:tc>
        <w:tc>
          <w:tcPr>
            <w:tcW w:w="190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55"/>
        </w:trPr>
        <w:tc>
          <w:tcPr>
            <w:tcW w:w="682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Deferred tax assets</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Federal, state and local net operating loss carryforwards</w:t>
            </w: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12,847</w:t>
            </w:r>
          </w:p>
        </w:tc>
        <w:tc>
          <w:tcPr>
            <w:tcW w:w="20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compensation and other accrued expenses</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Allowance for doubtful accounts</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Basis difference arising from discounted note payable</w:t>
            </w:r>
          </w:p>
        </w:tc>
        <w:tc>
          <w:tcPr>
            <w:tcW w:w="20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Charitable contribution carryover</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Property and equipment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deferred tax assets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14,849</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9,733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Valuation allowance</w:t>
            </w: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(12,881)</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CEEFF"/>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deferred tax assets, net of valuation allowance</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1,968</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Deferred tax liabilities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Basis difference arising from intangible assets of acquisition</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(1,968)</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CEEFF"/>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deferred tax liabilities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(1,968)</w:t>
            </w:r>
          </w:p>
        </w:tc>
        <w:tc>
          <w:tcPr>
            <w:tcW w:w="2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Net deferred tax assets</w:t>
            </w: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approximately $44.4 million and $28.6 million, respectively, of federal net operating loss carryforwards ("NOLs") available to offset future taxable income. The NOL as of December 31, 2017 of $0.3 million has an expiration period through 2037. The NOLs generated during tax years beginning after December 31, 2017 of $44.1 million have an indefinite life and do not expire.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2024 and 2023,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 LLC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described in Note 3, the Company holds a noncontrolling interest in IM Topco, which is accounted for under the equity method of accounting.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the services agreement was amended such that the Company agreed to provide IM Topco with a $600,000 reduction of future service fees over the next eighteen months, beginning on July 1, 2023.</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2024, the services agreement was further amended to set the service fees at $150,000 per year beginning with the fiscal year ending December 31, 2024. In addition, under the April 2024 amendment, IM Topco is required to prepay the service fees for the year ending December 31, 2025; as of December 31, 2024, IM Topco has prepaid $62,500 of such service fees.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recognized service fee income related to this agreement of $150,000 for each of the years ended December 31, 2024 and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 December 31, 2026, and provided guaranteed minimum royalties to IM Topco of $400,000 per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year ended December 31, 2023, the estimated amount of such shortfall was approximately $325,000, which the Company recognized as royalty expense in the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2022 membership purchase agreement, under Xcel agreed to make additional royalty payments to IM Topco totaling $450,000 the following 11 months. As a result of this amendment, the Company recognized a $450,000 increase to the carrying value basis of its equity method investment in IM Topco and a corresponding increase in current liabilities. The Company paid $75,000 of the additional royalty payments to IM Topco during the year ended December 31, 2023, and paid $237,500 during the year ended December 31, 2024. As of December 31, 2024, the remaining payments due totaled $137,500, and are reflected with accounts payable, accrued expenses and other current liabilities in the consolidated balance sheet. As of the date of this Annual Report on Form 10-K, this amount has not been paid to IM Topco.</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and Private Placement Transactions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of 328,427 shares of the Company’s common stock at a price to the public of $6.50 per share which was consummated on March 19, 2024 (see Note 7 for additional details), Robert W. D’Loren, Chairman and Chief Executive Officer of the Company; an affiliate of Mark DiSanto, a director of the Company; and Seth Burroughs, Executive Vice President of Business Development and Treasury of the Company, purchased 14,625, 14,625, and 3,250 shares, respectively, at $6.50 per share, the same price at which the shares were sold to other purchasers in the Offering.</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Also in connection with the Offering, on March 14, 2024, the Company entered into subscription agreements with each of Mr. D’Loren, Mr. DiSanto, and Mr. Burroughs to purchase 13,258, 13,258, and 2,946 shares, respectively (collectively, the “Private Placement Shares”), at a price of $9.80 per Private Placement Share. The total number of Private Placement Shares purchased was 29,462. Net proceeds after payment of agent fees to the Representative were approximately $0.3 million. The purchase of the Private Placement Shares closed concurrently with the Offering.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December 2024 refinancing of the Company’s term loan debt (see Note 6 for additional details), IPX Capital, LLC (“IPX”), a company controlled by Mr. D’Loren, made a $250,000 advance to one of the Company’s subsidiaries, of which $200,000 was repaid to IPX upon the closing of the debt refinancing transaction. Additionally, IPX purchased a 12.5% undivided, last-out, subordinated participation interest in a portion of the new term loan debt for a purchase price of $500,000, and received a pro rata share of warrants received by the Term B Lenders to purchase shares of the Company’s common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October 2024, in connection with a required increase to a standby letter of credit associated with the Company’s real estate lease for offices located at 1333 Broadway (see Note 9), Mr. D’Loren provided a personal guarantee to the financial institution providing such letter of credit, in order to satisfy a portion of the associated collateral requirements for the letter of credit.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4, 2023, the Company acquired a noncontrolling equity ownership interest in ORME, a short-form video and social commerce marketplace, for a purchase price of $150,000. ORME licenses the technology utilized by its marketplace from KonnectBio Inc., in which Robert W. D’Loren, the Company’s Chairman of the Board, Chief Executive Officer, and President, owns an approximate 20%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 Equity Transfer Event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January 31, 2025, in accordance with the terms of the amended membership purchase agreement between Xcel and WHP (see Note 9 for additional details), WHP became contractually entitled to receive from Xcel equity interests in IM Topco equal to 12.5% of the total outstanding equity interests of IM Topco. On April 15, 2025, such equity interests were transferred to WHP.</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Executives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31, 2025, the Company issued an aggregate of 4,582 shares of common stock to executives, in accordance with the terms of the amended employment agreements with Mr. D’Loren and Mr. Burroughs (see Note 7 for details).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February 28, 2025, the Company issued an aggregate of 6,854 shares of common stock to executives, in accordance with the terms of the amended employment agreements with Mr. D’Loren and Mr. Burroughs (see Note 7 for details).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March 31, 2025, the Company issued an aggregate of 6,874 shares of common stock to executives, in accordance with the terms of the amended employment agreements with Mr. D’Loren and Mr. Burroughs (see Note 7 for details).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30, 2025, the Company issued an aggregate of 8,917 shares of common stock to executives, in accordance with the terms of the amended employment agreements with Mr. D’Loren and Mr. Burroughs (see Note 7 for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a special meeting of the Company’s stockholders on March 12, 2025, the stockholders approved a proposal granting the Company’s Board of Directors the discretion to effect a reverse stock split of the Company’s issued and outstanding common stock at a ratio in the range of 1-for-2 to 1-for-10, with such ratio to be determined by the Chairman of the Company’s Board of Directors. Following the special meeting, the Chairman of the Company’s Board of Directors approved a final split ratio of 1-for-10 (the “Reverse Stock Split”).</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Subsequently, the Company filed with the Delaware Secretary of State a Certificate of Amendment to the Company’s Amended and Restated Certificate of Incorporation, which became effective at 5:00 p.m. on March 24, 2025, to effect such Reverse Stock Split. As a result of the Reverse Stock Split, every ten (10) shares (the “Reverse Stock Split Number”) of issued and outstanding Common Stock was automatically combined into one (1) issued and outstanding share of common stock, without any change in the par value per share. No fractional shares were issued as a result of the Reverse Stock Split. Instead, stockholders who otherwise would have been entitled to receive fractional shares were entitled to receive a cash payment (without interest and subject to applicable withholding taxes) in lieu of such fractional shares equal to the fraction of a share of common stock to which such stockholder would otherwise be entitled multiplied by (i) the closing price per share of the common stock on the Nasdaq Capital Market at the close of business on the trading day preceding the date of the Certificate of Amendment, multiplied by (ii) the Reverse Stock Split Number. The aggregate number of fractional shares resulting from the Reverse Stock Split was 1,120 shares of common stock (or 112 shares on a pre-Reverse Stock Split basis); the aggregate cash payments made to stockholders in lieu of fractional shares was less than $1,000. Immediately prior to the Reverse Stock Split there were 23,796,200 shares of common stock outstanding; immediately following the Reverse Stock Split there were 2,379,508 shares of common stock outstanding.</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the Company’s outstanding stock options and warrants were also proportionately adjusted along with corresponding adjustments to their exercise prices.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share and per share amounts presented in these consolidated financial statements and accompanying notes, including but not limited to shares issued and outstanding, earnings/(loss) per share, and warrants and options, as well as the dollar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amounts of common stock and paid-in capital, have been retroactively adjusted for all periods presented in order to reflect this change in capital structure.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April 2025 Debt Refinancing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21, 2025, the Company and its lenders and FEAC Agent, LLC entered into an amendment of the December 12, 2024 loan and security agreement, which provided for $1.5 million repayment of the $3.95 million Term Loan A and an additional Term Loan B in the amount of $5.12 million. The term loans outstanding after giving effect to the April 21, 2025 amendment and the application of the proceeds of the additional Term Loan B are as follows: (1) Term Loan A in the amount of $2.45 million, (2) Term Loan B in the amount of $9.12 million, and (3) Delayed Draw Term Loan in the amount of $2.05 million. The proceeds from the additional Term Loan B were used to repay a portion of Term Loan A, as well as to pay fees, costs, and expenses incurred in connection with entering into the April 21, 2025 amendment, and the balance will be used for working capital purposes.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Within 30 days after April 21, 2025, the outstanding principal amount of the Term Loan A shall be repaid, on a pro rata basis in an aggregate amount equal to $500,000. Principal on the Term Loan A is payable on a pro rata basis in quarterly installments of $250,000 on each of March 31, June 30, September 30, and December 31 of each year, commencing on March 31, 2026, with the unpaid balance due on the maturity date of December 12, 2028. Principal on the Term Loan B is payable on the maturity date of December 12, 2028.</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From and after April 21, 2025, interest on each Term Loan A accrues at an annual rate equal to the secured overnight financing rate as administered by the Federal Reserve Bank of New York for an interest period equal to three months, subject to a 2.0% floor, plus 8.5%. From and after April 21, 2025, interest on each Term Loan B accrues at an annual rate equal to the secured overnight financing rate as administered by the Federal Reserve Bank of New York for an interest period equal to three months, subject to a 2.0% floor, plus 6.5%. From and after April 21, 2025 through March 31, 2027, interest on the Term Loan B will be paid in-kind by being capitalized and added to the principal amount of the Term Loan B at the end of each calendar month.</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 Loans are guaranteed by certain direct and indirect subsidiaries of the Company, and are secured by all of the assets of the Company and such subsidiaries. The April 21, 2025 amendment contains various customary financial covenants and reporting requirements, as specified and defined therein. As of the date of this Annual Report on Form 10-K, the Company is in compliance with all applicable covenants.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this refinancing transaction, UTG Capital, Inc., a Delaware corporation (“UTG”), purchased a 100% undivided, participation interest in Term Loan B for a purchase price of $9.12 million and received warrants entitling it to purchase 1,107,457 warrants shares of the Company. Such warrants are exercisable for a period of seven years from the date of issuance, at specified exercise prices ranging from $6.60 per share to $17.50 per share.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the Company also issued warrants to purchase 30,000 shares of common stock to Restore Capital (EQ-W), LLC (“Restore”), another of the lenders, and amended warrants to purchase an aggregate of 107,333 shares of common stock held by Restore and warrants previously issued to warrants of FEAC Agent, LLC.</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Also in connection with this refinancing transaction, IPX’s participation in Term Loan B was repaid and IPX purchased a $500,000 undivided, last-out, subordinated participation interest in Term Loan A.</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on April 21, 2025, each of Robert D’Loren, Chairman and Chief Executive Officer of the Company, Seth Burroughs, Executive Vice President of the Company, and Mark D. Santo, a director of the Company, entered into a Support Agreement whereby each individual agreed to vote in favor of any proposal to approve the issuance of the shares of common stock issuable upon exercise of the warrants issued to UTG as described above and the other warrants referred to above, in accordance with applicable Nasdaq rules.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disagreements with our auditors which would require disclosure under Item 304(b) of Regulation S-K.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 13a 15(f) and 15d 15(f) of the Securities Exchange Act of 1934, as amended (the “Exchange Act”), as of December 31, 2024. Based on that evaluation, our management concluded that our disclosure controls and procedures were not effective as of December 31, 2024, due to the material weakness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not effective as of December 31, 2024 due to the material weakness set forth below. A material weakness is a deficiency, or a combination of control deficiencies, in internal control over financial reporting such that there is a reasonable possibility that a material misstatement of the Company’s annual or interim financial statements will not be prevented or detected on a timely basis.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basis for the conclusion that such internal control was ineffective principally included consideration of the fact that the Company was unable to file its Annual Report on Form 10-K within the time specified in SEC rules and forms, as management did not maintain appropriately designed entity-level controls impacting Information and Communication and Monitoring, related to a material asset. The Company is dependent on a third party to report financial information related to an investment in an unconsolidated affiliate. The timing of the receipt of information from the third party did not permit adequate time to meet SEC deadlines for the Company’s required filing.</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weaknesses noted above, the Company’s management began to take actions to remediate the identified material weaknesses in internal control over financial reporting during the fiscal year ended December 31, 2025, including increased communication with the aforementioned third party.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We were not required to have, nor have we, engaged the Company’s independent registered public accounting firm to perform an audit of internal control over financial reporting pursuant to the rules of the Securities and Exchange Commission that permit us to provide only management’s report in this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2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6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 and President</w:t>
            </w:r>
          </w:p>
        </w:tc>
      </w:tr>
      <w:tr>
        <w:trPr>
          <w:trHeight w:val="198"/>
        </w:trPr>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James F. Haran</w:t>
            </w:r>
          </w:p>
        </w:tc>
        <w:tc>
          <w:tcPr>
            <w:tcW w:w="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7"/>
                <w:szCs w:val="17"/>
                <w:color w:val="auto"/>
              </w:rPr>
            </w:pPr>
          </w:p>
        </w:tc>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 Assistant Secretary, and Principal Financial and</w:t>
            </w:r>
          </w:p>
        </w:tc>
      </w:tr>
      <w:tr>
        <w:trPr>
          <w:trHeight w:val="234"/>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of Business Development and Treasury and Secretary</w:t>
            </w:r>
          </w:p>
        </w:tc>
      </w:tr>
      <w:tr>
        <w:trPr>
          <w:trHeight w:val="21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the biographies of each of our officers and directors as of December 31, 2024.</w:t>
      </w:r>
    </w:p>
    <w:p>
      <w:pPr>
        <w:spacing w:after="0" w:line="22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been the Chairman of our Board and our Chief Executive Officer and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2011. Mr. D’Loren has been an entrepreneur, innovator, and pioneer of the consumer branded products industry for over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responsible for over $2 billion of transactions. Mr. D’Loren has also served as an asset manager for Fosterlane Management, as well as a manager with Deloitte.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 Haran </w:t>
      </w:r>
      <w:r>
        <w:rPr>
          <w:rFonts w:ascii="Times New Roman" w:cs="Times New Roman" w:eastAsia="Times New Roman" w:hAnsi="Times New Roman"/>
          <w:sz w:val="18"/>
          <w:szCs w:val="18"/>
          <w:color w:val="auto"/>
        </w:rPr>
        <w:t>has been our Chief Financial Officer since September 2011. Mr. Haran served as CFO of IPX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Burroughs </w:t>
      </w:r>
      <w:r>
        <w:rPr>
          <w:rFonts w:ascii="Times New Roman" w:cs="Times New Roman" w:eastAsia="Times New Roman" w:hAnsi="Times New Roman"/>
          <w:sz w:val="18"/>
          <w:szCs w:val="18"/>
          <w:color w:val="auto"/>
        </w:rPr>
        <w:t>has been our Executive Vice President of Business Development and Treasury since September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served as a member of our Board since October 2011. Since 1988, Mr. DiSanto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was appointed as a member of our Board in July 2018. He is a 25-year veteran in the consumer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and previously served as the Global Head of Consumer Products for 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has served as a member of our Board since October 2011. He was President,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was appointed as a member of our Board in January 2018. She is a Managing Director of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Directors’ Qualifications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extensive experience in and knowledge of the licensing and commercial business industries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considerable experience in building and running businesses and brings his strong business acumen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w:t>
      </w:r>
    </w:p>
    <w:p>
      <w:pPr>
        <w:spacing w:after="0" w:line="15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brings extensive senior level experience in the consumer retail space, as well as strong relationships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media and retail industries.</w:t>
      </w:r>
    </w:p>
    <w:p>
      <w:pPr>
        <w:spacing w:after="0" w:line="15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brings comprehensive knowledge of accounting, the capital markets, mergers and acquisitions,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and financial strategies from his extensive public accounting experience and prior service as Chief Financial Officer of a public company.</w:t>
      </w:r>
    </w:p>
    <w:p>
      <w:pPr>
        <w:spacing w:after="0" w:line="17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brings thought leadership in the retail and licensing industries, particularly in the areas of sourcing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Nominee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21, 2025, Xcel and UTG Capital, Inc., or UTG, entered into a Board Nomination Agreement pursuant to which Xcel granted UTG the right to nominate one individual to serve as a member of the Company’s board of directors, provided the individual is reasonably satisfactory to the Company’s board of directors (and/or board committee with authority over nominations of individuals to serve as directors of the Company) during the Nomination Period. The term “Nomination Period” means the period commencing on the date of the Board Nomination Agreement and ending on the earlier of (i) the date all of the loans under the December 12, 2024 loan agreement (as amended) have been repaid and (ii) the date UTG no longer holds a participation of at least $1,000,000 principal amount in the Term Loan B; provided, however, that if prior to the earlier of such dates, UTG and/or its affiliates exercise certain warrants issued to UTG for at least 300,000 shares of common stock, the Nomination Period shall continue for so long as UTG and/or its affiliate continue to hold 300,000 shares of common stock issued upon exercise of such warrants.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Robert W. D’Loren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has automatically renewed for successive one-year terms, and will be automatically renewed for one-year terms thereafter unless either party gives written notice of intent to terminate at least 90 days prior to the termination of the then current term. Pursuant to the D’Loren Employment Agreement, Mr. D’Loren’s annual base salary is $0.89 million. The Company’s board of directors or the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committee may approve increases (but not decreases) from time to time. Following the initial three-year term, Mr. D’Loren’s base salary will be reviewed at least annually. Mr. D’Loren also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30, 2024, the Company entered into an amendment of the D’Loren Employment Agreement. Pursuant to this amendment, the Company agreed with Mr. D’Loren that commencing July 16, 2024 and ending December 31, 2025, Mr. D’Loren shall accept and the Company shall pay for each month 40% of Mr. D’Loren’s pro rata portion of base salary for each such month through the issuance of shares of the Company’s common stock. The shares of common stock will be issued on the last day of each month, and the number of shares issuable for each month to Mr. D’Loren shall be determined by dividing 40% of his pro-rated base salary for such month by the closing sale price of the Company’s common stock on the last trading day of such month. Mr. D’Loren is permitted to pay the withholding tax through the exchange of a portion of the shares.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D’Loren Agreement, Mr. D’Loren was granted an option to purchase up to 257,895 shares of the Company’s common stock at an exercise price of $17.20 per share. The option is exercisable until February 28, 2029 and shall vest, subject to Mr. D’Loren remaining employed by the Company and based upon the Company’s common stock achieving the following target prices: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$30.00</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73,684</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w:t>
            </w:r>
          </w:p>
        </w:tc>
        <w:tc>
          <w:tcPr>
            <w:tcW w:w="160" w:type="dxa"/>
            <w:vAlign w:val="bottom"/>
          </w:tcPr>
          <w:p>
            <w:pPr>
              <w:spacing w:after="0"/>
              <w:rPr>
                <w:sz w:val="18"/>
                <w:szCs w:val="18"/>
                <w:color w:val="auto"/>
              </w:rPr>
            </w:pPr>
          </w:p>
        </w:tc>
        <w:tc>
          <w:tcPr>
            <w:tcW w:w="21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62,632</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51,579</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$90.00</w:t>
            </w:r>
          </w:p>
        </w:tc>
        <w:tc>
          <w:tcPr>
            <w:tcW w:w="160" w:type="dxa"/>
            <w:vAlign w:val="bottom"/>
          </w:tcPr>
          <w:p>
            <w:pPr>
              <w:spacing w:after="0"/>
              <w:rPr>
                <w:sz w:val="18"/>
                <w:szCs w:val="18"/>
                <w:color w:val="auto"/>
              </w:rPr>
            </w:pPr>
          </w:p>
        </w:tc>
        <w:tc>
          <w:tcPr>
            <w:tcW w:w="21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40,526</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29,474</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James Haran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has automatically renewed for successive one-year terms,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was guaranteed, of which $0.01 million was paid to Mr. Haran upon execution of the Haran Employment Agreement and $0.03 million was paid prior to June 30, 2019, and (ii) for 2020, $0.03 million of Mr. Haran’s bonus was guaranteed and paid prior to June 30, 2020, in each case.</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Haran Employment Agreement, Mr. Haran was granted an option to purchase up to 55,263 shares of the Company’s common stock at an exercise price of $17.20 per share. The option is exercisable until February 28, 2029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shall vest, subject to Mr. Haran remaining employed with the Company and based upon the Company’s common stock achieving target prices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15,790</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13,421</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11,052</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8,684</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6,316</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Seth Burroughs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Seth Burroughs for him to continue to serve as the Company’s Executive Vice President – Business Development and Treasury, referred to as the Burroughs Employment Agreement. Following the initial two-year term, the agreement has automatically renewed for successive one-year terms, and will be automatically renewed for one-year terms thereafter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unless either party gives written notice of intent to terminate at least 30 days prior to the expiration of the then current term. Pursuant to the Burroughs Employment Agreement, Mr. Burroughs’ annual base salary is $0.34 million per annum. The board of directors or the compensation committee may approve increases (but not decreases) from time to time. Following the initial two-year term, the base salary shall be reviewed at least annually.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30, 2024, the Company entered into an amendment of the Burroughs Employment Agreement. Pursuant to this amendment, the Company agreed with Mr. Burroughs that commencing July 16, 2024 and ending December 31, 2025, Mr. Burroughs shall accept and the Company shall pay for each month 40% of Mr. Burroughs’ pro rata portion of base salary for each such month through the issuance of shares of the Company’s common stock. The shares of common stock will be issued on the last day of each month, and the number of shares issuable for each month to Mr. Burroughs shall be determined by dividing 40% of his pro-rated base salary for such month by the closing sale price of the Company’s common stock on the last trading day of such month. Mr. Burroughs is permitted to pay the withholding tax through the exchange of a portion of the shares.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Mr. Burroughs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Burroughs Employment Agreement, Mr. Burroughs was granted an option to purchase up to 36,842 shares of the Company’s common stock at an exercise price of $17.20 per share. The option is exercisable until February 28, 2029 and shall vest, subject to Mr. Burroughs remaining employed with the Company and based upon the Company’s common stock achieving target prices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10,526</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8,947</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7,369</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5,790</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4,210</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Burrough’s employment is terminated by the Company without cause, or if Mr. Burroughs resigns with good reason, or if the Company fails to renew the term, then Mr. Burroughs will be entitled to receive his unpaid base salary and cash bonuses through the termination date and a lump sum payment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officers.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determined that Messrs. Howard Liebman, Mark DiSanto, James Fielding,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(i) Robert W. D’Loren filed a late Form 4 for a transaction on two occasions, and (ii) Seth Burroughs filed a late Form 4 for a transaction on two occasions.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(the “Trading Policy”) that is designed to promote compliance with federal securities laws, rules, and regulations, as well as the rules and regulations of the NASDAQ Stock Market. The Trading Policy provides Xcel’s standards on trading and causing the trading of our securities or securities of other publicly traded companies while in possession of confidential information. It prohibits trading in certain circumstances and applies to all of our directors, officers, and employees, as well as independent contractors or consultants who have access to material nonpublic information of Xcel. Additionally, our Trading Policy imposes special additional trading restrictions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all of our directors and executive officers. The Trading Policy is annexed to this Annual Report as an exhibit and the full text of the Trading Policy is available on our website at www.xcelbrands.com.</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1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cash and non-cash compensation earned, during the years ended December 31, 2024 and 2023, by our principal executive officer and our two other most highly compensated executive officers, which we refer to collectively as the named executive officers, for services in all capacities to the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CEO and Chairman</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$ 888,500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936,256</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$ 888,500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1,078,121</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 Haran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CFO</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$ 366,000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366,769</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$ 366,000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374,857</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EVP - Business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340,600</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Development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348,531</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 Treasury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80" w:right="79" w:hanging="330"/>
        <w:spacing w:after="0" w:line="255"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July 30, 2024 amendment of the employment agreements with Robert W. D’Loren’s and Seth Burroughs (see “Employment Agreements with Executives” in Item 10), commencing July 16, 2024, 40% of each of Mr. D’Loren’s and Mr. Burrough’s salary was paid in shares of the Company’s common stock rather than in cash. Salary compensation paid to Mr. D’Loren in stock in 2024 was $162,892, which amounted to 24,037 shares on a gross basis (12,933 shares issued on a net basis, after the exchange of shares for withholding taxes). Salary compensation paid to Mr. Burroughs in stock in 2024 was $62,443, which amounted to 9,213 shares on a gross basis (4,569 shares issued on a net basis, after the exchange of shares for withholding taxes).</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D’Loren’s salary amount for 2024 includes the amount of a voluntary temporary deferral of salary of $125,000, which was earned by Mr. D’Loren and accrued at December 31, 2024 and was paid to Mr. D’Loren in 2025.</w:t>
      </w:r>
    </w:p>
    <w:p>
      <w:pPr>
        <w:spacing w:after="0" w:line="12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include amounts paid in accordance with the executives’ respective employment agreements (see “Employment Agreements with Executives” in Item 10).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Warrant Awards</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060" w:type="dxa"/>
            <w:vAlign w:val="bottom"/>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6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 or</w:t>
            </w: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160" w:type="dxa"/>
            <w:vAlign w:val="bottom"/>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20" w:type="dxa"/>
            <w:vAlign w:val="bottom"/>
          </w:tcPr>
          <w:p>
            <w:pPr>
              <w:spacing w:after="0"/>
              <w:rPr>
                <w:sz w:val="12"/>
                <w:szCs w:val="12"/>
                <w:color w:val="auto"/>
              </w:rPr>
            </w:pP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2"/>
                <w:szCs w:val="12"/>
                <w:color w:val="auto"/>
              </w:rPr>
            </w:pPr>
          </w:p>
        </w:tc>
        <w:tc>
          <w:tcPr>
            <w:tcW w:w="106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0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Robert W. D’Loren</w:t>
            </w:r>
          </w:p>
        </w:tc>
        <w:tc>
          <w:tcPr>
            <w:tcW w:w="1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CEO, Chairman</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257,895</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2/28/2029</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F. Haran</w:t>
            </w:r>
          </w:p>
        </w:tc>
        <w:tc>
          <w:tcPr>
            <w:tcW w:w="1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CFO</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55,263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2/28/2029</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1"/>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Seth Burroughs</w:t>
            </w:r>
          </w:p>
        </w:tc>
        <w:tc>
          <w:tcPr>
            <w:tcW w:w="1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EVP - Bus. Development</w:t>
            </w:r>
          </w:p>
        </w:tc>
        <w:tc>
          <w:tcPr>
            <w:tcW w:w="160" w:type="dxa"/>
            <w:vAlign w:val="bottom"/>
          </w:tcPr>
          <w:p>
            <w:pPr>
              <w:spacing w:after="0"/>
              <w:rPr>
                <w:sz w:val="21"/>
                <w:szCs w:val="21"/>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36,842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2/28/2029</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-89535</wp:posOffset>
            </wp:positionV>
            <wp:extent cx="564896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8960" cy="188595"/>
                    </a:xfrm>
                    <a:prstGeom prst="rect">
                      <a:avLst/>
                    </a:prstGeom>
                    <a:noFill/>
                  </pic:spPr>
                </pic:pic>
              </a:graphicData>
            </a:graphic>
          </wp:anchor>
        </w:drawing>
      </w:r>
    </w:p>
    <w:p>
      <w:pPr>
        <w:ind w:left="2340" w:hanging="154"/>
        <w:spacing w:after="0"/>
        <w:tabs>
          <w:tab w:leader="none" w:pos="234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Treasury</w:t>
      </w:r>
    </w:p>
    <w:p>
      <w:pPr>
        <w:spacing w:after="0" w:line="191" w:lineRule="exact"/>
        <w:rPr>
          <w:rFonts w:ascii="Times New Roman" w:cs="Times New Roman" w:eastAsia="Times New Roman" w:hAnsi="Times New Roman"/>
          <w:sz w:val="14"/>
          <w:szCs w:val="14"/>
          <w:color w:val="auto"/>
        </w:rPr>
      </w:pPr>
    </w:p>
    <w:p>
      <w:pPr>
        <w:jc w:val="both"/>
        <w:ind w:left="380" w:right="79" w:hanging="330"/>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shall become exercisable based upon the Company’s common stock achieving specified target prices as outlined in the executive’s employment agreement, and expire on February 28, 2029. See “Employment Agreements with Executives” in 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-493395</wp:posOffset>
            </wp:positionV>
            <wp:extent cx="1414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adopted a clawback policy which allows us to recover performance-based compensation, whether cash or equity, from a current or former executive officer in the event of an Accounting Restatement. The clawback policy defines an Accounting Restatement as an accounting restatement of our financial statements due to our material noncompliance with any financial reporting requirement under the securities laws. Under such policy, we may recoup incentive-based compensation previously received by an executive officer that exceeds the amount of incentive-based compensation that otherwise would have been received had it been determined based on the restated amounts in the Accounting Restatement.</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Board has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 The clawback policy is annexed to this Annual Report as an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non-employee director’s compensation for the year ended December 31, 2024. The dollar amounts shown for Stock Awards represent the grant date fair value of the restricted stock awards or stock options granted during the fiscal year calculated in accordance with ASC Topic 718.</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0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DiSanto (1) (2)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11,788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47,288</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Liebman (1)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11,788</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45,288</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 (1)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11,788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44,288</w:t>
            </w:r>
          </w:p>
        </w:tc>
        <w:tc>
          <w:tcPr>
            <w:tcW w:w="0" w:type="dxa"/>
            <w:vAlign w:val="bottom"/>
          </w:tcPr>
          <w:p>
            <w:pPr>
              <w:spacing w:after="0"/>
              <w:rPr>
                <w:sz w:val="1"/>
                <w:szCs w:val="1"/>
                <w:color w:val="auto"/>
              </w:rPr>
            </w:pPr>
          </w:p>
        </w:tc>
      </w:tr>
      <w:tr>
        <w:trPr>
          <w:trHeight w:val="23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Fielding (1)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11,788</w:t>
            </w:r>
          </w:p>
        </w:tc>
        <w:tc>
          <w:tcPr>
            <w:tcW w:w="20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5" w:lineRule="exact"/>
        <w:rPr>
          <w:sz w:val="20"/>
          <w:szCs w:val="20"/>
          <w:color w:val="auto"/>
        </w:rPr>
      </w:pPr>
    </w:p>
    <w:p>
      <w:pPr>
        <w:jc w:val="both"/>
        <w:ind w:left="380" w:right="79" w:hanging="330"/>
        <w:spacing w:after="0" w:line="25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2024, each non-employee directory was granted 1,000 shares of restricted stock pursuant to the terms and conditions of the 2021 Equity Incentive Plan. Such shares of restricted stock will vest evenly over two years, whereby 50% shall vest on April 3, 2025 and 50% shall vest on April 3, 2026. Notwithstanding the foregoing, each grantee may extent the vesting date of all or a portion of the restricted shares by six months and, thereafter one or more times may further extend such date with respect to all or a portion of the restricted shares until the next following October 3 or April 3, as the case may be. The grant date fair value of the shares was $8.50 per share.</w:t>
      </w:r>
    </w:p>
    <w:p>
      <w:pPr>
        <w:spacing w:after="0" w:line="18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2024, each non-employee director was granted options to purchase 2,500 shares of stock pursuant to the terms and conditions of the 2021 Equity Incentive Plan. Such options will vest evenly over two years, whereby 50% shall vest on April 3, 2025 and 50% shall vest on April 3, 2026. The exercise price of the options is $8.50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The stock options may be incentive stock options or non-qualified stock options. A total of 400,000 shares of common stock are eligible for issuance under the 2021 Plan. The 2021 Plan may be administered by the board of directors or a committee consisting of two or more members of the board of directors appointed by the board of directors.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Officers and other employees of Xcel or any parent or subsidiary of Xcel who are at the time of the grant of an award employed by us or any parent or subsidiary of Xcel are eligible to be granted options or other awards under the 2021 Plan. In addition, non-qualified stock options and other awards may be granted under the 2021 Plan to any person, including, but not limited to, directors, independent agents, consultants, and attorneys who the board of directors or the committee, as the case may be, believes has contributed or will contribute to our success.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 Restricted stock unit (“RSU”)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2024.</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awards made under the 2021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stock options and certain stock awards, performance awards, and stock units granted under the 2021 Plan, and the compensation attributable to such awards, are intended to (i) qualify as performance-based awards or (ii) be otherwise exempt from the deduction limitation imposed by Internal Revenue Code Section 162(m). No awards may be granted on or after the fifth anniversary of the effective date of the 2021 Plan.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2021 Equity Incentive Plan became effective April 19, 2022. Prior to the effectiveness of the 2021 Plan, the Company made awards under our Amended and Restated 2011 Equity Incentive Plan (the “2011 Plan”), the key terms and provisions of which were substantially similar to the 2021 Plan described above, with the major difference being the number of shares of common stock eligible for issuance. Stock-based awards (including options, warrants, and restricted stock) previously granted under our 2011 Plan remain outstanding, and shares of common stock may be issued to satisfy options or warrants previously granted under the 2011 Plan, although no new awards may be granted under the 2011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following table lists, as of May 2, 2025, the number of shares of common stock beneficially owned by (i) each person or entity known to the Company to be the beneficial owner of more than 5% of the outstanding common stock; (ii) 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550 Seventh Avenue, 11th Floor, New York, New York 10018.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percentages below are calculated based on 2,395,242 shares of common stock issued and outstanding as of May 2,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D’Loren (1)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676,658</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28.07 %</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 Haran (2)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Seth Burroughs (3)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Liebman (4)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DiSanto (5)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 (6)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Fielding (7)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 (8)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992,391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Isaac Mizrahi (9)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Summit Trail Advisors (10)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245,259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1%.</w:t>
      </w:r>
    </w:p>
    <w:p>
      <w:pPr>
        <w:spacing w:after="0" w:line="198" w:lineRule="exact"/>
        <w:rPr>
          <w:sz w:val="20"/>
          <w:szCs w:val="20"/>
          <w:color w:val="auto"/>
        </w:rPr>
      </w:pPr>
    </w:p>
    <w:p>
      <w:pPr>
        <w:jc w:val="both"/>
        <w:ind w:left="440" w:right="79" w:hanging="390"/>
        <w:spacing w:after="0" w:line="253"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235,090 shares held by Mr. D’Loren, (ii) 60,731 shares owned by Irrevocable Trust of Rose Dempsey (or the Irrevocable Trust) of which Mr. D’Loren and Mr. DiSanto are the trustees and as to which Mr. D’Loren has sole voting and dispositive power, (iii) 15,333 immediately exercisable warrants held by IPX Capital, LLC, a company controlled by Mr. D’Loren, (iv) 172,233 shares of common stock held in the name of Isaac Mizrahi, and (v) 193,271 shares of common stock as to which holders thereof granted to Mr. D’Loren irrevocable proxy and attorney-in-fact with respect to the shares. Certain holders or grantees have entered into agreements, pursuant to which appoint a person designated by our board of directors as their irrevocable proxy and attorney-in-fact with respect to the shares set forth in clauses (iv) and (v). Mr. D’Loren does not have any pecuniary interest in these shares described in clauses (iv) and (v) and disclaims beneficial ownership thereof. Does not include 32,667 shares held by the D’Loren Family Trust (or the Family Trust) of which Mark DiSanto is a trustee and has sole voting and dispositive power. Does not include 257,895 options that are not yet exercisable.</w:t>
      </w:r>
    </w:p>
    <w:p>
      <w:pPr>
        <w:spacing w:after="0" w:line="151"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20,401 shares of common stock. Does not include 55,263 options that are not yet exercisable.</w:t>
      </w:r>
    </w:p>
    <w:p>
      <w:pPr>
        <w:spacing w:after="0" w:line="184"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48,675 shares of common stock. Does not include 36,842 options that are not yet exercisable.</w:t>
      </w:r>
    </w:p>
    <w:p>
      <w:pPr>
        <w:spacing w:after="0" w:line="19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3,616 shares of common stock, (ii) 7,000 restricted shares, and (iii) immediately exercisable options to purchase 12,750 shares. Does not include 1,250 options that are not yet exercisable.</w:t>
      </w:r>
    </w:p>
    <w:p>
      <w:pPr>
        <w:spacing w:after="0" w:line="121" w:lineRule="exact"/>
        <w:rPr>
          <w:rFonts w:ascii="Times New Roman" w:cs="Times New Roman" w:eastAsia="Times New Roman" w:hAnsi="Times New Roman"/>
          <w:sz w:val="18"/>
          <w:szCs w:val="18"/>
          <w:color w:val="auto"/>
        </w:rPr>
      </w:pPr>
    </w:p>
    <w:p>
      <w:pPr>
        <w:jc w:val="both"/>
        <w:ind w:left="440" w:right="79" w:hanging="390"/>
        <w:spacing w:after="0" w:line="255"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2,650 shares of common stock, (ii) 1,000 restricted shares, (iii) 32,667 shares held by the D’Loren Family Trust, of which Mark DiSanto is trustee and has sole voting and dispositive power over the shares held by the D’Loren Family Trust, (iv) 130,685 shares held by Mark X. DiSanto Investment Trust, of which Mark DiSanto is trustee and has sole voting and dispositive power over the shares held by the Trust, (v) immediately exercisable options to purchase 12,750 shares, and (vi) 8,239 shares held by other trusts, of which Mark DiSanto is trustee and has sole voting and dispositive power over the shares held by the trusts. Does not include 1,250 options that are not yet exercisable.</w:t>
      </w:r>
    </w:p>
    <w:p>
      <w:pPr>
        <w:spacing w:after="0" w:line="14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5,800 restricted shares and (ii) immediately exercisable options to purchase 12,750 shares. Does not include 1,250 options that are not yet exercisable.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right="79" w:hanging="390"/>
        <w:spacing w:after="0" w:line="282" w:lineRule="auto"/>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2,500 shares of common stock, (ii) 1,500 restricted shares, and (iii) immediately exercisable options to purchase 12,750 shares. Does not include 1,250 options that are not yet exercisable.</w:t>
      </w:r>
    </w:p>
    <w:p>
      <w:pPr>
        <w:spacing w:after="0" w:line="134" w:lineRule="exact"/>
        <w:rPr>
          <w:rFonts w:ascii="Times New Roman" w:cs="Times New Roman" w:eastAsia="Times New Roman" w:hAnsi="Times New Roman"/>
          <w:sz w:val="18"/>
          <w:szCs w:val="18"/>
          <w:color w:val="auto"/>
        </w:rPr>
      </w:pPr>
    </w:p>
    <w:p>
      <w:pPr>
        <w:jc w:val="both"/>
        <w:ind w:left="440" w:right="79" w:hanging="390"/>
        <w:spacing w:after="0" w:line="266" w:lineRule="auto"/>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545,254 shares of common stock, (ii) 15,300 restricted shares, (iii) 66,333 shares issuable upon exercise of options and warrants that are currently exercisable, and (iv) 365,504 other shares of common stock as to which holders thereof granted to Mr. D’Loren irrevocable proxy and attorney-in-fact with respect to the shares.</w:t>
      </w:r>
    </w:p>
    <w:p>
      <w:pPr>
        <w:spacing w:after="0" w:line="135"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167,233 shares of common stock and (ii) immediately exercisable options to purchase 5,000 shares.</w:t>
      </w:r>
    </w:p>
    <w:p>
      <w:pPr>
        <w:spacing w:after="0" w:line="225"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245,259 shares of common stock.</w:t>
      </w:r>
    </w:p>
    <w:p>
      <w:pPr>
        <w:spacing w:after="0" w:line="221" w:lineRule="exact"/>
        <w:rPr>
          <w:sz w:val="20"/>
          <w:szCs w:val="20"/>
          <w:color w:val="auto"/>
        </w:rPr>
      </w:pPr>
    </w:p>
    <w:p>
      <w:pPr>
        <w:ind w:left="60" w:right="2339"/>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b w:val="1"/>
          <w:bCs w:val="1"/>
          <w:i w:val="1"/>
          <w:iCs w:val="1"/>
          <w:color w:val="auto"/>
        </w:rPr>
        <w:t>IM Topco, LLC</w:t>
      </w:r>
    </w:p>
    <w:p>
      <w:pPr>
        <w:spacing w:after="0" w:line="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holds a noncontrolling interest in IM Topco, LLC (“IM Topco”), which is accounted for under the equity method of accounting.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the services agreement was amended such that the Company agreed to provide IM Topco with a $600,000 reduction of future service fees over the next eighteen months, beginning on July 1, 2023.</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2024, the services agreement was further amended to set the service fees at $150,000 per year beginning with the fiscal year ending December 31, 2024. In addition, under the April 2024 amendment, IM Topco is required to prepay the service fees for the year ending December 31, 2025; as of December 31, 2024, IM Topco has prepaid $62,500 of such service fees.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recognized service fee income related to this agreement of $150,000 for each of the years ended December 31, 2024 and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 December 31, 2026, and provided guaranteed minimum royalties to IM Topco of $400,000 per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year ended December 31, 2023, the estimated amount of such shortfall was approximately $325,000, which the Company recognized as royalty expense in the consolidated statements of operations.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2022 membership purchase agreement, under Xcel agreed to make additional royalty payments to IM Topco totaling $450,000 the following 11 months. As a result of this amendment, the Company recognized a $450,000 increase to the carrying value basis of its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equity method investment in IM Topco and a corresponding increase in current liabilities. The Company paid $75,000 of the additional royalty payments to IM Topco during the year ended December 31, 2023, and paid $237,500 during the year ended December 31, 2024. As of December 31, 2024, the remaining payments due totaled $137,500, and are reflected with accounts payable, accrued expenses and other current liabilities in the consolidated balance sheet. As of the date of this Annual Report on Form 10-K, this amount has not been paid to IM Topco.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and Private Placement Transactions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328,427 shares of the Company’s common stock at a price to the public of $6.50 per share which was consummated on March 19, 2024 (see Note 7 of the financial statements in Item 8 for additional details), Robert W. D’Loren, Chairman and Chief Executive Officer of the Company; an affiliate of Mark DiSanto, a director of the Company; and Seth Burroughs, Executive Vice President of Business Development and Treasury of the Company, purchased 14,625, 14,625, and 3,250 shares, respectively, at $6.50 per share, the same price at which the shares were sold to other purchasers in the Offering.</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Also in connection with the Offering, on March 14, 2024, the Company entered into subscription agreements with each of Mr. D’Loren, Mr. DiSanto, and Mr. Burroughs to purchase 13,258, 13,258, and 2,946 shares, respectively (collectively, the “Private Placement Shares”), at a price of $9.80 per Private Placement Share. The total number of Private Placement Shares purchased was 29,462. Net proceeds after payment of agent fees to the Representative were approximately $0.3 million. The purchase of the Private Placement Shares closed concurrently with the Offering.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December 2024 refinancing of the Company’s term loan debt (see Note 6 of the financial statements in Item 8 for additional details), IPX Capital, LLC (“IPX”), a company controlled by Mr. D’Loren, made a $250,000 advance to one of the Company’s subsidiaries, of which $200,000 was repaid to IPX upon the closing of the debt refinancing transaction. Additionally, IPX purchased a 12.5% undivided, last-out, subordinated participation interest in a portion of the new term loan debt for a purchase price of $500,000, and received a pro rata share of warrants received by the Term B Lenders to purchase shares of the Company’s common stock.</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21, 2025 and in connection with the refinancing of the Company’s term loan debt, IPX’s participation in Term Loan B was repaid and IPX purchased a $500,000 undivided, last-out, subordinated participation interest in Term Loan 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21, 2025, each of Robert D’Loren, Chairman of the Board and Chief Executive Officer of the Company, Seth Burroughs, Executive Vice President of the Company, and Mark D. Santo, a director of the Company, entered into a Support Agreement whereby each individual agreed to vote in favor of any proposal to approve the issuance of the shares of common stock issuable upon exercise of the warrants issued to UTG and other lenders and warrants amended in connection with the April 21, 2025 debt refinancing transaction, in accordance with applicable Nasdaq rules.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Nominee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21, 2025, Xcel and UTG Capital, Inc., or UTG, entered into a Board Nomination Agreement pursuant to which Xcel granted UTG the right to nominate one individual to serve as a member of the Company’s board of directors, provided the individual is reasonably satisfactory to the Company’s board of directors (and/or board committee with authority over nominations of individuals to serve as directors of the Company) during the Nomination Period. The term “Nomination Period” means the period commencing on the date of the Board Nomination Agreement and ending on the earlier of (i) the date all of the loans under the December 12, 2024 loan agreement (as amended) have been repaid and (ii) the date UTG no longer holds a participation of at least $1,000,000 principal amount in the Term Loan B; provided, however, that if prior to the earlier of such dates, UTG and/or its affiliates exercise certain warrants issued to UTG for at least 300,000 shares of common stock, the Nomination Period shall continue for so long as UTG and/or its affiliate continue to hold 300,000 shares of common stock issued upon exercise of such warrants.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October 2024, in connection with a required increase to a standby letter of credit associated with the Company’s real estate lease for offices located at 1333 Broadway, Mr. D’Loren provided a personal guarantee to the financial institution providing such letter of credit, in order to satisfy a portion of the associated collateral requirements for the letter of credit.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4, 2023, the Company acquired a noncontrolling equity ownership interest in ORME, a short-form video and social commerce marketplace, for a purchase price of $150,000. ORME licenses the technology utilized by its marketplace from KonnectBio Inc., in which Robert W. D’Loren, the Company’s Chairman of the Board, Chief Executive Officer, and President, owns an approximate 20% noncontrolling interest.</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Independent Registered Public Accounting Firm, Marcum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2024 and 2023 were approximately $418,000 and $453,000, respectively.</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fees billed by our Independent Registered Public Accounting Firm for audit-related services consisted of $113,000 for the audit of IM Topco, LLC, and $77,000 for consent and comfort letter procedures related to our Form S-3 and 424(b)(5) filings related to our March 2024 public offering and private placement transactions. There were no fees billed by our Independent Registered Public Accounting Firm for audit-related services for the fiscal year ended December 31, 2023.</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fees billed for professional services rendered by our Independent Registered Public Accounting Firm for tax compliance, tax advice, and tax planning for the fiscal years ended December 31, 2024 and 2023.</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fees billed for non-audit services by our Independent Registered Public Accounting Firm for the fiscal years ended December 31, 2024 and 2023.</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Determination</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Audit Committee considered and determined that the services performed are compatible with maintaining the independence of the independent registered public accounting firm.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were approved by the Company’s Audit Committee.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13"/>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7"/>
              </w:rPr>
              <w:t>PART IV</w:t>
            </w:r>
          </w:p>
        </w:tc>
      </w:tr>
      <w:tr>
        <w:trPr>
          <w:trHeight w:val="432"/>
        </w:trPr>
        <w:tc>
          <w:tcPr>
            <w:tcW w:w="890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15"/>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23"/>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1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740" w:type="dxa"/>
            <w:vAlign w:val="bottom"/>
            <w:tcBorders>
              <w:top w:val="single" w:sz="8" w:color="auto"/>
            </w:tcBorders>
            <w:gridSpan w:val="19"/>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 xml:space="preserve">Amended and Restated Certificate of Incorporation of Xcel Brands, Inc. </w:t>
              </w:r>
            </w:hyperlink>
            <w:r>
              <w:rPr>
                <w:rFonts w:ascii="Times New Roman" w:cs="Times New Roman" w:eastAsia="Times New Roman" w:hAnsi="Times New Roman"/>
                <w:sz w:val="26"/>
                <w:szCs w:val="26"/>
                <w:color w:val="000000"/>
                <w:vertAlign w:val="superscript"/>
              </w:rPr>
              <w:t>(7)</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 xml:space="preserve">Certificate of Amendment of Amended and Restated Certificate of Incorporation of Xcel Brands, Inc. </w:t>
              </w:r>
            </w:hyperlink>
            <w:r>
              <w:rPr>
                <w:rFonts w:ascii="Times New Roman" w:cs="Times New Roman" w:eastAsia="Times New Roman" w:hAnsi="Times New Roman"/>
                <w:sz w:val="26"/>
                <w:szCs w:val="26"/>
                <w:color w:val="000000"/>
                <w:vertAlign w:val="superscript"/>
              </w:rPr>
              <w:t>(18)</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732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 xml:space="preserve">Third Restated and Amended Bylaws of Xcel Brands, Inc. </w:t>
              </w:r>
            </w:hyperlink>
            <w:r>
              <w:rPr>
                <w:rFonts w:ascii="Times New Roman" w:cs="Times New Roman" w:eastAsia="Times New Roman" w:hAnsi="Times New Roman"/>
                <w:sz w:val="26"/>
                <w:szCs w:val="26"/>
                <w:color w:val="000000"/>
                <w:vertAlign w:val="superscript"/>
              </w:rPr>
              <w:t>(8)</w:t>
            </w:r>
          </w:p>
        </w:tc>
        <w:tc>
          <w:tcPr>
            <w:tcW w:w="420" w:type="dxa"/>
            <w:vAlign w:val="bottom"/>
            <w:gridSpan w:val="3"/>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 xml:space="preserve">Third Amended and Restated Equity Incentive Plan and Forms of Award Agreements </w:t>
              </w:r>
            </w:hyperlink>
            <w:r>
              <w:rPr>
                <w:rFonts w:ascii="Times New Roman" w:cs="Times New Roman" w:eastAsia="Times New Roman" w:hAnsi="Times New Roman"/>
                <w:sz w:val="26"/>
                <w:szCs w:val="26"/>
                <w:color w:val="000000"/>
                <w:vertAlign w:val="superscript"/>
              </w:rPr>
              <w:t>(9)</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61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 xml:space="preserve">2021 Equity Incentive Plan </w:t>
              </w:r>
            </w:hyperlink>
            <w:r>
              <w:rPr>
                <w:rFonts w:ascii="Times New Roman" w:cs="Times New Roman" w:eastAsia="Times New Roman" w:hAnsi="Times New Roman"/>
                <w:sz w:val="26"/>
                <w:szCs w:val="26"/>
                <w:color w:val="000000"/>
                <w:vertAlign w:val="superscript"/>
              </w:rPr>
              <w:t>(11)</w:t>
            </w:r>
          </w:p>
        </w:tc>
        <w:tc>
          <w:tcPr>
            <w:tcW w:w="1580" w:type="dxa"/>
            <w:vAlign w:val="bottom"/>
            <w:gridSpan w:val="8"/>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 xml:space="preserve">Description of Registrant’s Securities </w:t>
              </w:r>
            </w:hyperlink>
            <w:r>
              <w:rPr>
                <w:rFonts w:ascii="Times New Roman" w:cs="Times New Roman" w:eastAsia="Times New Roman" w:hAnsi="Times New Roman"/>
                <w:sz w:val="26"/>
                <w:szCs w:val="26"/>
                <w:color w:val="000000"/>
                <w:vertAlign w:val="superscript"/>
              </w:rPr>
              <w:t>(10)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 xml:space="preserve">Warrant issued to G-III Apparel Group </w:t>
              </w:r>
            </w:hyperlink>
            <w:r>
              <w:rPr>
                <w:rFonts w:ascii="Times New Roman" w:cs="Times New Roman" w:eastAsia="Times New Roman" w:hAnsi="Times New Roman"/>
                <w:sz w:val="26"/>
                <w:szCs w:val="26"/>
                <w:color w:val="000000"/>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 xml:space="preserve">Form of Representative’s Warrant issued on March 19, 2024 </w:t>
              </w:r>
            </w:hyperlink>
            <w:r>
              <w:rPr>
                <w:rFonts w:ascii="Times New Roman" w:cs="Times New Roman" w:eastAsia="Times New Roman" w:hAnsi="Times New Roman"/>
                <w:sz w:val="26"/>
                <w:szCs w:val="26"/>
                <w:color w:val="000000"/>
                <w:vertAlign w:val="superscript"/>
              </w:rPr>
              <w:t>(14)</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 xml:space="preserve">Form of Common Stock Warrant issued on December 31, 2024 </w:t>
              </w:r>
            </w:hyperlink>
            <w:r>
              <w:rPr>
                <w:rFonts w:ascii="Times New Roman" w:cs="Times New Roman" w:eastAsia="Times New Roman" w:hAnsi="Times New Roman"/>
                <w:sz w:val="26"/>
                <w:szCs w:val="26"/>
                <w:color w:val="000000"/>
                <w:vertAlign w:val="superscript"/>
              </w:rPr>
              <w:t>(3)</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45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Form of UTG Warrant </w:t>
              </w:r>
            </w:hyperlink>
            <w:r>
              <w:rPr>
                <w:rFonts w:ascii="Times New Roman" w:cs="Times New Roman" w:eastAsia="Times New Roman" w:hAnsi="Times New Roman"/>
                <w:sz w:val="26"/>
                <w:szCs w:val="26"/>
                <w:color w:val="000000"/>
                <w:vertAlign w:val="superscript"/>
              </w:rPr>
              <w:t>(20)</w:t>
            </w:r>
          </w:p>
        </w:tc>
        <w:tc>
          <w:tcPr>
            <w:tcW w:w="3180" w:type="dxa"/>
            <w:vAlign w:val="bottom"/>
            <w:gridSpan w:val="10"/>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 xml:space="preserve">Form of Restore Warrant </w:t>
              </w:r>
            </w:hyperlink>
            <w:r>
              <w:rPr>
                <w:rFonts w:ascii="Times New Roman" w:cs="Times New Roman" w:eastAsia="Times New Roman" w:hAnsi="Times New Roman"/>
                <w:sz w:val="26"/>
                <w:szCs w:val="26"/>
                <w:color w:val="000000"/>
                <w:vertAlign w:val="superscript"/>
              </w:rPr>
              <w:t>(20)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 xml:space="preserve">Form of Restore Warrant Amendment </w:t>
              </w:r>
            </w:hyperlink>
            <w:r>
              <w:rPr>
                <w:rFonts w:ascii="Times New Roman" w:cs="Times New Roman" w:eastAsia="Times New Roman" w:hAnsi="Times New Roman"/>
                <w:sz w:val="26"/>
                <w:szCs w:val="26"/>
                <w:color w:val="000000"/>
                <w:vertAlign w:val="superscript"/>
              </w:rPr>
              <w:t>(20)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Form of FEAC Warrant Amendment </w:t>
              </w:r>
            </w:hyperlink>
            <w:r>
              <w:rPr>
                <w:rFonts w:ascii="Times New Roman" w:cs="Times New Roman" w:eastAsia="Times New Roman" w:hAnsi="Times New Roman"/>
                <w:sz w:val="26"/>
                <w:szCs w:val="26"/>
                <w:color w:val="000000"/>
                <w:vertAlign w:val="superscript"/>
              </w:rPr>
              <w:t>(20)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Amended and Restated Voting Agreement between Xcel Brands, Inc. and IM Ready-Made, LLC, dated as</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18"/>
          </w:tcPr>
          <w:p>
            <w:pPr>
              <w:spacing w:after="0" w:line="196"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 xml:space="preserve">of December 24, 2013 </w:t>
              </w:r>
              <w:r>
                <w:rPr>
                  <w:rFonts w:ascii="Times New Roman" w:cs="Times New Roman" w:eastAsia="Times New Roman" w:hAnsi="Times New Roman"/>
                  <w:sz w:val="22"/>
                  <w:szCs w:val="22"/>
                  <w:color w:val="000000"/>
                  <w:vertAlign w:val="superscript"/>
                </w:rPr>
                <w:t>(2)</w:t>
              </w:r>
            </w:hyperlink>
          </w:p>
        </w:tc>
        <w:tc>
          <w:tcPr>
            <w:tcW w:w="1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 xml:space="preserve">Voting Agreement between Xcel Brands, Inc. and Judith Ripka Berk, dated as of April 3, 2014 </w:t>
              </w:r>
            </w:hyperlink>
            <w:r>
              <w:rPr>
                <w:rFonts w:ascii="Times New Roman" w:cs="Times New Roman" w:eastAsia="Times New Roman" w:hAnsi="Times New Roman"/>
                <w:sz w:val="26"/>
                <w:szCs w:val="26"/>
                <w:color w:val="000000"/>
                <w:vertAlign w:val="superscript"/>
              </w:rPr>
              <w:t>(4)</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23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7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Voting Agreement dated as of December 22, 2014 by and between Xcel Brands, Inc. and H Company IP,</w:t>
              </w:r>
            </w:hyperlink>
          </w:p>
        </w:tc>
        <w:tc>
          <w:tcPr>
            <w:tcW w:w="20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19"/>
          </w:tcPr>
          <w:p>
            <w:pPr>
              <w:spacing w:after="0" w:line="196" w:lineRule="exact"/>
              <w:rPr>
                <w:rFonts w:ascii="Times New Roman" w:cs="Times New Roman" w:eastAsia="Times New Roman" w:hAnsi="Times New Roman"/>
                <w:sz w:val="10"/>
                <w:szCs w:val="10"/>
                <w:color w:val="auto"/>
              </w:rPr>
            </w:pPr>
            <w:hyperlink r:id="rId138">
              <w:r>
                <w:rPr>
                  <w:rFonts w:ascii="Times New Roman" w:cs="Times New Roman" w:eastAsia="Times New Roman" w:hAnsi="Times New Roman"/>
                  <w:sz w:val="22"/>
                  <w:szCs w:val="22"/>
                  <w:color w:val="0000EE"/>
                  <w:vertAlign w:val="subscript"/>
                </w:rPr>
                <w:t>LLC</w:t>
              </w:r>
              <w:r>
                <w:rPr>
                  <w:rFonts w:ascii="Times New Roman" w:cs="Times New Roman" w:eastAsia="Times New Roman" w:hAnsi="Times New Roman"/>
                  <w:sz w:val="10"/>
                  <w:szCs w:val="10"/>
                  <w:color w:val="auto"/>
                </w:rPr>
                <w:t xml:space="preserve"> (5)</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 xml:space="preserve">Form of Voting Agreement dated as of February 11, 2019 </w:t>
              </w:r>
            </w:hyperlink>
            <w:r>
              <w:rPr>
                <w:rFonts w:ascii="Times New Roman" w:cs="Times New Roman" w:eastAsia="Times New Roman" w:hAnsi="Times New Roman"/>
                <w:sz w:val="26"/>
                <w:szCs w:val="26"/>
                <w:color w:val="000000"/>
                <w:vertAlign w:val="superscript"/>
              </w:rPr>
              <w:t>(1)</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gridSpan w:val="7"/>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 xml:space="preserve">Employment Agreement between the Company and Robert D’Loren dated February 27, 2019 </w:t>
              </w:r>
            </w:hyperlink>
            <w:r>
              <w:rPr>
                <w:rFonts w:ascii="Times New Roman" w:cs="Times New Roman" w:eastAsia="Times New Roman" w:hAnsi="Times New Roman"/>
                <w:sz w:val="26"/>
                <w:szCs w:val="26"/>
                <w:color w:val="000000"/>
                <w:vertAlign w:val="superscript"/>
              </w:rPr>
              <w:t>(10)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1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 xml:space="preserve">Employment Agreement between the Company and James Haran dated February 27, 2019 </w:t>
              </w:r>
            </w:hyperlink>
            <w:r>
              <w:rPr>
                <w:rFonts w:ascii="Times New Roman" w:cs="Times New Roman" w:eastAsia="Times New Roman" w:hAnsi="Times New Roman"/>
                <w:sz w:val="26"/>
                <w:szCs w:val="26"/>
                <w:color w:val="000000"/>
                <w:vertAlign w:val="superscript"/>
              </w:rPr>
              <w:t>(10)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1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 xml:space="preserve">Employment Agreement between the Company and Seth Burroughs dated February 27, 2019 </w:t>
              </w:r>
            </w:hyperlink>
            <w:r>
              <w:rPr>
                <w:rFonts w:ascii="Times New Roman" w:cs="Times New Roman" w:eastAsia="Times New Roman" w:hAnsi="Times New Roman"/>
                <w:sz w:val="26"/>
                <w:szCs w:val="26"/>
                <w:color w:val="000000"/>
                <w:vertAlign w:val="superscript"/>
              </w:rPr>
              <w:t>(12)</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00" w:type="dxa"/>
            <w:vAlign w:val="bottom"/>
            <w:gridSpan w:val="1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7740" w:type="dxa"/>
            <w:vAlign w:val="bottom"/>
            <w:gridSpan w:val="19"/>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 xml:space="preserve">Sublease Agreement, dated as of July 8, 2015, by and between Xcel Brands, Inc. and GBG USA Inc. </w:t>
              </w:r>
            </w:hyperlink>
            <w:r>
              <w:rPr>
                <w:rFonts w:ascii="Times New Roman" w:cs="Times New Roman" w:eastAsia="Times New Roman" w:hAnsi="Times New Roman"/>
                <w:sz w:val="26"/>
                <w:szCs w:val="26"/>
                <w:color w:val="000000"/>
                <w:vertAlign w:val="superscript"/>
              </w:rPr>
              <w:t>(6)</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9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 xml:space="preserve">Membership Interest Purchase Agreement </w:t>
              </w:r>
            </w:hyperlink>
            <w:r>
              <w:rPr>
                <w:rFonts w:ascii="Times New Roman" w:cs="Times New Roman" w:eastAsia="Times New Roman" w:hAnsi="Times New Roman"/>
                <w:sz w:val="26"/>
                <w:szCs w:val="26"/>
                <w:color w:val="000000"/>
                <w:vertAlign w:val="superscript"/>
              </w:rPr>
              <w:t>(13)</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 xml:space="preserve">Second Amendment to Membership Interest Purchase Agreement </w:t>
              </w:r>
            </w:hyperlink>
            <w:r>
              <w:rPr>
                <w:rFonts w:ascii="Times New Roman" w:cs="Times New Roman" w:eastAsia="Times New Roman" w:hAnsi="Times New Roman"/>
                <w:sz w:val="26"/>
                <w:szCs w:val="26"/>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 xml:space="preserve">Third Amendment to Membership Interest Purchase Agreement </w:t>
              </w:r>
            </w:hyperlink>
            <w:r>
              <w:rPr>
                <w:rFonts w:ascii="Times New Roman" w:cs="Times New Roman" w:eastAsia="Times New Roman" w:hAnsi="Times New Roman"/>
                <w:sz w:val="26"/>
                <w:szCs w:val="26"/>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 xml:space="preserve">Loan and Security Agreement dated as of December 12, 2024 </w:t>
              </w:r>
            </w:hyperlink>
            <w:r>
              <w:rPr>
                <w:rFonts w:ascii="Times New Roman" w:cs="Times New Roman" w:eastAsia="Times New Roman" w:hAnsi="Times New Roman"/>
                <w:sz w:val="26"/>
                <w:szCs w:val="26"/>
                <w:color w:val="000000"/>
                <w:vertAlign w:val="superscript"/>
              </w:rPr>
              <w:t>(3)</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 xml:space="preserve">Membership Pledge Agreement dated as of December 12, 2024 </w:t>
              </w:r>
            </w:hyperlink>
            <w:r>
              <w:rPr>
                <w:rFonts w:ascii="Times New Roman" w:cs="Times New Roman" w:eastAsia="Times New Roman" w:hAnsi="Times New Roman"/>
                <w:sz w:val="26"/>
                <w:szCs w:val="26"/>
                <w:color w:val="000000"/>
                <w:vertAlign w:val="superscript"/>
              </w:rPr>
              <w:t>(3)</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6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 xml:space="preserve">Asset Purchase Agreement dated June 21, 2024 </w:t>
              </w:r>
            </w:hyperlink>
            <w:r>
              <w:rPr>
                <w:rFonts w:ascii="Times New Roman" w:cs="Times New Roman" w:eastAsia="Times New Roman" w:hAnsi="Times New Roman"/>
                <w:sz w:val="26"/>
                <w:szCs w:val="26"/>
                <w:color w:val="000000"/>
                <w:vertAlign w:val="superscript"/>
              </w:rPr>
              <w:t>(16)</w:t>
            </w:r>
          </w:p>
        </w:tc>
        <w:tc>
          <w:tcPr>
            <w:tcW w:w="2980" w:type="dxa"/>
            <w:vAlign w:val="bottom"/>
            <w:gridSpan w:val="11"/>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 xml:space="preserve">Amendment to Employment Agreement between the Company and Robert D’Loren </w:t>
              </w:r>
            </w:hyperlink>
            <w:r>
              <w:rPr>
                <w:rFonts w:ascii="Times New Roman" w:cs="Times New Roman" w:eastAsia="Times New Roman" w:hAnsi="Times New Roman"/>
                <w:sz w:val="26"/>
                <w:szCs w:val="26"/>
                <w:color w:val="000000"/>
                <w:vertAlign w:val="superscript"/>
              </w:rPr>
              <w:t>(17)</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xml:space="preserve">Amendment to Employment Agreement between the Company and Seth Burroughs </w:t>
              </w:r>
            </w:hyperlink>
            <w:r>
              <w:rPr>
                <w:rFonts w:ascii="Times New Roman" w:cs="Times New Roman" w:eastAsia="Times New Roman" w:hAnsi="Times New Roman"/>
                <w:sz w:val="26"/>
                <w:szCs w:val="26"/>
                <w:color w:val="000000"/>
                <w:vertAlign w:val="superscript"/>
              </w:rPr>
              <w:t>(17)</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Subscription Agreement, dated as of March 15, 2024, by and between Robert W. D’Loren and Xcel</w:t>
              </w:r>
            </w:hyperlink>
          </w:p>
        </w:tc>
      </w:tr>
      <w:tr>
        <w:trPr>
          <w:trHeight w:val="196"/>
        </w:trPr>
        <w:tc>
          <w:tcPr>
            <w:tcW w:w="1140" w:type="dxa"/>
            <w:vAlign w:val="bottom"/>
          </w:tcPr>
          <w:p>
            <w:pPr>
              <w:spacing w:after="0"/>
              <w:rPr>
                <w:sz w:val="17"/>
                <w:szCs w:val="17"/>
                <w:color w:val="auto"/>
              </w:rPr>
            </w:pPr>
          </w:p>
        </w:tc>
        <w:tc>
          <w:tcPr>
            <w:tcW w:w="7160" w:type="dxa"/>
            <w:vAlign w:val="bottom"/>
            <w:tcBorders>
              <w:top w:val="single" w:sz="8" w:color="0000EE"/>
            </w:tcBorders>
            <w:gridSpan w:val="22"/>
          </w:tcPr>
          <w:p>
            <w:pPr>
              <w:spacing w:after="0" w:line="196" w:lineRule="exact"/>
              <w:rPr>
                <w:rFonts w:ascii="Times New Roman" w:cs="Times New Roman" w:eastAsia="Times New Roman" w:hAnsi="Times New Roman"/>
                <w:sz w:val="16"/>
                <w:szCs w:val="16"/>
                <w:color w:val="0000EE"/>
              </w:rPr>
            </w:pPr>
            <w:hyperlink r:id="rId153">
              <w:r>
                <w:rPr>
                  <w:rFonts w:ascii="Times New Roman" w:cs="Times New Roman" w:eastAsia="Times New Roman" w:hAnsi="Times New Roman"/>
                  <w:sz w:val="16"/>
                  <w:szCs w:val="16"/>
                  <w:color w:val="0000EE"/>
                </w:rPr>
                <w:t xml:space="preserve">Brands, Inc. </w:t>
              </w:r>
              <w:r>
                <w:rPr>
                  <w:rFonts w:ascii="Times New Roman" w:cs="Times New Roman" w:eastAsia="Times New Roman" w:hAnsi="Times New Roman"/>
                  <w:sz w:val="22"/>
                  <w:szCs w:val="22"/>
                  <w:color w:val="000000"/>
                  <w:vertAlign w:val="superscript"/>
                </w:rPr>
                <w:t>(14)</w:t>
              </w:r>
            </w:hyperlink>
          </w:p>
        </w:tc>
        <w:tc>
          <w:tcPr>
            <w:tcW w:w="42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Subscription Agreement, dated as of March 15, 2024, by and between Seth Burroughs and Xcel Brands,</w:t>
              </w:r>
            </w:hyperlink>
          </w:p>
        </w:tc>
      </w:tr>
      <w:tr>
        <w:trPr>
          <w:trHeight w:val="196"/>
        </w:trPr>
        <w:tc>
          <w:tcPr>
            <w:tcW w:w="1140" w:type="dxa"/>
            <w:vAlign w:val="bottom"/>
          </w:tcPr>
          <w:p>
            <w:pPr>
              <w:spacing w:after="0"/>
              <w:rPr>
                <w:sz w:val="17"/>
                <w:szCs w:val="17"/>
                <w:color w:val="auto"/>
              </w:rPr>
            </w:pPr>
          </w:p>
        </w:tc>
        <w:tc>
          <w:tcPr>
            <w:tcW w:w="7480" w:type="dxa"/>
            <w:vAlign w:val="bottom"/>
            <w:tcBorders>
              <w:top w:val="single" w:sz="8" w:color="0000EE"/>
            </w:tcBorders>
            <w:gridSpan w:val="24"/>
          </w:tcPr>
          <w:p>
            <w:pPr>
              <w:spacing w:after="0" w:line="196" w:lineRule="exact"/>
              <w:rPr>
                <w:rFonts w:ascii="Times New Roman" w:cs="Times New Roman" w:eastAsia="Times New Roman" w:hAnsi="Times New Roman"/>
                <w:sz w:val="10"/>
                <w:szCs w:val="10"/>
                <w:color w:val="auto"/>
              </w:rPr>
            </w:pPr>
            <w:hyperlink r:id="rId154">
              <w:r>
                <w:rPr>
                  <w:rFonts w:ascii="Times New Roman" w:cs="Times New Roman" w:eastAsia="Times New Roman" w:hAnsi="Times New Roman"/>
                  <w:sz w:val="22"/>
                  <w:szCs w:val="22"/>
                  <w:color w:val="0000EE"/>
                  <w:vertAlign w:val="subscript"/>
                </w:rPr>
                <w:t>Inc.</w:t>
              </w:r>
              <w:r>
                <w:rPr>
                  <w:rFonts w:ascii="Times New Roman" w:cs="Times New Roman" w:eastAsia="Times New Roman" w:hAnsi="Times New Roman"/>
                  <w:sz w:val="10"/>
                  <w:szCs w:val="10"/>
                  <w:color w:val="auto"/>
                </w:rPr>
                <w:t xml:space="preserve"> (14)</w:t>
              </w:r>
            </w:hyperlink>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5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Subscription Agreement, dated as of March 15, 2024, by and between Mark X. DiSanto Investment Trust</w:t>
              </w:r>
            </w:hyperlink>
          </w:p>
        </w:tc>
      </w:tr>
      <w:tr>
        <w:trPr>
          <w:trHeight w:val="196"/>
        </w:trPr>
        <w:tc>
          <w:tcPr>
            <w:tcW w:w="1140" w:type="dxa"/>
            <w:vAlign w:val="bottom"/>
          </w:tcPr>
          <w:p>
            <w:pPr>
              <w:spacing w:after="0"/>
              <w:rPr>
                <w:sz w:val="17"/>
                <w:szCs w:val="17"/>
                <w:color w:val="auto"/>
              </w:rPr>
            </w:pPr>
          </w:p>
        </w:tc>
        <w:tc>
          <w:tcPr>
            <w:tcW w:w="7580" w:type="dxa"/>
            <w:vAlign w:val="bottom"/>
            <w:gridSpan w:val="25"/>
          </w:tcPr>
          <w:p>
            <w:pPr>
              <w:spacing w:after="0" w:line="196" w:lineRule="exact"/>
              <w:rPr>
                <w:rFonts w:ascii="Times New Roman" w:cs="Times New Roman" w:eastAsia="Times New Roman" w:hAnsi="Times New Roman"/>
                <w:sz w:val="16"/>
                <w:szCs w:val="16"/>
                <w:color w:val="0000EE"/>
              </w:rPr>
            </w:pPr>
            <w:hyperlink r:id="rId155">
              <w:r>
                <w:rPr>
                  <w:rFonts w:ascii="Times New Roman" w:cs="Times New Roman" w:eastAsia="Times New Roman" w:hAnsi="Times New Roman"/>
                  <w:sz w:val="16"/>
                  <w:szCs w:val="16"/>
                  <w:color w:val="0000EE"/>
                </w:rPr>
                <w:t xml:space="preserve">and Xcel Brands, Inc. </w:t>
              </w:r>
              <w:r>
                <w:rPr>
                  <w:rFonts w:ascii="Times New Roman" w:cs="Times New Roman" w:eastAsia="Times New Roman" w:hAnsi="Times New Roman"/>
                  <w:sz w:val="22"/>
                  <w:szCs w:val="22"/>
                  <w:color w:val="000000"/>
                  <w:vertAlign w:val="superscript"/>
                </w:rPr>
                <w:t>(14)</w:t>
              </w:r>
            </w:hyperlink>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3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Second Amendment to Loan and Security Agreement, dated as of April 21, 2025, by and among Xcel</w:t>
              </w:r>
            </w:hyperlink>
          </w:p>
        </w:tc>
        <w:tc>
          <w:tcPr>
            <w:tcW w:w="2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5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Brands, Inc., each subsidiary party thereto as guarantors, the financial institutions party thereto as lenders</w:t>
              </w:r>
            </w:hyperlink>
          </w:p>
        </w:tc>
      </w:tr>
      <w:tr>
        <w:trPr>
          <w:trHeight w:val="196"/>
        </w:trPr>
        <w:tc>
          <w:tcPr>
            <w:tcW w:w="1140" w:type="dxa"/>
            <w:vAlign w:val="bottom"/>
          </w:tcPr>
          <w:p>
            <w:pPr>
              <w:spacing w:after="0"/>
              <w:rPr>
                <w:sz w:val="17"/>
                <w:szCs w:val="17"/>
                <w:color w:val="auto"/>
              </w:rPr>
            </w:pPr>
          </w:p>
        </w:tc>
        <w:tc>
          <w:tcPr>
            <w:tcW w:w="7580" w:type="dxa"/>
            <w:vAlign w:val="bottom"/>
            <w:gridSpan w:val="25"/>
          </w:tcPr>
          <w:p>
            <w:pPr>
              <w:spacing w:after="0" w:line="196" w:lineRule="exact"/>
              <w:rPr>
                <w:rFonts w:ascii="Times New Roman" w:cs="Times New Roman" w:eastAsia="Times New Roman" w:hAnsi="Times New Roman"/>
                <w:sz w:val="16"/>
                <w:szCs w:val="16"/>
                <w:color w:val="0000EE"/>
              </w:rPr>
            </w:pPr>
            <w:hyperlink r:id="rId156">
              <w:r>
                <w:rPr>
                  <w:rFonts w:ascii="Times New Roman" w:cs="Times New Roman" w:eastAsia="Times New Roman" w:hAnsi="Times New Roman"/>
                  <w:sz w:val="16"/>
                  <w:szCs w:val="16"/>
                  <w:color w:val="0000EE"/>
                </w:rPr>
                <w:t xml:space="preserve">and FEAC Agent, LLC as administrative agent and collateral agent </w:t>
              </w:r>
              <w:r>
                <w:rPr>
                  <w:rFonts w:ascii="Times New Roman" w:cs="Times New Roman" w:eastAsia="Times New Roman" w:hAnsi="Times New Roman"/>
                  <w:sz w:val="22"/>
                  <w:szCs w:val="22"/>
                  <w:color w:val="000000"/>
                  <w:vertAlign w:val="superscript"/>
                </w:rPr>
                <w:t>(20)</w:t>
              </w:r>
            </w:hyperlink>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 xml:space="preserve">Board Nominee Agreement by and between the Company and UTG dated April 21, 2025 </w:t>
              </w:r>
            </w:hyperlink>
            <w:r>
              <w:rPr>
                <w:rFonts w:ascii="Times New Roman" w:cs="Times New Roman" w:eastAsia="Times New Roman" w:hAnsi="Times New Roman"/>
                <w:sz w:val="26"/>
                <w:szCs w:val="26"/>
                <w:color w:val="000000"/>
                <w:vertAlign w:val="superscript"/>
              </w:rPr>
              <w:t>(20)</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64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 xml:space="preserve">Support Agreement dated April 21, 2025 </w:t>
              </w:r>
            </w:hyperlink>
            <w:r>
              <w:rPr>
                <w:rFonts w:ascii="Times New Roman" w:cs="Times New Roman" w:eastAsia="Times New Roman" w:hAnsi="Times New Roman"/>
                <w:sz w:val="26"/>
                <w:szCs w:val="26"/>
                <w:color w:val="000000"/>
                <w:vertAlign w:val="superscript"/>
              </w:rPr>
              <w:t>(20)</w:t>
            </w:r>
          </w:p>
        </w:tc>
        <w:tc>
          <w:tcPr>
            <w:tcW w:w="1160" w:type="dxa"/>
            <w:vAlign w:val="bottom"/>
            <w:gridSpan w:val="6"/>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580" w:type="dxa"/>
            <w:vAlign w:val="bottom"/>
            <w:gridSpan w:val="2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 xml:space="preserve">Membership Interest Transfer Agreement effective as of April 15, 2025 </w:t>
              </w:r>
            </w:hyperlink>
            <w:r>
              <w:rPr>
                <w:rFonts w:ascii="Times New Roman" w:cs="Times New Roman" w:eastAsia="Times New Roman" w:hAnsi="Times New Roman"/>
                <w:sz w:val="26"/>
                <w:szCs w:val="26"/>
                <w:color w:val="000000"/>
                <w:vertAlign w:val="superscript"/>
              </w:rPr>
              <w:t>(20)</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1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 xml:space="preserve">Subsidiaries of the Registrant </w:t>
            </w:r>
            <w:r>
              <w:rPr>
                <w:rFonts w:ascii="Times New Roman" w:cs="Times New Roman" w:eastAsia="Times New Roman" w:hAnsi="Times New Roman"/>
                <w:sz w:val="26"/>
                <w:szCs w:val="26"/>
                <w:color w:val="000000"/>
                <w:vertAlign w:val="superscript"/>
              </w:rPr>
              <w:t>(21)</w:t>
            </w:r>
          </w:p>
        </w:tc>
        <w:tc>
          <w:tcPr>
            <w:tcW w:w="2440" w:type="dxa"/>
            <w:vAlign w:val="bottom"/>
            <w:gridSpan w:val="8"/>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 xml:space="preserve">Independent Registered Public Accounting Firm’s Consent </w:t>
            </w:r>
            <w:r>
              <w:rPr>
                <w:rFonts w:ascii="Times New Roman" w:cs="Times New Roman" w:eastAsia="Times New Roman" w:hAnsi="Times New Roman"/>
                <w:sz w:val="26"/>
                <w:szCs w:val="26"/>
                <w:color w:val="000000"/>
                <w:vertAlign w:val="superscript"/>
              </w:rPr>
              <w:t>(21)</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31(i).1</w:t>
            </w:r>
          </w:p>
        </w:tc>
        <w:tc>
          <w:tcPr>
            <w:tcW w:w="42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 xml:space="preserve">Rule 13a-14(a)/15d-14(a) Certification (CEO) </w:t>
            </w:r>
            <w:r>
              <w:rPr>
                <w:rFonts w:ascii="Times New Roman" w:cs="Times New Roman" w:eastAsia="Times New Roman" w:hAnsi="Times New Roman"/>
                <w:sz w:val="26"/>
                <w:szCs w:val="26"/>
                <w:color w:val="000000"/>
                <w:vertAlign w:val="superscript"/>
              </w:rPr>
              <w:t>(21)</w:t>
            </w:r>
          </w:p>
        </w:tc>
        <w:tc>
          <w:tcPr>
            <w:tcW w:w="3340" w:type="dxa"/>
            <w:vAlign w:val="bottom"/>
            <w:gridSpan w:val="1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31(i).2</w:t>
            </w:r>
          </w:p>
        </w:tc>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 xml:space="preserve">Rule 13a-14(a)/15d-14(a) Certification (CFO) </w:t>
            </w:r>
            <w:r>
              <w:rPr>
                <w:rFonts w:ascii="Times New Roman" w:cs="Times New Roman" w:eastAsia="Times New Roman" w:hAnsi="Times New Roman"/>
                <w:sz w:val="26"/>
                <w:szCs w:val="26"/>
                <w:color w:val="000000"/>
                <w:vertAlign w:val="superscript"/>
              </w:rPr>
              <w:t>(21)</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32(i).1</w:t>
            </w:r>
          </w:p>
        </w:tc>
        <w:tc>
          <w:tcPr>
            <w:tcW w:w="33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 xml:space="preserve">Section 1350 Certification (CEO) </w:t>
            </w:r>
            <w:r>
              <w:rPr>
                <w:rFonts w:ascii="Times New Roman" w:cs="Times New Roman" w:eastAsia="Times New Roman" w:hAnsi="Times New Roman"/>
                <w:sz w:val="26"/>
                <w:szCs w:val="26"/>
                <w:color w:val="000000"/>
                <w:vertAlign w:val="superscript"/>
              </w:rPr>
              <w:t>(21)</w:t>
            </w:r>
          </w:p>
        </w:tc>
        <w:tc>
          <w:tcPr>
            <w:tcW w:w="4240" w:type="dxa"/>
            <w:vAlign w:val="bottom"/>
            <w:gridSpan w:val="15"/>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4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32(i).2</w:t>
            </w:r>
          </w:p>
        </w:tc>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 xml:space="preserve">Section 1350 Certification (CFO) </w:t>
            </w:r>
            <w:r>
              <w:rPr>
                <w:rFonts w:ascii="Times New Roman" w:cs="Times New Roman" w:eastAsia="Times New Roman" w:hAnsi="Times New Roman"/>
                <w:sz w:val="26"/>
                <w:szCs w:val="26"/>
                <w:color w:val="000000"/>
                <w:vertAlign w:val="superscript"/>
              </w:rPr>
              <w:t>(21)</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4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 xml:space="preserve">Clawback Policy </w:t>
              </w:r>
            </w:hyperlink>
            <w:r>
              <w:rPr>
                <w:rFonts w:ascii="Times New Roman" w:cs="Times New Roman" w:eastAsia="Times New Roman" w:hAnsi="Times New Roman"/>
                <w:sz w:val="26"/>
                <w:szCs w:val="26"/>
                <w:color w:val="000000"/>
                <w:vertAlign w:val="superscript"/>
              </w:rPr>
              <w:t>(15)</w:t>
            </w:r>
          </w:p>
        </w:tc>
        <w:tc>
          <w:tcPr>
            <w:tcW w:w="5140" w:type="dxa"/>
            <w:vAlign w:val="bottom"/>
            <w:gridSpan w:val="18"/>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72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0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IM Topco, LLC Financial Statements as of December 31, 2023 and 2022, and for the Year Ended</w:t>
              </w:r>
            </w:hyperlink>
          </w:p>
        </w:tc>
        <w:tc>
          <w:tcPr>
            <w:tcW w:w="5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8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December 31, 2023 and Period from May 11, 2022 (inception) through December 31, 2022 and</w:t>
              </w:r>
            </w:hyperlink>
          </w:p>
        </w:tc>
        <w:tc>
          <w:tcPr>
            <w:tcW w:w="7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580" w:type="dxa"/>
            <w:vAlign w:val="bottom"/>
            <w:gridSpan w:val="25"/>
          </w:tcPr>
          <w:p>
            <w:pPr>
              <w:spacing w:after="0" w:line="196" w:lineRule="exact"/>
              <w:rPr>
                <w:rFonts w:ascii="Times New Roman" w:cs="Times New Roman" w:eastAsia="Times New Roman" w:hAnsi="Times New Roman"/>
                <w:sz w:val="16"/>
                <w:szCs w:val="16"/>
                <w:color w:val="0000EE"/>
              </w:rPr>
            </w:pPr>
            <w:hyperlink r:id="rId161">
              <w:r>
                <w:rPr>
                  <w:rFonts w:ascii="Times New Roman" w:cs="Times New Roman" w:eastAsia="Times New Roman" w:hAnsi="Times New Roman"/>
                  <w:sz w:val="16"/>
                  <w:szCs w:val="16"/>
                  <w:color w:val="0000EE"/>
                </w:rPr>
                <w:t xml:space="preserve">Independent Auditor’s Report </w:t>
              </w:r>
              <w:r>
                <w:rPr>
                  <w:rFonts w:ascii="Times New Roman" w:cs="Times New Roman" w:eastAsia="Times New Roman" w:hAnsi="Times New Roman"/>
                  <w:sz w:val="22"/>
                  <w:szCs w:val="22"/>
                  <w:color w:val="000000"/>
                  <w:vertAlign w:val="superscript"/>
                </w:rPr>
                <w:t>(19)</w:t>
              </w:r>
            </w:hyperlink>
          </w:p>
        </w:tc>
      </w:tr>
      <w:tr>
        <w:trPr>
          <w:trHeight w:val="20"/>
        </w:trPr>
        <w:tc>
          <w:tcPr>
            <w:tcW w:w="11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5420" w:type="dxa"/>
            <w:vAlign w:val="bottom"/>
            <w:gridSpan w:val="19"/>
          </w:tcPr>
          <w:p>
            <w:pPr>
              <w:spacing w:after="0" w:line="20" w:lineRule="exact"/>
              <w:rPr>
                <w:sz w:val="1"/>
                <w:szCs w:val="1"/>
                <w:color w:val="auto"/>
              </w:rPr>
            </w:pPr>
          </w:p>
        </w:tc>
      </w:tr>
      <w:tr>
        <w:trPr>
          <w:trHeight w:val="5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6"/>
                <w:szCs w:val="26"/>
                <w:color w:val="auto"/>
                <w:vertAlign w:val="superscript"/>
              </w:rPr>
              <w:t>(21)</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35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Inline XBRL Taxonomy Schema </w:t>
            </w:r>
            <w:r>
              <w:rPr>
                <w:rFonts w:ascii="Times New Roman" w:cs="Times New Roman" w:eastAsia="Times New Roman" w:hAnsi="Times New Roman"/>
                <w:sz w:val="26"/>
                <w:szCs w:val="26"/>
                <w:color w:val="auto"/>
                <w:vertAlign w:val="superscript"/>
              </w:rPr>
              <w:t>(21)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Inline XBRL Taxonomy Calculation Linkbase </w:t>
            </w:r>
            <w:r>
              <w:rPr>
                <w:rFonts w:ascii="Times New Roman" w:cs="Times New Roman" w:eastAsia="Times New Roman" w:hAnsi="Times New Roman"/>
                <w:sz w:val="26"/>
                <w:szCs w:val="26"/>
                <w:color w:val="auto"/>
                <w:vertAlign w:val="superscript"/>
              </w:rPr>
              <w:t>(21)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Inline XBRL Taxonomy Definition Linkbase </w:t>
            </w:r>
            <w:r>
              <w:rPr>
                <w:rFonts w:ascii="Times New Roman" w:cs="Times New Roman" w:eastAsia="Times New Roman" w:hAnsi="Times New Roman"/>
                <w:sz w:val="26"/>
                <w:szCs w:val="26"/>
                <w:color w:val="auto"/>
                <w:vertAlign w:val="superscript"/>
              </w:rPr>
              <w:t>(21)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Inline XBRL Taxonomy Label Linkbase </w:t>
            </w:r>
            <w:r>
              <w:rPr>
                <w:rFonts w:ascii="Times New Roman" w:cs="Times New Roman" w:eastAsia="Times New Roman" w:hAnsi="Times New Roman"/>
                <w:sz w:val="26"/>
                <w:szCs w:val="26"/>
                <w:color w:val="auto"/>
                <w:vertAlign w:val="superscript"/>
              </w:rPr>
              <w:t>(21)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Inline XBRL Taxonomy Presentation Linkbase </w:t>
            </w:r>
            <w:r>
              <w:rPr>
                <w:rFonts w:ascii="Times New Roman" w:cs="Times New Roman" w:eastAsia="Times New Roman" w:hAnsi="Times New Roman"/>
                <w:sz w:val="26"/>
                <w:szCs w:val="26"/>
                <w:color w:val="auto"/>
                <w:vertAlign w:val="superscript"/>
              </w:rPr>
              <w:t>(21)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 xml:space="preserve">Cover Page Interactive Data File (formatted as inline XBRL and contained in Exhibit 101) </w:t>
            </w:r>
            <w:r>
              <w:rPr>
                <w:rFonts w:ascii="Times New Roman" w:cs="Times New Roman" w:eastAsia="Times New Roman" w:hAnsi="Times New Roman"/>
                <w:sz w:val="26"/>
                <w:szCs w:val="26"/>
                <w:color w:val="auto"/>
                <w:w w:val="98"/>
                <w:vertAlign w:val="superscript"/>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41414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65" w:lineRule="exact"/>
        <w:rPr>
          <w:sz w:val="20"/>
          <w:szCs w:val="20"/>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February 15, 2019.</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2013.</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16, 2024.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April 9,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July 14, 2015.</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October 24, 2017.</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8, 2017.</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Definitive Proxy Statement on Form DEF 14-A, which was filed with the SEC on August 15, 2016.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2020, which was filed with the SEC on April 23, 2021.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revised Definitive Proxy Statement on Form DEF 14-A, which was filed with the SEC on October 20, 2021.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2021, which was filed with the SEC on April 15, 2022.</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June 3, 2022.</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19,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79" w:hanging="330"/>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2023, which was filed with the SEC on April 19, 2024.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June 24, 2024.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August 2, 2024.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24, 2025.</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referenced to the appropriate Exhibit to the Annual Report on Form 10-K/A for the year ended December 31, 2023, which was filed with the SEC on November 29, 2024.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24, 2025.</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2025</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211"/>
        </w:trPr>
        <w:tc>
          <w:tcPr>
            <w:tcW w:w="45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 Chairman, President,</w:t>
            </w:r>
          </w:p>
        </w:tc>
      </w:tr>
      <w:tr>
        <w:trPr>
          <w:trHeight w:val="230"/>
        </w:trPr>
        <w:tc>
          <w:tcPr>
            <w:tcW w:w="45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45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80" w:type="dxa"/>
            <w:vAlign w:val="bottom"/>
          </w:tcPr>
          <w:p>
            <w:pPr>
              <w:spacing w:after="0"/>
              <w:rPr>
                <w:sz w:val="16"/>
                <w:szCs w:val="16"/>
                <w:color w:val="auto"/>
              </w:rPr>
            </w:pPr>
          </w:p>
        </w:tc>
      </w:tr>
      <w:tr>
        <w:trPr>
          <w:trHeight w:val="45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W. D’Loren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8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 Haran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Haran</w:t>
            </w:r>
          </w:p>
        </w:tc>
        <w:tc>
          <w:tcPr>
            <w:tcW w:w="18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118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80" w:type="dxa"/>
            <w:vAlign w:val="bottom"/>
          </w:tcPr>
          <w:p>
            <w:pPr>
              <w:spacing w:after="0"/>
              <w:rPr>
                <w:sz w:val="20"/>
                <w:szCs w:val="20"/>
                <w:color w:val="auto"/>
              </w:rPr>
            </w:pPr>
          </w:p>
        </w:tc>
      </w:tr>
      <w:tr>
        <w:trPr>
          <w:trHeight w:val="466"/>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Mark DiSanto</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Fielding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Howard Liebman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Deborah Weinswig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May 27, 2025</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Xcel Brands,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and Jurisdiction of Incorporation</w:t>
      </w:r>
    </w:p>
    <w:p>
      <w:pPr>
        <w:spacing w:after="0" w:line="229" w:lineRule="exact"/>
        <w:rPr>
          <w:sz w:val="20"/>
          <w:szCs w:val="20"/>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Brands,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Ripka Fine Jewelry,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Ripka Fine Jewelry Digital,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Halston IP,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Halston XL MD,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Wonder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Longaberger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 Design Group,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XCEL-CT MFG,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 Optix, LLC, a Delaware limited liability company</w:t>
      </w:r>
    </w:p>
    <w:p>
      <w:pPr>
        <w:spacing w:after="0" w:line="225" w:lineRule="exact"/>
        <w:rPr>
          <w:rFonts w:ascii="Times New Roman" w:cs="Times New Roman" w:eastAsia="Times New Roman" w:hAnsi="Times New Roman"/>
          <w:sz w:val="18"/>
          <w:szCs w:val="18"/>
          <w:color w:val="auto"/>
        </w:rPr>
      </w:pPr>
    </w:p>
    <w:p>
      <w:pPr>
        <w:ind w:left="720" w:hanging="210"/>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AHX Beauty,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Beauty Solution,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Tribe Cosmetics,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 Acquisition Co.,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[File No. 333-188985]; [File No. 333-201252]; [File No. 333-214150]; and [File No. 333-264382] of our report dated May 27, 2025 relating to the financial statements of Xcel Brands, Inc. and Subsidiaries appearing in this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ind w:left="8620"/>
        <w:spacing w:after="0"/>
        <w:rPr>
          <w:sz w:val="20"/>
          <w:szCs w:val="20"/>
          <w:color w:val="auto"/>
        </w:rPr>
      </w:pPr>
      <w:r>
        <w:rPr>
          <w:rFonts w:ascii="Times New Roman" w:cs="Times New Roman" w:eastAsia="Times New Roman" w:hAnsi="Times New Roman"/>
          <w:sz w:val="17"/>
          <w:szCs w:val="17"/>
          <w:b w:val="1"/>
          <w:bCs w:val="1"/>
          <w:color w:val="auto"/>
        </w:rPr>
        <w:t>EXHIBIT 31(i).1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2024.</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27,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5" w:name="page116"/>
    <w:bookmarkEnd w:id="115"/>
    <w:p>
      <w:pPr>
        <w:ind w:left="8620"/>
        <w:spacing w:after="0"/>
        <w:rPr>
          <w:sz w:val="20"/>
          <w:szCs w:val="20"/>
          <w:color w:val="auto"/>
        </w:rPr>
      </w:pPr>
      <w:r>
        <w:rPr>
          <w:rFonts w:ascii="Times New Roman" w:cs="Times New Roman" w:eastAsia="Times New Roman" w:hAnsi="Times New Roman"/>
          <w:sz w:val="17"/>
          <w:szCs w:val="17"/>
          <w:b w:val="1"/>
          <w:bCs w:val="1"/>
          <w:color w:val="auto"/>
        </w:rPr>
        <w:t>EXHIBIT 31(i).2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Haran certify that:</w:t>
      </w:r>
    </w:p>
    <w:p>
      <w:pPr>
        <w:spacing w:after="0" w:line="158"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2024.</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27,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2024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27,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2024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27,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Roman"/>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lvl w:ilvl="1">
      <w:lvlJc w:val="left"/>
      <w:lvlText w:val="(%2)"/>
      <w:numFmt w:val="lowerRoman"/>
      <w:start w:val="1"/>
    </w:lvl>
  </w:abstractNum>
  <w:abstractNum w:abstractNumId="30">
    <w:nsid w:val="2CD89A32"/>
    <w:multiLevelType w:val="hybridMultilevel"/>
    <w:lvl w:ilvl="0">
      <w:lvlJc w:val="left"/>
      <w:lvlText w:val="(%1)"/>
      <w:numFmt w:val="lowerRoman"/>
      <w:start w:val="2"/>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8"/>
    </w:lvl>
  </w:abstractNum>
  <w:abstractNum w:abstractNumId="39">
    <w:nsid w:val="684A481A"/>
    <w:multiLevelType w:val="hybridMultilevel"/>
    <w:lvl w:ilvl="0">
      <w:lvlJc w:val="left"/>
      <w:lvlText w:val="(%1)"/>
      <w:numFmt w:val="lowerRoman"/>
      <w:start w:val="1"/>
    </w:lvl>
  </w:abstractNum>
  <w:abstractNum w:abstractNumId="40">
    <w:nsid w:val="579478FE"/>
    <w:multiLevelType w:val="hybridMultilevel"/>
    <w:lvl w:ilvl="0">
      <w:lvlJc w:val="left"/>
      <w:lvlText w:val="(%1)"/>
      <w:numFmt w:val="lowerRoman"/>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upperLetter"/>
      <w:start w:val="61"/>
    </w:lvl>
  </w:abstractNum>
  <w:abstractNum w:abstractNumId="46">
    <w:nsid w:val="12E685FB"/>
    <w:multiLevelType w:val="hybridMultilevel"/>
    <w:lvl w:ilvl="0">
      <w:lvlJc w:val="left"/>
      <w:lvlText w:val="(%1)"/>
      <w:numFmt w:val="lowerRoman"/>
      <w:start w:val="1"/>
    </w:lvl>
  </w:abstractNum>
  <w:abstractNum w:abstractNumId="47">
    <w:nsid w:val="70C6A529"/>
    <w:multiLevelType w:val="hybridMultilevel"/>
    <w:lvl w:ilvl="0">
      <w:lvlJc w:val="left"/>
      <w:lvlText w:val="%1"/>
      <w:numFmt w:val="upperLetter"/>
      <w:start w:val="6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lvl>
    <w:lvl w:ilvl="1">
      <w:lvlJc w:val="left"/>
      <w:lvlText w:val="&amp;"/>
      <w:numFmt w:val="bullet"/>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7"/>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5"/>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4"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23" Type="http://schemas.openxmlformats.org/officeDocument/2006/relationships/hyperlink" Target="http://www.sec.gov/Archives/edgar/data/1083220/000114420417053726/tv477575_ex3-1.htm" TargetMode="External"/><Relationship Id="rId124" Type="http://schemas.openxmlformats.org/officeDocument/2006/relationships/hyperlink" Target="https://www.sec.gov/Archives/edgar/data/1083220/000155837025003550/xelb-20250324xex3d1.htm" TargetMode="External"/><Relationship Id="rId125" Type="http://schemas.openxmlformats.org/officeDocument/2006/relationships/hyperlink" Target="http://www.sec.gov/Archives/edgar/data/1083220/000114420417063004/tv481032_ex3-2.htm" TargetMode="External"/><Relationship Id="rId126" Type="http://schemas.openxmlformats.org/officeDocument/2006/relationships/hyperlink" Target="http://www.sec.gov/Archives/edgar/data/1083220/000114420416119169/v446751_def14a.htm" TargetMode="External"/><Relationship Id="rId127" Type="http://schemas.openxmlformats.org/officeDocument/2006/relationships/hyperlink" Target="https://www.sec.gov/Archives/edgar/data/0001083220/000155837021013317/tmb-20211020xdefr14a.htm" TargetMode="External"/><Relationship Id="rId128" Type="http://schemas.openxmlformats.org/officeDocument/2006/relationships/hyperlink" Target="https://www.sec.gov/Archives/edgar/data/0001083220/000155837021004669/xelb-20201231ex44b18da27.htm" TargetMode="External"/><Relationship Id="rId129" Type="http://schemas.openxmlformats.org/officeDocument/2006/relationships/hyperlink" Target="https://www.sec.gov/Archives/edgar/data/1083220/000155837024005326/xelb-20231231xex4d4.htm" TargetMode="External"/><Relationship Id="rId130" Type="http://schemas.openxmlformats.org/officeDocument/2006/relationships/hyperlink" Target="https://www.sec.gov/Archives/edgar/data/1083220/000110465924036225/tm249267d1_ex1-1.htm" TargetMode="External"/><Relationship Id="rId131" Type="http://schemas.openxmlformats.org/officeDocument/2006/relationships/hyperlink" Target="https://www.sec.gov/Archives/edgar/data/1083220/000155837024016245/xelb-20241212xex4d1.htm" TargetMode="External"/><Relationship Id="rId132" Type="http://schemas.openxmlformats.org/officeDocument/2006/relationships/hyperlink" Target="https://www.sec.gov/Archives/edgar/data/1083220/000155837025005407/xelb-20250415xex4d1.htm" TargetMode="External"/><Relationship Id="rId133" Type="http://schemas.openxmlformats.org/officeDocument/2006/relationships/hyperlink" Target="https://www.sec.gov/Archives/edgar/data/1083220/000155837025005407/xelb-20250415xex4d2.htm" TargetMode="External"/><Relationship Id="rId134" Type="http://schemas.openxmlformats.org/officeDocument/2006/relationships/hyperlink" Target="https://www.sec.gov/Archives/edgar/data/1083220/000155837025005407/xelb-20250415xex4d3.htm" TargetMode="External"/><Relationship Id="rId135" Type="http://schemas.openxmlformats.org/officeDocument/2006/relationships/hyperlink" Target="https://www.sec.gov/Archives/edgar/data/1083220/000155837025005407/xelb-20250415xex4d4.htm" TargetMode="External"/><Relationship Id="rId136" Type="http://schemas.openxmlformats.org/officeDocument/2006/relationships/hyperlink" Target="http://www.sec.gov/Archives/edgar/data/1083220/000114420413068859/v363835_ex9-1.htm" TargetMode="External"/><Relationship Id="rId137" Type="http://schemas.openxmlformats.org/officeDocument/2006/relationships/hyperlink" Target="http://www.sec.gov/Archives/edgar/data/1083220/000114420414021516/v374277_ex10-8.htm" TargetMode="External"/><Relationship Id="rId138" Type="http://schemas.openxmlformats.org/officeDocument/2006/relationships/hyperlink" Target="http://www.sec.gov/Archives/edgar/data/1083220/000114420414075828/v397490_ex10-9.htm" TargetMode="External"/><Relationship Id="rId139" Type="http://schemas.openxmlformats.org/officeDocument/2006/relationships/hyperlink" Target="http://www.sec.gov/Archives/edgar/data/1083220/000114420419008652/tv513776_ex10-1.htm" TargetMode="External"/><Relationship Id="rId140" Type="http://schemas.openxmlformats.org/officeDocument/2006/relationships/hyperlink" Target="http://www.sec.gov/Archives/edgar/data/1083220/000114420419011627/tv515202_ex10-1.htm" TargetMode="External"/><Relationship Id="rId141" Type="http://schemas.openxmlformats.org/officeDocument/2006/relationships/hyperlink" Target="http://www.sec.gov/Archives/edgar/data/1083220/000114420419011627/tv515202_ex10-2.htm" TargetMode="External"/><Relationship Id="rId142" Type="http://schemas.openxmlformats.org/officeDocument/2006/relationships/hyperlink" Target="https://www.sec.gov/Archives/edgar/data/1083220/000155837022005491/xelb-20211231xex10d7.htm" TargetMode="External"/><Relationship Id="rId143" Type="http://schemas.openxmlformats.org/officeDocument/2006/relationships/hyperlink" Target="http://www.sec.gov/Archives/edgar/data/1083220/000114420415042399/v415471_ex10-1.htm" TargetMode="External"/><Relationship Id="rId145" Type="http://schemas.openxmlformats.org/officeDocument/2006/relationships/hyperlink" Target="https://www.sec.gov/Archives/edgar/data/1083220/000110465922067941/tm2217535d1_ex2-1.htm" TargetMode="External"/><Relationship Id="rId146" Type="http://schemas.openxmlformats.org/officeDocument/2006/relationships/hyperlink" Target="https://www.sec.gov/Archives/edgar/data/1083220/000155837024005326/xelb-20231231xex10d7.htm" TargetMode="External"/><Relationship Id="rId147" Type="http://schemas.openxmlformats.org/officeDocument/2006/relationships/hyperlink" Target="https://www.sec.gov/Archives/edgar/data/1083220/000155837024005326/xelb-20231231xex10d8.htm" TargetMode="External"/><Relationship Id="rId148" Type="http://schemas.openxmlformats.org/officeDocument/2006/relationships/hyperlink" Target="https://www.sec.gov/Archives/edgar/data/1083220/000155837024016245/xelb-20241212xex10d1.htm" TargetMode="External"/><Relationship Id="rId149" Type="http://schemas.openxmlformats.org/officeDocument/2006/relationships/hyperlink" Target="https://www.sec.gov/Archives/edgar/data/1083220/000155837024016245/xelb-20241212xex10d2.htm" TargetMode="External"/><Relationship Id="rId150" Type="http://schemas.openxmlformats.org/officeDocument/2006/relationships/hyperlink" Target="https://www.sec.gov/Archives/edgar/data/1083220/000155837024009446/xelb-20240621xex10d1.htm" TargetMode="External"/><Relationship Id="rId151" Type="http://schemas.openxmlformats.org/officeDocument/2006/relationships/hyperlink" Target="https://www.sec.gov/Archives/edgar/data/1083220/000155837024010706/xelb-20240730xex10d1.htm" TargetMode="External"/><Relationship Id="rId152" Type="http://schemas.openxmlformats.org/officeDocument/2006/relationships/hyperlink" Target="https://www.sec.gov/Archives/edgar/data/1083220/000155837024010706/xelb-20240730xex10d2.htm" TargetMode="External"/><Relationship Id="rId153" Type="http://schemas.openxmlformats.org/officeDocument/2006/relationships/hyperlink" Target="https://www.sec.gov/Archives/edgar/data/1083220/000110465924036225/tm249267d1_ex10-1.htm" TargetMode="External"/><Relationship Id="rId154" Type="http://schemas.openxmlformats.org/officeDocument/2006/relationships/hyperlink" Target="https://www.sec.gov/Archives/edgar/data/1083220/000110465924036225/tm249267d1_ex10-2.htm" TargetMode="External"/><Relationship Id="rId155" Type="http://schemas.openxmlformats.org/officeDocument/2006/relationships/hyperlink" Target="https://www.sec.gov/Archives/edgar/data/1083220/000110465924036225/tm249267d1_ex10-3.htm" TargetMode="External"/><Relationship Id="rId156" Type="http://schemas.openxmlformats.org/officeDocument/2006/relationships/hyperlink" Target="https://www.sec.gov/Archives/edgar/data/1083220/000155837025005407/xelb-20250415xex10d1.htm" TargetMode="External"/><Relationship Id="rId157" Type="http://schemas.openxmlformats.org/officeDocument/2006/relationships/hyperlink" Target="https://www.sec.gov/Archives/edgar/data/1083220/000155837025005407/xelb-20250415xex10d2.htm" TargetMode="External"/><Relationship Id="rId158" Type="http://schemas.openxmlformats.org/officeDocument/2006/relationships/hyperlink" Target="https://www.sec.gov/Archives/edgar/data/1083220/000155837025005407/xelb-20250415xex10d3.htm" TargetMode="External"/><Relationship Id="rId159" Type="http://schemas.openxmlformats.org/officeDocument/2006/relationships/hyperlink" Target="https://www.sec.gov/Archives/edgar/data/1083220/000155837025005407/xelb-20250415xex10d4.htm" TargetMode="External"/><Relationship Id="rId160" Type="http://schemas.openxmlformats.org/officeDocument/2006/relationships/hyperlink" Target="https://www.sec.gov/Archives/edgar/data/1083220/000155837024005326/xelb-20231231xex97d1.htm" TargetMode="External"/><Relationship Id="rId161" Type="http://schemas.openxmlformats.org/officeDocument/2006/relationships/hyperlink" Target="https://www.sec.gov/Archives/edgar/data/1083220/000155837024015950/xelb-20231231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2025-05-28T05:15:47Z</dcterms:created>
  <dcterms:modified xsi:type="dcterms:W3CDTF">2025-05-28T05:15:47Z</dcterms:modified>
</cp:coreProperties>
</file>