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 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June 30, 2016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jc w:val="center"/>
        <w:ind w:left="4240" w:right="1000" w:hanging="3231"/>
        <w:spacing w:after="0" w:line="502" w:lineRule="auto"/>
        <w:tabs>
          <w:tab w:leader="none" w:pos="126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 to ___</w:t>
      </w:r>
    </w:p>
    <w:p>
      <w:pPr>
        <w:ind w:left="44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i w:val="1"/>
          <w:iCs w:val="1"/>
          <w:color w:val="auto"/>
        </w:rPr>
        <w:t>Commission File Number: 0-31553</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620" w:type="dxa"/>
            <w:vAlign w:val="bottom"/>
            <w:gridSpan w:val="4"/>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9"/>
              </w:rPr>
              <w:t>XCEL BRANDS, INC.</w:t>
            </w:r>
          </w:p>
        </w:tc>
      </w:tr>
      <w:tr>
        <w:trPr>
          <w:trHeight w:val="234"/>
        </w:trPr>
        <w:tc>
          <w:tcPr>
            <w:tcW w:w="2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20" w:type="dxa"/>
            <w:vAlign w:val="bottom"/>
            <w:gridSpan w:val="4"/>
          </w:tcPr>
          <w:p>
            <w:pPr>
              <w:jc w:val="center"/>
              <w:ind w:right="3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3800" w:type="dxa"/>
            <w:vAlign w:val="bottom"/>
            <w:gridSpan w:val="2"/>
          </w:tcPr>
          <w:p>
            <w:pPr>
              <w:jc w:val="center"/>
              <w:ind w:left="1390"/>
              <w:spacing w:after="0"/>
              <w:rPr>
                <w:sz w:val="20"/>
                <w:szCs w:val="20"/>
                <w:color w:val="auto"/>
              </w:rPr>
            </w:pPr>
            <w:r>
              <w:rPr>
                <w:rFonts w:ascii="Times New Roman" w:cs="Times New Roman" w:eastAsia="Times New Roman" w:hAnsi="Times New Roman"/>
                <w:sz w:val="18"/>
                <w:szCs w:val="18"/>
                <w:color w:val="auto"/>
                <w:w w:val="98"/>
              </w:rPr>
              <w:t>Delaware</w:t>
            </w:r>
          </w:p>
        </w:tc>
        <w:tc>
          <w:tcPr>
            <w:tcW w:w="7620" w:type="dxa"/>
            <w:vAlign w:val="bottom"/>
            <w:gridSpan w:val="4"/>
          </w:tcPr>
          <w:p>
            <w:pPr>
              <w:jc w:val="center"/>
              <w:ind w:left="2510"/>
              <w:spacing w:after="0"/>
              <w:rPr>
                <w:sz w:val="20"/>
                <w:szCs w:val="20"/>
                <w:color w:val="auto"/>
              </w:rPr>
            </w:pPr>
            <w:r>
              <w:rPr>
                <w:rFonts w:ascii="Times New Roman" w:cs="Times New Roman" w:eastAsia="Times New Roman" w:hAnsi="Times New Roman"/>
                <w:sz w:val="18"/>
                <w:szCs w:val="18"/>
                <w:color w:val="auto"/>
                <w:w w:val="98"/>
              </w:rPr>
              <w:t>76-0307819</w:t>
            </w:r>
          </w:p>
        </w:tc>
      </w:tr>
      <w:tr>
        <w:trPr>
          <w:trHeight w:val="191"/>
        </w:trPr>
        <w:tc>
          <w:tcPr>
            <w:tcW w:w="3800" w:type="dxa"/>
            <w:vAlign w:val="bottom"/>
            <w:tcBorders>
              <w:top w:val="single" w:sz="8" w:color="auto"/>
            </w:tcBorders>
            <w:gridSpan w:val="2"/>
          </w:tcPr>
          <w:p>
            <w:pPr>
              <w:jc w:val="center"/>
              <w:ind w:left="137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46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50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80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2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20" w:type="dxa"/>
            <w:vAlign w:val="bottom"/>
            <w:gridSpan w:val="4"/>
          </w:tcPr>
          <w:p>
            <w:pPr>
              <w:jc w:val="center"/>
              <w:ind w:right="3780"/>
              <w:spacing w:after="0"/>
              <w:rPr>
                <w:sz w:val="20"/>
                <w:szCs w:val="20"/>
                <w:color w:val="auto"/>
              </w:rPr>
            </w:pPr>
            <w:r>
              <w:rPr>
                <w:rFonts w:ascii="Times New Roman" w:cs="Times New Roman" w:eastAsia="Times New Roman" w:hAnsi="Times New Roman"/>
                <w:sz w:val="18"/>
                <w:szCs w:val="18"/>
                <w:color w:val="auto"/>
                <w:w w:val="98"/>
              </w:rPr>
              <w:t>1333 Broadway, 10th Floor, New York, NY 10018</w:t>
            </w:r>
          </w:p>
        </w:tc>
      </w:tr>
      <w:tr>
        <w:trPr>
          <w:trHeight w:val="228"/>
        </w:trPr>
        <w:tc>
          <w:tcPr>
            <w:tcW w:w="230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5340" w:type="dxa"/>
            <w:vAlign w:val="bottom"/>
            <w:tcBorders>
              <w:top w:val="single" w:sz="8" w:color="auto"/>
            </w:tcBorders>
            <w:gridSpan w:val="3"/>
          </w:tcPr>
          <w:p>
            <w:pPr>
              <w:jc w:val="center"/>
              <w:ind w:right="14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80" w:type="dxa"/>
            <w:vAlign w:val="bottom"/>
          </w:tcPr>
          <w:p>
            <w:pPr>
              <w:spacing w:after="0"/>
              <w:rPr>
                <w:sz w:val="19"/>
                <w:szCs w:val="19"/>
                <w:color w:val="auto"/>
              </w:rPr>
            </w:pPr>
          </w:p>
        </w:tc>
      </w:tr>
      <w:tr>
        <w:trPr>
          <w:trHeight w:val="396"/>
        </w:trPr>
        <w:tc>
          <w:tcPr>
            <w:tcW w:w="2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auto"/>
                <w:w w:val="99"/>
              </w:rPr>
              <w:t>(347) 727-2474</w:t>
            </w:r>
          </w:p>
        </w:tc>
        <w:tc>
          <w:tcPr>
            <w:tcW w:w="27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4"/>
        </w:trPr>
        <w:tc>
          <w:tcPr>
            <w:tcW w:w="2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20" w:type="dxa"/>
            <w:vAlign w:val="bottom"/>
            <w:gridSpan w:val="4"/>
          </w:tcPr>
          <w:p>
            <w:pPr>
              <w:jc w:val="center"/>
              <w:ind w:right="3800"/>
              <w:spacing w:after="0"/>
              <w:rPr>
                <w:sz w:val="20"/>
                <w:szCs w:val="20"/>
                <w:color w:val="auto"/>
              </w:rPr>
            </w:pPr>
            <w:r>
              <w:rPr>
                <w:rFonts w:ascii="Times New Roman" w:cs="Times New Roman" w:eastAsia="Times New Roman" w:hAnsi="Times New Roman"/>
                <w:sz w:val="18"/>
                <w:szCs w:val="18"/>
                <w:color w:val="auto"/>
                <w:w w:val="99"/>
              </w:rPr>
              <w:t>(Issuer's Telephone Number, Including Area Code)</w:t>
            </w:r>
          </w:p>
        </w:tc>
      </w:tr>
    </w:tbl>
    <w:p>
      <w:pPr>
        <w:spacing w:after="0" w:line="19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475 Tenth Avenue, 4th Floor, New York, NY 10018</w:t>
      </w:r>
    </w:p>
    <w:p>
      <w:pPr>
        <w:spacing w:after="0" w:line="2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since last report)</w:t>
      </w:r>
    </w:p>
    <w:p>
      <w:pPr>
        <w:spacing w:after="0" w:line="20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41" w:right="239" w:bottom="1440" w:gutter="0" w:footer="0" w:header="0"/>
        </w:sectPr>
      </w:pPr>
    </w:p>
    <w:p>
      <w:pPr>
        <w:spacing w:after="0" w:line="13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3">
            <w:col w:w="5000" w:space="720"/>
            <w:col w:w="1980" w:space="120"/>
            <w:col w:w="3600"/>
          </w:cols>
          <w:pgMar w:left="240" w:top="441" w:right="239" w:bottom="1440"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4, 2016, there were 18,671,969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900" w:type="dxa"/>
            <w:vAlign w:val="bottom"/>
            <w:gridSpan w:val="6"/>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9"/>
              </w:rPr>
              <w:t>XCEL BRANDS, INC.</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60" w:type="dxa"/>
            <w:vAlign w:val="bottom"/>
            <w:gridSpan w:val="5"/>
          </w:tcPr>
          <w:p>
            <w:pPr>
              <w:jc w:val="center"/>
              <w:ind w:right="4580"/>
              <w:spacing w:after="0"/>
              <w:rPr>
                <w:sz w:val="20"/>
                <w:szCs w:val="20"/>
                <w:color w:val="auto"/>
              </w:rPr>
            </w:pPr>
            <w:r>
              <w:rPr>
                <w:rFonts w:ascii="Times New Roman" w:cs="Times New Roman" w:eastAsia="Times New Roman" w:hAnsi="Times New Roman"/>
                <w:sz w:val="18"/>
                <w:szCs w:val="18"/>
                <w:color w:val="auto"/>
                <w:w w:val="99"/>
              </w:rPr>
              <w:t>INDEX</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w:t>
            </w:r>
          </w:p>
        </w:tc>
        <w:tc>
          <w:tcPr>
            <w:tcW w:w="9820" w:type="dxa"/>
            <w:vAlign w:val="bottom"/>
            <w:gridSpan w:val="19"/>
            <w:shd w:val="clear" w:color="auto" w:fill="CCEEFF"/>
          </w:tcPr>
          <w:p>
            <w:pPr>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3">
              <w:r>
                <w:rPr>
                  <w:rFonts w:ascii="Times New Roman" w:cs="Times New Roman" w:eastAsia="Times New Roman" w:hAnsi="Times New Roman"/>
                  <w:sz w:val="18"/>
                  <w:szCs w:val="18"/>
                  <w:color w:val="0000EE"/>
                </w:rPr>
                <w:t>FINANCIAL INFORMATION</w:t>
              </w:r>
            </w:hyperlink>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80" w:type="dxa"/>
            <w:vAlign w:val="bottom"/>
            <w:gridSpan w:val="18"/>
            <w:shd w:val="clear" w:color="auto" w:fill="CCEEFF"/>
          </w:tcPr>
          <w:p>
            <w:pPr>
              <w:ind w:left="4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Condensed Consolidated Balance Sheets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80" w:type="dxa"/>
            <w:vAlign w:val="bottom"/>
            <w:gridSpan w:val="18"/>
            <w:shd w:val="clear" w:color="auto" w:fill="CCEEFF"/>
          </w:tcPr>
          <w:p>
            <w:pPr>
              <w:ind w:left="4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Condensed Consolidated Statements of Operations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80" w:type="dxa"/>
            <w:vAlign w:val="bottom"/>
            <w:gridSpan w:val="18"/>
            <w:shd w:val="clear" w:color="auto" w:fill="CCEEFF"/>
          </w:tcPr>
          <w:p>
            <w:pPr>
              <w:ind w:left="4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Cash Flows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80" w:type="dxa"/>
            <w:vAlign w:val="bottom"/>
            <w:gridSpan w:val="18"/>
            <w:shd w:val="clear" w:color="auto" w:fill="CCEEFF"/>
          </w:tcPr>
          <w:p>
            <w:pPr>
              <w:ind w:left="40"/>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Unaudited Condensed Consolidated Financial Statements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Quantitative and Qualitative Disclosures About Market Risk</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Controls and Procedures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9820" w:type="dxa"/>
            <w:vAlign w:val="bottom"/>
            <w:gridSpan w:val="19"/>
            <w:shd w:val="clear" w:color="auto" w:fill="CCEEFF"/>
          </w:tcPr>
          <w:p>
            <w:pPr>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30">
              <w:r>
                <w:rPr>
                  <w:rFonts w:ascii="Times New Roman" w:cs="Times New Roman" w:eastAsia="Times New Roman" w:hAnsi="Times New Roman"/>
                  <w:sz w:val="18"/>
                  <w:szCs w:val="18"/>
                  <w:color w:val="0000EE"/>
                </w:rPr>
                <w:t>OTHER INFORMATION</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Legal Proceedings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8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Risk Factors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Unregistered Sales of Equity Securities and Use of Proceeds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Defaults Upon Senior Securities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Mine Safety Disclosures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8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Other information</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8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Exhibits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8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Signatures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4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8"/>
              </w:rPr>
              <w:t>PART 1. FINANCIAL INFORMATION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4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4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Balance Sheets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4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13,471</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567</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Trademarks and other intangibles,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111,759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112,323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7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128,290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127,017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Total Assets</w:t>
            </w:r>
          </w:p>
        </w:tc>
        <w:tc>
          <w:tcPr>
            <w:tcW w:w="7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152,405</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152,126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3,822</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8,058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 contingent obligations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29,843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77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 and outstanding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8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35,000,000 shares authorized at June 30, 2016 and December 31, 2015, and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18,670,686 and 18,434,634 issued and outstanding at June 30, 2016 and December 31, 2015, respectively</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96,382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5,931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102,332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152,405</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152,126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licensing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9,092</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6,269</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17,437</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e-commerce sales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Salaries, benefits and employment taxes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4,217</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8,427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design and marketing costs</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reduction of contingent obligation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 term debt</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interest and finance charges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interest and finance expense</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2,107</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5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(loss) income per share: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0.14</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8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18,671,648</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14,850,874</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18,565,198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14,462,305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18,671,648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15,963,975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18,565,198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15,575,406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income</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(used in) operating activities: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deferred finance costs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Recovery of allowance for doubtful accounts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note discount</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Tax benefit from vested stock grants and exercised options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Non-cash property exit charge</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reduction of contingent obligation</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 from continuing operations</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from discontinued operations, net</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consideration for asset acquisition of the H Halston Brand</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Advance deposit for asset acquisition of the C Wonder Brand</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Restricted cash for security deposits</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benefit from vested stock grants and exercised options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repurchased including vested restricted stock in exchange for</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withholding taxes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deferred finance costs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associated with equity offering</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long-term debt</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QVC earnout obligation</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installment obligations related to the acquisition of the Ripka Brand</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7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16,860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13,471</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Issuance of common stock as payment for a portion of the Ripka Seller Notes</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40" w:type="dxa"/>
            <w:vAlign w:val="bottom"/>
            <w:tcBorders>
              <w:top w:val="single" w:sz="8" w:color="CCEEFF"/>
              <w:bottom w:val="single" w:sz="8" w:color="CCEEFF"/>
            </w:tcBorders>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auto"/>
              </w:rPr>
              <w:t>Cash paid during the period for interest</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418"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pursuant to the instructions to Form 10-Q and Rule 10-01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2015, as filed with the SEC on March 17, 2016.</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brand management and media company engaged in the design, production, licensing, marketing, and direct to consumer sales of branded apparel, footwear, accessories, jewelry, home goods, and other consumer products, and the acquisition of dynamic consumer lifestyle brands. Currently, the Company’s brand portfolio consists of the Isaac Mizrahi brand (the "Isaac Mizrahi Brand"), the Judith Ripka brand (the “Ripka Brand”), the H by Halston and H Halston brands (collectively, the “H Halston Brands”), the C Wonder brand (the “C Wonder Brand”), and the Highline Collective brand. The Company also managed and designed the Liz Claiborne New York brand (“LCNY Brand”) through July 31, 2016.</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licenses its brands to third parties, provides certain design, production, and marketing services, and generates royalty design and service fee revenues through licensing and other agreements with manufacturers and retailers. These activities include licensing its own brands for promotion and distribution through an omni-channel retail sales strategy, which encompasses distribution through interactive television, the internet, and traditional brick-and-mortar retail channels.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2014, the Company decided to close its retail stores. Accordingly, the Company’s retail operations are treated and presented as discontinued operations (see Note 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the prior period condensed consolidated financial statements to conform to the current period presentation.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footnotes thereto included in the Company’s Annual Report on Form 10-K for the year ended December 31,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2016, the Financial Accounting Standards Board (“FASB”) issued Accounting Standards Update No. 2016-09, “Improvements to Employee Share-Based Payment Accounting” (“ASU 2016-09”). ASU 2016-09 requires that all excess tax benefits and tax deficiencies be recognized in the income statement as discrete tax items in the interim period in which they occur, clarifies that employee taxes paid when an employer withholds shares for tax purposes should be presented on the statement of cash flows as a financing activity, and changes the presentation of excess tax benefits on the statement of cash flows from a financing activity to an operating activity. ASU 2016-09 also provides for a policy election to either estimate the number of awards expected to vest (as per current GAAP) or account for forfeitures when they occur. This new accounting guidance is effective for public companies for fiscal years beginning after December 15, 2016 (i.e., calendar years beginning on January 1, 2017), including interim periods within those fiscal years. Early adoption is permitted in any interim or annual period. The Company is currently evaluating the impact that the adoption of ASU 2016-09 will have on the Company’s consolidated financial statements.</w:t>
      </w: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2016, FASB issued Accounting Standards Update No. 2016-10, “Revenue from Contracts with Customers (Topic 606): Identifying Performance Obligations and Licensing” (“ASU 2016-10”), and in May 2016, FASB issued Accounting Standards Update No. 2016-12, “Revenue from Contracts with Customers (Topic 606): Narrow-Scope Improvements and Practical Expedients” (“ASU 2016-12”). These Accounting Standards Updates contain amendments that provide additional guidance, clarification, and practical expedients related to ASU No. 2014-09 “Revenue from Contracts with Customers” (“ASU 2014-09”), which was issued by the FASB in May 2014. ASU 2016-10 amends certain aspects of the guidance in ASU 2014-09 related to identifying performance obligations and applying the new revenue guidance to licensing transactions. ASU 2016-12 addresses topics of collectability, presentation of sales tax collected from customers, non-cash consideration, contract modifications and completed contracts at transition, and transition disclosures. The Company will incorporate the guidance contained in ASU 2016-10 and ASU 2016-12 into its overall evaluation and adoption of ASU 2014-09, which collectively will be effective for fiscal years beginning after December 15, 2017 and interim periods therein.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2016, FASB issued Accounting Standards Update No. 2016-13, “Measurement of Credit Losses on Financial Instruments” (“ASU 2016-13”). ASU 2016-13 changes the accounting guidance related to the measurement of credit losses on financial assets measured at amortized cost (including trade receivables) by eliminating the current “incurred loss” methodology, which requires a probable initial recognition threshold, and instead requiring that the valuation and presentation of financial assets reflect an entity’s current estimate of all expected credit losses. For public companies that are SEC filers, this new accounting guidance is effective for fiscal years beginning after December 15, 2019 (i.e. calendar years beginning on January 1, 2020), including interim periods within those fiscal years. The Company is currently evaluating the impact that the adoption of ASU 2016-13 will have on the Company’s consolidated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Trademarks, Goodwill and Other Intangibles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 and other intangibles, net consist of the following:</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40" w:type="dxa"/>
            <w:vAlign w:val="bottom"/>
          </w:tcPr>
          <w:p>
            <w:pPr>
              <w:spacing w:after="0"/>
              <w:rPr>
                <w:sz w:val="18"/>
                <w:szCs w:val="18"/>
                <w:color w:val="auto"/>
              </w:rPr>
            </w:pPr>
          </w:p>
        </w:tc>
        <w:tc>
          <w:tcPr>
            <w:tcW w:w="13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8"/>
        </w:trPr>
        <w:tc>
          <w:tcPr>
            <w:tcW w:w="5620" w:type="dxa"/>
            <w:vAlign w:val="bottom"/>
            <w:gridSpan w:val="2"/>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(indefinite-lived)</w:t>
            </w:r>
          </w:p>
        </w:tc>
        <w:tc>
          <w:tcPr>
            <w:tcW w:w="126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n/a</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 (definite-lived)</w:t>
            </w: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15 years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agreements</w:t>
            </w:r>
          </w:p>
        </w:tc>
        <w:tc>
          <w:tcPr>
            <w:tcW w:w="12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4 years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7 years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12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 years</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114,865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111,759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December 31, 2015</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40" w:type="dxa"/>
            <w:vAlign w:val="bottom"/>
          </w:tcPr>
          <w:p>
            <w:pPr>
              <w:spacing w:after="0"/>
              <w:rPr>
                <w:sz w:val="18"/>
                <w:szCs w:val="18"/>
                <w:color w:val="auto"/>
              </w:rPr>
            </w:pPr>
          </w:p>
        </w:tc>
        <w:tc>
          <w:tcPr>
            <w:tcW w:w="13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8"/>
        </w:trPr>
        <w:tc>
          <w:tcPr>
            <w:tcW w:w="5620" w:type="dxa"/>
            <w:vAlign w:val="bottom"/>
            <w:gridSpan w:val="2"/>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(indefinite-lived)</w:t>
            </w:r>
          </w:p>
        </w:tc>
        <w:tc>
          <w:tcPr>
            <w:tcW w:w="126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n/a</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 (definite-lived)</w:t>
            </w: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15 years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agreements</w:t>
            </w:r>
          </w:p>
        </w:tc>
        <w:tc>
          <w:tcPr>
            <w:tcW w:w="12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4 years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7 years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12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 years</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114,865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for the quarter ended June 30, 2016 (the “Current Quarter”) and the quarter ended June 30, 2015 (the “Prior Year Quarter”) was $282,000 and $157,000, respectively. Amortization expense for intangible assets for the six months ended June 30, 2016 (“Current Six Months”) and the six months ended June 30, 2015 (the “Prior Year Six Months”) was $564,000 and $314,000,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trademarks related to the Isaac Mizrahi Brand, the Ripka Brand, and the H Halston Brands have been determined to have indefinite useful lives, and accordingly no amortization has been recorded for these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$12.371 million of goodwill related to the 2011 acquisition of the Isaac Mizrahi business. There was no change in goodwill during the Current Six Months.</w:t>
      </w:r>
    </w:p>
    <w:p>
      <w:pPr>
        <w:spacing w:after="0" w:line="15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Contracts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QVC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Company’s agreements with QVC, QVC is required to pay the Company fees based primarily on a percentage of its net sales of Isaac Mizrahi, Ripka, H Halston, and C Wonder branded merchandise. QVC royalty revenue represents a significant portion of the Company’s total revenues. Revenues from QVC totaled $7.83 million and $5.74 million for the Current Quarter and Prior Year Quarter, respectively, representing approximately 86% and 91% of the Company’s total revenues, respectively. Revenues from QVC totaled $15.14 million and $11.47 million for the Current Six Months and the Prior Year Six Months, respectively, representing approximately 87% and 89% of the Company’s total revenues, respectively. As of June 30, 2016 and December 31, 2015, the Company had receivables from QVC of $7.33 million and $6.40 million, respectively, representing approximately 73% and 84% of the Company’s total receivables,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net carrying amount of debt is comprised of the following:</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00" w:type="dxa"/>
            <w:vAlign w:val="bottom"/>
          </w:tcPr>
          <w:p>
            <w:pPr>
              <w:spacing w:after="0"/>
              <w:rPr>
                <w:sz w:val="24"/>
                <w:szCs w:val="24"/>
                <w:color w:val="auto"/>
              </w:rPr>
            </w:pPr>
          </w:p>
        </w:tc>
        <w:tc>
          <w:tcPr>
            <w:tcW w:w="63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 in thousands)</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6380" w:type="dxa"/>
            <w:vAlign w:val="bottom"/>
            <w:gridSpan w:val="2"/>
            <w:vMerge w:val="continue"/>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Xcel Term Loan</w:t>
            </w:r>
          </w:p>
        </w:tc>
        <w:tc>
          <w:tcPr>
            <w:tcW w:w="1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IM Term Loan</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JR Term Loan</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H Term Loan</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deferred finance costs related to term loans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IM Seller Note</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Ripka Seller Notes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Contingent obligation - IM Seller</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obligation - JR Seller</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Contingent obligation - CW Seller</w:t>
            </w:r>
          </w:p>
        </w:tc>
        <w:tc>
          <w:tcPr>
            <w:tcW w:w="1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portion (i)</w:t>
            </w:r>
          </w:p>
        </w:tc>
        <w:tc>
          <w:tcPr>
            <w:tcW w:w="1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3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long-term debt as of June 30, 2016 consists of (a) $3.750 million related to the Xcel Term Loan and (b) $4.308 million related to the IM Seller Note, which is payable in stock or cash at the Company’s discretion.</w:t>
      </w: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Xcel Term Loan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26, 2016, Xcel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(the “Loan Agreement”) with Bank Hapoalim B.M. (“BHI”), as agent (the “Agent”), and the financial institutions party thereto as lenders (the “Lenders”). The Loan Agreement amended and restated the IM Term Loan, the JR Term Loan, and the H Term Loan. Pursuant to the Loan Agreement, Xcel assumed the obligations of each of IM Brands, LLC, JR Licensing, LLC, and H Licensing, LLC under the respective term loans with BHI in the aggregate principal amount of $27,875,000 (the loan under the Loan Agreement is referred to as the “Xcel Term Loan”).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Xcel Term Loan matures on January 1, 2021. Principal on the Xcel Term Loan is payable in quarterly installments on each of January 1, April 1, July 1 and October 1. The aggregate remaining annual principal payments are as follows:</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38"/>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Payment</w:t>
            </w:r>
          </w:p>
        </w:tc>
      </w:tr>
      <w:tr>
        <w:trPr>
          <w:trHeight w:val="210"/>
        </w:trPr>
        <w:tc>
          <w:tcPr>
            <w:tcW w:w="20" w:type="dxa"/>
            <w:vAlign w:val="bottom"/>
          </w:tcPr>
          <w:p>
            <w:pPr>
              <w:spacing w:after="0"/>
              <w:rPr>
                <w:sz w:val="18"/>
                <w:szCs w:val="18"/>
                <w:color w:val="auto"/>
              </w:rPr>
            </w:pPr>
          </w:p>
        </w:tc>
        <w:tc>
          <w:tcPr>
            <w:tcW w:w="8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 (July 1 through December 31)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Loan Agreement, the Company has the right to prepay the Xcel Term Loan, provided that any prepayment of less than all of the outstanding balance shall be applied to the remaining amounts due in inverse order of maturity. If the Xcel Term Loan is prepaid on or prior to the third anniversary of the closing date (including as a result of an event of default), the Company shall pay an early termination fee as follows: an amount equal to the principal amount outstanding under the Term Loan on the date of prepayment, multiplied by: (i) two percent (2.00%) if the Xcel Term Loan is prepaid on or after the closing date and on or before the second anniversary of the closing date; and (ii) one percent (1.00%) if the Xcel Term Loan is prepaid after the second anniversary of the closing date and on or before the third anniversary of the closing date.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Commencing with the fiscal year ending December 31, 2017, the Company is required to repay a portion of the Xcel Term Loan in an amount equal to 10% of the excess cash flow for the fiscal year;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interest and principal and taxes paid or payable during such period, and (iii) all dividends declared and paid during such period to equity holders of any credit party treated as a disregarded entity for tax purposes.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Xcel’s obligations under the Loan Agreement are guaranteed by the Guarantors and secured by all of the assets of Xcel and the Guarantors (as well as any subsidiary formed or acquired that becomes a credit party to the Loan Agreement) and, subject to certain limitations contained in the Loan Agreement, equity interests of the Guarantors (as well as any subsidiary formed or acquired that becomes a credit party to the Loan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the Xcel Term Loan accrues at a fixed rate of 5.1% per annum and is payable on each day on which the scheduled principal payments are required to be made.</w:t>
      </w: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 Agreement contains customary covenants, including reporting requirements, trademark preservation, and the following financial covenants of the Company (on a consolidated basis with the Guarantors and any subsidiaries subsequently formed or acquired that become a credit party under the Loan Agreement):</w:t>
      </w:r>
    </w:p>
    <w:p>
      <w:pPr>
        <w:spacing w:after="0" w:line="176"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worth (as defined in the Loan Agreement) of at least $90,000,000 at the end of each fiscal quarter ending on June 30 and December 31 of each fiscal year;</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 assets of at least $5,000,000, until such time as the ratio of indebtedness to EBITDA (as defined in the Loan Agreement) is less than 1.00 to 1.00 and, in which event, liquid assets must be at least $3,000,000;</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charge ratio of at least 1.20 to 1.00 for each fiscal quarter ended June 30 and December 31 for the twelve fiscal month period ending on such date;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shall not exceed (i) $2,650,000 for the year ending December 31, 2016 and (ii) $700,000 for any fiscal year thereafter;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(as defined in the Loan Agreement) of $9,500,000 for the fiscal year ending December 31, 2016; and $9,000,000 for each fiscal year thereafter.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applicable covenants as of June 30, 2016.</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refinancing of its term loan debt, the Company paid $116,000 of fees to or on behalf of BHI. These fees, along with $466,000 of remaining unamortized deferred finance costs related to the previous term loan debt, have been deferred on the condensed consolidated balance sheet as a reduction to the carrying value of the Xcel Term Loan, and are being amortized into interest expense over the term of the Xcel Term Loan using the interest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 Seller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2011, as part of the consideration for the purchase of the Isaac Mizrahi Business, the Company issued to IM Ready-Made, LLC (“IM Ready”) a promissory note in the principal amount of $7,377,000 (as amended, the “IM Seller Note”). The stated interest rate of the IM Seller Note is 0.25% per annum. Management determined that this rate was below the Company’s expected borrowing rate, which was then estimated at 9.25% per annum. Therefore, the Company discounted the IM Seller Note by $1,740,000 using a 9.0% imputed annual interest rate, resulting in an initial value of $5,637,000. In addition, on September 29, 2011, the Company prepaid $123,000 of interest on the IM Seller Note. The imputed interest amount is being amortized over the term of the IM Seller Note and recorded as other interest and finance expense on the Company’s condensed consolidated statements of operations.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24, 2013, the IM Seller Note was amended to (1) revise the maturity date to September 30, 2016 (the “Amended Maturity Date”), (2) revise the date to which the maturity date may be extended to September 30, 2018, (3) provide the Company with a prepayment right with its common stock, subject to remitting in cash the required cash payments set forth below and a minimum common stock price of $4.50 per share, and (4) require interim scheduled payments.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remaining scheduled principal payment (including amortization of imputed interest) of $4,377,000 is payable on September 30, 2016, and is payable in stock or cash at the Company’s sole discretion. The payment of this amount in cash requires BHI’s approval.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Current Quarter and Prior Year Quarter, the Company incurred interest expense of $69,000 and $78,000, respectively, which includes amortization of the discount on the IM Seller Note of $69,000 and $73,000, respectively. For the Current Six Months and the Prior Year Six Months, the Company incurred interest expense of $140,000 and $158,000, respectively, which includes amortization of the discount on the IM Seller Note of $140,000 and $149,000, respectively.</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Ripka Seller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3, 2014, as part of the consideration for the purchase of the Ripka Brand, JR Licensing issued to Ripka promissory notes in the aggregate principal amount of $6,000,000 (the “Ripka Seller Notes”). The Ripka Seller Notes have a term of five years from the date of issuance, are payable in cash or shares of the Company’s common stock valued at the time of payment, at the Company’s option, and with a floor price of $7.00 per share if paid in stock, with Ripka having certain rights to extend the maturity of the Ripka Seller Notes in the event the Company’s stock is trading at a price of less than $7.00 per share. On February 20, 2015, a portion of the Ripka Seller Notes was amended and satisfied.</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determined that the Company’s expected borrowing rate was estimated to be 7.33% per annum and, therefore, discounted the Ripka Seller Notes by $1,835,000 using a 7.33% imputed annual interest rate, resulting in an initial value of $4,165,000. The imputed interest amount is being amortized over the term of the Ripka Seller Notes and recorded as other interest and finance expense on the Company’s condensed consolidated statements of operations.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20, 2015, the Company agreed to cancel Ripka Seller Notes in the principal amount of $3.0 million and execute in its place: (i) a $2.4 million principal amount promissory note issued in the name of Ripka (the “$2,400,000 Seller Note”) and (ii) a $600,000 principal amount promissory note issued in the name of Ripka (the “$600,000 Seller Note”), each with substantially the same terms as the Ripka Seller Notes; provided, however, that the Company and Ms. Ripka agreed that, upon Ripka’s assignment of the $600,000 Seller Note to a permitted assignee, the principal payments under the $600,000 Seller Note shall accelerate to be payable in eight equal quarterly installments of $75,000 with the first payment due on March 31, 2015 and with the final principal payment payable on December 31, 2016. As of the date of the filing of this Quarterly Report on Form 10-Q, the $600,000 Seller Note has not been assigned. The $2,400,000 Seller Note was assigned by Ripka to Judith Ripka Creations, Inc. and then assigned by Judith Ripka Creations, Inc. to Thai Jewelry Manufacturer Co. LTD. (“Thai Jewelry”).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20, 2015, the Company entered into a release letter (the “Release Letter”) with Thai Jewelry, pursuant to which the Company agreed to issue to Thai Jewelry an aggregate of 266,667 shares of the Company’s common stock in exchange for the cancellation of the $2,400,000 Seller Note. On March 25, 2015, the Company issued the shares of common stock pursuant to the Release Letter. The carrying value, net of the discount at the time of the redemption of the $2.4 million Ripka Seller Notes was $1.79 million and, as a result, the Company recorded a loss on the early extinguishment of debt of $0.61 million during the Prior Year Six Months, which is included in the accompanying condensed consolidated statements of operations.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2015, the Company satisfied an additional $3.00 million principal amount of the Ripka Seller Notes by issuing 333,334 shares of the Company’s common stock. The carrying value, net of the discount at the time of the redemption of the $3.00 million Ripka Seller Notes was $2.24 million and, as a result, the Company recorded a loss on the early extinguishment of debt of $0.76 million during the Prior Year Quarter and Prior Year Six Months, which is included in the accompanying condensed consolidated statements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both the Current Quarter and Prior Year Quarter, the Company incurred interest expense of $9,000, respectively, which consists solely of amortization of the discount on the Ripka Seller Notes. For the Current Six Months and the Prior Year Six Months, the Company incurred interest expense of $17,000 and $88,000, respectively, which consists solely of amortization of the discount on the Ripka Seller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IM Seller (QVC Earn-Out)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obligated to pay IM Ready $2.76 million, payable in cash or common stock, at the Company’s option, contingent upon IM Brands receiving aggregate net royalty income of at least $2.5 million from QVC in the twelve-month period ended September 30, 2015 with the number of shares of such stock based upon the greater of (x) $4.50 per share, and (y) the average stock price for the last twenty business days prior to the time of such issuance. The $2.5 million in net royalty income from QVC for the twelve-month period ended September 30, 2015 was met and, therefore, the Company issued IM Ready 290,473 shares of common stock, valued at $2.51 million as of September 30, 2015 and made a $0.25 million payment in cash in January 2016 to satisfy this obligation.</w:t>
      </w: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JR Seller (Ripka Earn-Out)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purchase of the Ripka Brand, the Company agreed to pay Ripka additional consideration of up to $5 million in aggregate (the “Ripka Earn-Out”), payable in cash or shares of the Company’s common stock based on the fair market value of the Company’s common stock at the time of payment, and with a floor of $7.00 per share, based on the Ripka Brand achieving in excess of $1 million of net royalty income during each of the 12-month periods ending on October 1, 2016, 2017 and 2018, less the sum of all earn-out payments for any prior earn-out period. Net royalty income does not include any revenues generated by interactive television sales or any revenue accelerated as a result of termination of any license agreement. The Ripka Earn-Out of $3.78 million is recorded in the accompanying condensed consolidated balance sheets based on the difference between the fair value of the acquired assets of the Ripka Brand at the acquisition date and the total consideration paid. In accordance with ASC Topic 480, the Ripka Earn-Out obligation is classified as a liability in the accompanying condensed consolidated balance sheets because of the variable number of shares payable under the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 – CW Seller (C Wonder Earn-Out)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purchase of the C Wonder Brand, the Company agreed to pay the seller additional consideration (the “C Wonder Earn-Out”),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 The C Wonder Earn-Out of $2.85 million is recorded in the accompanying condensed consolidated balance sheets based on the probability of the C Wonder Brand achieving certain net royalty income targets within the earn-out periods and then calculating the present value of the weighted average payment amount. In accordance with ASC Topic 480, the C Wonder Earn-Out obligation is classified as a liability in the accompanying condensed consolidated balance sheets because of the variable number of shares payable under the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2016 and December 31, 2015, total contingent obligations were $6.63 million and $6.88 million, respectively.</w:t>
      </w:r>
    </w:p>
    <w:p>
      <w:pPr>
        <w:spacing w:after="0" w:line="22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8,000,000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 on the average long-term implied volatilities of peer companies, the expected life is based on the estimated average of the life of options and warrants using the simplified method, and forfeitures are estimated on the date of grant based on certain historical data.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 are required to be estimated at the time of grant and revised, if necessary, in subsequent periods if actual forfeitures differ from those estimates.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 under the Plan expire at various times, either five, seven or ten years from the date of grant, depending on the particular grant.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2016, the Company granted options to purchase an aggregate of 100,000 shares of common stock to a member of management. The exercise price of the options is $7.00 per share, and one-third of the options will vest on each of December 31, 2016, December 31, 2017, and March 31, 2018.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2016, the Company granted options to purchase an aggregate of 1,671,500 shares of common stock to certain executives, non-executive management, and employees. The exercise price of the options is $5.80 per share, and one-third of the options will vest on each of March 31, 2017, March 31, 2018, and March 31, 2019.</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2016, the Company granted options to purchase an aggregate of 500,000 shares of common stock to certain key employees. The exercise price for 100,000 of these options is $5.80 per share, and such options will vest on January 1, 2017. The exercise price of the remaining 400,000 options is $7.50 per share, and the vesting of such options is dependent upon the achievement of certain royalty income targets.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2016, the Company granted options to purchase an aggregate of 150,000 shares of common stock to non-management directors. The exercise price of the options is $5.80 per share, and 50% of the options will vest on each of March 31, 2017 and March 31, 2018.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the options granted during the Current Six Months were estimated at the date of grant using the Black-Scholes option pricing model with the following assumptions: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33.25 – 33.88%</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(Term)</w:t>
            </w:r>
          </w:p>
        </w:tc>
        <w:tc>
          <w:tcPr>
            <w:tcW w:w="4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3.25 – 5.32 years</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0.91 – 1.21%</w:t>
            </w:r>
          </w:p>
        </w:tc>
      </w:tr>
    </w:tbl>
    <w:p>
      <w:pPr>
        <w:spacing w:after="0" w:line="3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8"/>
          </w:tcPr>
          <w:p>
            <w:pPr>
              <w:jc w:val="right"/>
              <w:ind w:right="1140"/>
              <w:spacing w:after="0"/>
              <w:rPr>
                <w:sz w:val="20"/>
                <w:szCs w:val="20"/>
                <w:color w:val="auto"/>
              </w:rPr>
            </w:pPr>
            <w:r>
              <w:rPr>
                <w:rFonts w:ascii="Times New Roman" w:cs="Times New Roman" w:eastAsia="Times New Roman" w:hAnsi="Times New Roman"/>
                <w:sz w:val="18"/>
                <w:szCs w:val="18"/>
                <w:color w:val="auto"/>
                <w:w w:val="99"/>
              </w:rPr>
              <w:t>A summary of the Company’s stock options activity for the Current Six Months is as follows:</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6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6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64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2016</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0" w:type="dxa"/>
            <w:vAlign w:val="bottom"/>
          </w:tcPr>
          <w:p>
            <w:pPr>
              <w:spacing w:after="0"/>
              <w:rPr>
                <w:sz w:val="19"/>
                <w:szCs w:val="19"/>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Expired/Forfeited</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(4.82)</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640" w:type="dxa"/>
            <w:vAlign w:val="bottom"/>
          </w:tcPr>
          <w:p>
            <w:pPr>
              <w:spacing w:after="0"/>
              <w:rPr>
                <w:sz w:val="22"/>
                <w:szCs w:val="2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2016, and expected to vest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2,772,500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r>
      <w:tr>
        <w:trPr>
          <w:trHeight w:val="197"/>
        </w:trPr>
        <w:tc>
          <w:tcPr>
            <w:tcW w:w="640" w:type="dxa"/>
            <w:vAlign w:val="bottom"/>
          </w:tcPr>
          <w:p>
            <w:pPr>
              <w:spacing w:after="0"/>
              <w:rPr>
                <w:sz w:val="17"/>
                <w:szCs w:val="17"/>
                <w:color w:val="auto"/>
              </w:rPr>
            </w:pPr>
          </w:p>
        </w:tc>
        <w:tc>
          <w:tcPr>
            <w:tcW w:w="418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at June 30, 2016</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340,500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expense related to stock options for the Current Quarter and the Prior Year Quarter was approximately $329,000 and $16,000, respectively. Compensation expense related to stock option grants for the Current Six Months and the Prior Year Six Months was $349,000 and $33,000, respectively. Total unrecognized compensation expense related to unvested stock options at June 30, 2016 amounts to $3,183,000 and is expected to be recognized over a weighted average period of 3.05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non-vested options for the Current Six Months: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610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2016</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1.43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 or Canceled</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2016</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1.45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granted under the Plan expire at various times, either five, seven or ten years from the date of grant, depending on the particular grant.</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w w:val="99"/>
              </w:rPr>
              <w:t>A summary of the Company’s warrants activity for the Current Six Months is as follows: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46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January 1, 2016</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2,219,543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3.23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Canceled</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(26,000)</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Expired/Forfeited</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exercisable at June 30, 2016</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2,193,543</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tcPr>
          <w:p>
            <w:pPr>
              <w:spacing w:after="0"/>
              <w:rPr>
                <w:sz w:val="19"/>
                <w:szCs w:val="19"/>
                <w:color w:val="auto"/>
              </w:rPr>
            </w:pPr>
          </w:p>
        </w:tc>
        <w:tc>
          <w:tcPr>
            <w:tcW w:w="1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compensation expense was recognized in the Current Six Months or Prior Year Six Months related to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2016, the Company issued to a key employee 17,242 shares of restricted stock. The shares of restricted stock vest over six months.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2016, the Company issued to a member of management 50,000 shares of restricted stock. The shares of restricted stock vest evenly over 4 years, whereby 25% shall vest on each of March 31, 2017, March 31, 2018, March 31, 2019, and March 31, 2020.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31, 2016, the Company issued to certain executives an aggregate of 150,001 shares of restricted stock. The shares of restricted stock vest evenly over three years, whereby one-third shall vest on each of March 31, 2017, March 31, 2018, and March 31, 2019.</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2016, the Company issued to non-management directors an aggregate of 48,000 shares of restricted stock. The shares of restricted stock will vest evenly over two years, whereby 50% shall vest on March 31, 2017 and 50% shall vest on March 31, 2018.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each grantee may extend the first anniversary of all or a portion of the restricted stock by six months and, thereafter one or more times may further extend such date with respect to all or a portion of the restricted stock until the next following September 30th or March 31st, as the case may be, by providing written notice of such election to extend such date with respect to all or a portion of the restricted stock prior to such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Company’s restricted stock activity for the Current Six Months is as follows:</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88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0"/>
        </w:trPr>
        <w:tc>
          <w:tcPr>
            <w:tcW w:w="88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2016</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3,530,485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(189,900)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Expired/Forfeited</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(11,275)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shd w:val="clear" w:color="auto" w:fill="CCEEFF"/>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2016</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3,594,553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related to restricted stock grants for the Current Quarter and Prior Year Quarter was $1,124,000 and $1,092,000,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related to restricted stock grants for the Current Six Months and Prior Year Six Months was $2,316,000 and $2,088,000, respectively.</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unrecognized compensation expense related to unvested restricted stock grants at June 30, 2016 amounts to $3,629,000 and is expected to be recognized over a weighted average period of 1.64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Company’s 2011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2016, there were 590,663 shares of common stock available for issuance under the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Issuance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June 30, 2016, there were 5,556,706 shares of common stock reserved for issuance pursuant to unexercised warrants and stock options, or available for issuance under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paid any dividends to date.</w:t>
      </w:r>
    </w:p>
    <w:p>
      <w:pPr>
        <w:spacing w:after="0" w:line="22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used in calculating basic and diluted income (loss) per share are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7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0"/>
        </w:trPr>
        <w:tc>
          <w:tcPr>
            <w:tcW w:w="5160" w:type="dxa"/>
            <w:vAlign w:val="bottom"/>
          </w:tcPr>
          <w:p>
            <w:pPr>
              <w:spacing w:after="0"/>
              <w:rPr>
                <w:sz w:val="19"/>
                <w:szCs w:val="19"/>
                <w:color w:val="auto"/>
              </w:rPr>
            </w:pPr>
          </w:p>
        </w:tc>
        <w:tc>
          <w:tcPr>
            <w:tcW w:w="1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51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18,671,648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14,850,874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18,565,198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14,462,305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exercise of warrants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971,873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971,873</w:t>
            </w:r>
          </w:p>
        </w:tc>
        <w:tc>
          <w:tcPr>
            <w:tcW w:w="80" w:type="dxa"/>
            <w:vAlign w:val="bottom"/>
          </w:tcPr>
          <w:p>
            <w:pPr>
              <w:spacing w:after="0"/>
              <w:rPr>
                <w:sz w:val="18"/>
                <w:szCs w:val="18"/>
                <w:color w:val="auto"/>
              </w:rPr>
            </w:pPr>
          </w:p>
        </w:tc>
      </w:tr>
      <w:tr>
        <w:trPr>
          <w:trHeight w:val="23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exercise of stock options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141,228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141,228</w:t>
            </w:r>
          </w:p>
        </w:tc>
        <w:tc>
          <w:tcPr>
            <w:tcW w:w="80" w:type="dxa"/>
            <w:vAlign w:val="bottom"/>
            <w:shd w:val="clear" w:color="auto" w:fill="CCEEFF"/>
          </w:tcPr>
          <w:p>
            <w:pPr>
              <w:spacing w:after="0"/>
              <w:rPr>
                <w:sz w:val="19"/>
                <w:szCs w:val="19"/>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18,671,648</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15,963,975</w:t>
            </w:r>
          </w:p>
        </w:tc>
        <w:tc>
          <w:tcPr>
            <w:tcW w:w="2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18,565,198</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15,575,406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net loss from continuing operations presented for the three and six months ended June 30, 2016, the Company calculated diluted earnings per share using basic weighted-average shares outstanding for those periods, as utilizing diluted shares would be anti-dilutive to loss per share.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computation of diluted EPS excludes the common stock equivalents of the following potentially dilutive securities because their inclusion would be anti-dilutive:</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7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0"/>
        </w:trPr>
        <w:tc>
          <w:tcPr>
            <w:tcW w:w="5160" w:type="dxa"/>
            <w:vAlign w:val="bottom"/>
          </w:tcPr>
          <w:p>
            <w:pPr>
              <w:spacing w:after="0"/>
              <w:rPr>
                <w:sz w:val="19"/>
                <w:szCs w:val="19"/>
                <w:color w:val="auto"/>
              </w:rPr>
            </w:pP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1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warrants</w:t>
            </w:r>
          </w:p>
        </w:tc>
        <w:tc>
          <w:tcPr>
            <w:tcW w:w="1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7"/>
              </w:rPr>
              <w:t>4,966,043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4,966,043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Current Quarter and the Prior Year Quarter from continuing operations was approximately 70% and 4%, respectively, resulting in a $208,000 income tax benefit and $90,000 income tax provision,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Current Six Months and the Prior Year Six Months was approximately 66% and (1)%, respectively, resulting in a $259,000 income tax benefit and $16,000 income tax benefit,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Current Quarter and the Current Six Months, the respective effective tax rates were attributable to recurring permanent differences. Based on the amount of loss from continuing operations before income taxes compared to the permanent differences, the effective rate increased by 29% and 25% for the Current Quarter and the Current Six Months,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Prior Year Quarter and the Prior Year Six Months, the Company recorded a $3.00 million gain on the reduction of contingent obligations related to the acquisition of the Isaac Mizrahi Brand, partially offset by recurring permanent differences. This gain was not subject to tax and was therefore treated as a discrete item (permanent difference) occurring in the Prior Year Quarter and the Prior Year Six Months. Based on the amount of income from continuing operations before income taxes compared to the permanent differences, the effective rate decreased by 37% and 42% for the Prior Year Quarter and the Prior Year Six Months, respectively.</w:t>
      </w:r>
    </w:p>
    <w:p>
      <w:pPr>
        <w:spacing w:after="0" w:line="180"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Discontinued operations represent the net sales and expenses related to the Company’s retail operations, which were discontinued in December 2014. A summary of the results of discontinued operations for the Current Quarter, Prior Year Quarter, Current Six Months, and Prior Year Six Months is as follows (in thousands, except share and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disposal of discontinued operations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from discontinued operations, net: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18,671,648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14,850,874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18,565,198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14,462,305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18,671,648</w:t>
            </w: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15,963,975</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18,565,198</w:t>
            </w:r>
          </w:p>
        </w:tc>
        <w:tc>
          <w:tcPr>
            <w:tcW w:w="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15,575,406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of discontinued operations were not material as of June 30, 2016 and December 31, 2015.</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Agent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 2011, the Company entered into a licensing agent agreement with Adam Dweck, son of Jack Dweck, a former director of the Company, pursuant to which he is entitled to a five percent commission on any royalties the Company receives under any new license agreements that he procures for the Company for the initial term of such license agreements. Adam Dweck earned approximately $1,000 and $7,000 in fees for the Current Quarter and Prior Year Quarter, respectively, and earned approximately $2,000 and $14,000 in fees for the Current Six Months and Prior Year Six Months,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Todd Slater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29, 2011, the Company entered into an agreement, which was amended on October 4, 2011 and on July 10, 2012, with Todd Slater, who is a director of the Company, for services related to the Company’s licensing strategy and introduction to potential licensees. In July 2012, the Company made a one-time payment to Mr. Slater of $163,000 in connection with the amendment. The Company incurred direct licensing costs with Mr. Slater from amortization of the one-time payment for the Prior Year Quarter and Prior Year Six Months of $8,000 and $16,000,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Benjamin Malka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license agreement with The H Company IP, LLC (“HIP”) on December 22, 2014, which was amended September 1, 2015. Benjamin Malka, a director of the Company, is a 25% equity holder of HIP’s parent company, House of Halston LLC (“HOH”), and Chief Executive Officer of HOH. The HIP license agreement provides for royalty payments including guaranteed minimum royalties to be paid to the Company during the initial term that expires on December 31, 2019.</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 2015 the Company entered into a license agreement with Lord and Taylor, LLC (the “L&amp;T License”) and simultaneously amended the H Halston License Agreement eliminating HIP’s minimum guaranteed royalty obligations, provided the L&amp;T License is in effect. In addition, the Company entered into a sublicense agreement with HIP obligating the Company to pay HIP a royalty participation fee on an annual basis the greater of (i) 50% of royalties received under the L&amp;T License or (ii) guaranteed minimum royalties. Guaranteed minimum royalties are equal to $0.25 million for the seventeen months ending January 31, 2017, and $0.75 million, $0.75 million, $1.5 million, and $1.75 million for the twelve months ending January 31, 2018, 2019, 2020, and 2021,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a $28,000 and $62,000 royalty participation fee with HIP for the Current Quarter and Current Six Months,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HOH has also entered into an arrangement with another licensee of the Company to supply Halston-branded apparel for the subsequent sale of such product to end customers. Under the Company’s separate pre-existing licensing agreements in place with the aforementioned other licensee and with HIP as described above, the Company earns royalties on the sales of such Halston-branded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Edward Jones, III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14, 2015, and amended on June 24, 2015, the Company entered into a consulting agreement with Jones Texas, Inc., ("JT Inc.") whose controlling shareholder is Edward Jones, a director of the Company. The agreement, as amended, provided for fees payable to JT Inc. up to $75,000 for consulting services related to due diligence on the C Wonder brand prior to acquisition. The Company paid fees to JT Inc. of $12,500 during the Prior Year Quarter and Prior Year Six Months. An additional $62,500 of fees was paid to Jones Texas in August 2015.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2016, Edward Jones performed consulting services for and received compensation from a certain licensee of the Company (the “Licensee”). Under the terms of the Company’s agreement with the Licensee, the Licensee may supply the Company’s branded products to our other licensees. Under the terms of the Company’s separate pre-existing agreements with other licensees, the Company would earn royalties on the sales of such branded products sold to end customers. To date, the Company has not earned or received any fees or revenues related to the Company’s agreement with the Licensee, but may earn or receive such amounts in the future.</w:t>
      </w:r>
    </w:p>
    <w:p>
      <w:pPr>
        <w:spacing w:after="0" w:line="3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Facility Exit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2016, the Company relocated its corporate offices and operations from 475 Tenth Avenue in New York City to 1333 Broadway in New York City. In connection with the exit from its former office location, the Company recognized a liability at the exit and cease-use date for the remaining lease obligation associated with 475 Tenth Avenue, based on the remaining contractual lease payments less estimated sublease rentals, discounted to present value using a credit-adjusted risk-free rate.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net non-cash charge of approximately $648,000 associated with the recognition of this liability. The Company also incurred certain cash costs of approximately $15,000 related to the exit from its former office space, and incurred a loss of approximately $7,000 associated with the sale of certain equipment. These amounts, totaling approximately $670,000, have been recorded as other selling, general and administrative expenses in the accompanying unaudited condensed consolidated statements of operations for the three and six months ended June 30, 2016.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balance of the exit cost liability related to the former office space was approximately $940,000 as of June 30, 2016, of which $229,000 was recorded as an other current liability and $711,000 was recorded as an other long-term liability in the accompanying unaudited condensed consolidated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activity related to the exit cost liability for the Current Six Months is as follows: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81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 in thousands)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17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2016</w:t>
            </w:r>
          </w:p>
        </w:tc>
        <w:tc>
          <w:tcPr>
            <w:tcW w:w="700" w:type="dxa"/>
            <w:vAlign w:val="bottom"/>
            <w:tcBorders>
              <w:top w:val="single" w:sz="8" w:color="CCEEFF"/>
            </w:tcBorders>
            <w:gridSpan w:val="2"/>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Non-cash costs incurred and charged to expense</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17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of previously-recognized deferred balance sheet amounts related to lease</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w:t>
            </w:r>
          </w:p>
        </w:tc>
      </w:tr>
      <w:tr>
        <w:trPr>
          <w:trHeight w:val="230"/>
        </w:trPr>
        <w:tc>
          <w:tcPr>
            <w:tcW w:w="17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1720" w:type="dxa"/>
            <w:vAlign w:val="bottom"/>
          </w:tcPr>
          <w:p>
            <w:pPr>
              <w:spacing w:after="0"/>
              <w:rPr>
                <w:sz w:val="19"/>
                <w:szCs w:val="19"/>
                <w:color w:val="auto"/>
              </w:rPr>
            </w:pPr>
          </w:p>
        </w:tc>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9" w:name="page20"/>
    <w:bookmarkEnd w:id="1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The statements that are not historical facts contained in this report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2015.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Xcel Brands, Inc. (“Xcel,” the “Company,” “we,” “us” or “our”) is a brand management and media company engaged in the design, production, licensing, marketing, and direct to consumer sales of branded apparel, footwear, accessories, jewelry, home goods, and other consumer products, and the acquisition of dynamic consumer lifestyle brands. Currently, our brand portfolio consists of the Isaac Mizrahi, Judith Ripka, H Halston, C Wonder, and Highline Collective brands. We also managed and designed the Liz Claiborne New York brand (“LCNY Brand”) through July 31, 2016. Going forward, our focus shall be on our wholly owned brands.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objective is to build a diversified portfolio of lifestyle consumer brands through organic growth and the strategic acquisition of new brands. To achieve growth under our brands, we are focused on two primary licensing and design activities: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for distribution through interactive television (i.e. QVC and The Shopping Channel);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to manufacturers and retailers for promotion and distribution through e-commerce, social commerce, and traditional brick-and-mortar retail channels.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Xcel offers a unique value proposition to its licensees and customers for the following reasons:</w:t>
      </w:r>
    </w:p>
    <w:p>
      <w:pPr>
        <w:spacing w:after="0" w:line="2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historical track records and relationships within the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management platform, which has a strong focus on design, production, marketing, and social media;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strategy of licensing brands with significant media presence and driving sales through our omni-channel retail sales strategy across interactive television, internet and traditional retail channels.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license our brands to third parties, provide certain design, production, and marketing services, and generate royalty design and service fee revenues through licensing and other agreements with manufacturers and retailers. This includes licensing our own brands for promotion and distribution through an omni-channel retail sales strategy, which includes distribution through interactive television, the internet, and traditional brick-and-mortar retail channels. We believe that this strategy distinguishes us from other brand management companies that rely primarily on their licensees for design, production and distribution, and enables us to leverage the media reach of our interactive television partners, including through television, digital and social media, to drive sales of products under our brands across distribution channels.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vision is intended to reimagine shopping, entertainment, and social as one. By leveraging digital and social media content across all distribution channels, we seek to drive customer (follower) engagement and generate retail sales across our brands. Our strong relationships with leading retailers and interactive television companies, such as QVC and The Shopping Channel, enable us to reach consumers in over 350 million homes worldwide.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“virtual vertical” business model provides significant competitive advantages compared with traditional wholesale apparel companies that design, manufacture, and distribute products. We remain focused on our core competencies of licensing, production, design, marketing and brand development, while outsourcing manufacturing and the related inventory ownership to best-in-class partners. We believe that we provide 360 degrees of service for a comprehensive solution for our retail partners that addresses many of the challenges facing the retail industry today. We believe our platform is highly scalable due to our business model’s low overhead and working capital requirements, coupled with minimum guaranteed income levels through our multi-year licensing contracts. Additionally, we believe we can quickly integrate additional brands into our platform in order to leverage our design, production oversight, and marketing capabilities and retail and licensee relationships.</w:t>
      </w: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We opened a full-price store and an outlet store under the Isaac Mizrahi brand in 2013 and 2014, respectively. In December 2014, we decided to close our retail stores. Accordingly, our retail operations have been classified as discontinued operations for all periods presented. Our e-commerce operations, which were previously reported as a component of retail operations, are reported as a component of our licensing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three months ended June 30, 2016 (the “Current Quarter”) compared with the three months ended June 30, 2015 (the “Prior Year Quarter”)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 Quarter total revenues increased approximately $2.80 million to $9.12 million from $6.32 million in the Prior Year Quarter. This increase was attributable to increases in net licensing revenues of approximately $2.82 million, partially offset by declines in net e-commerce sales of $0.03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net licensing revenues for the Current Quarter as compared with the Prior Year Quarter was primarily due to (i) higher revenues from our interactive television business of approximately $2.46 million, largely driven by acquisitions made in late 2014 and 2015, and (ii) approximately $0.68 million of revenues recognized from new license agreements entered into in 2015. These increases were partially offset by a decrease in revenue of approximately $0.40 associated with the management and design of the LCNY brand, for which our contract subsequently ended in July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decline in net e-commerce sales from the Prior Year Quarter is the result of management’s decision to phase out of e-commerce during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for the Current Quarter was $9.08 million, compared with $6.29 million for the Prior Year Quarter. The increase in gross profit was primarily attributable to the increase in net licensing revenues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expenses totaled $8.85 million for the Current Quarter, compared with $5.84 million for the Prior Year Quarter. The increase of approximately $3.01 million was primarily due to an increase in compensation-related expenses (including stock-based compensation) of approximately $1.49 million and an increase in other selling, general and administrative expenses of approximately $1.45 million, which included non-recurring charges of $0.67 million incurred in the Current Quarter in connection with the exit from our former leased office facilities. The increase in compensation-related costs was largely driven by increased staffing to support (i) the C Wonder Brand, which we acquired in July 2015 and which began selling on QVC in March 2016, (ii) the development and operation of our quick-time-response or short lead time “virtual vertical” production platform, and (iii) the launch of the IMNYC Isaac Mizrahi, H Halston, and Highline Collective brands at Lord &amp; Taylor and Hudson’s Bay department stores in April 2016. The increase in other selling, general and administrative expenses was mainly attributable to the scaling of our operations and infrastructure to support the ongoing growth of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3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Total other income, net of $2.24 million for the Prior Year Quarter was comprised of a $3.00 million gain on the reduction of contingent obligations, partially offset by a $0.76 million loss on extinguishment of debt.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gain on the reduction of contingent obligations was a result of the Company reducing the fair value of its contingent obligation on its earn-out obligation to the seller of the Isaac Mizrahi Brand, based on a revision of the timing of projected future net royalty income related to the Isaac Mizrahi business.</w:t>
      </w: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The loss on extinguishment of debt was a result of the Company satisfying $3.00 million principal amount of Ripka Seller Notes by issuing 333,334 shares of our common stock in April 2015. The carrying value, net of the discount, of the Ripka Seller Notes at the redemption date was $2.24 million, resulting in a loss of $0.76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Expense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and finance expense for the Current Quarter increased by approximately $0.10 million to $0.53 million, compared with $0.43 million in the Prior Year Quarter. This increase was primarily due to the higher interest rate (the term debt interest rate was converted from a variable rate to a fixed rate) on our term debt following the February 2016 refinancing.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effective income tax rate for the Current Quarter was approximately 70% resulting in a $0.21 million income tax benefit. During the Current Quarter, the effective tax rate was attributable to recurring permanent differences. Based on the amount of loss from continuing operations before income taxes compared to the permanent differences, the effective rate increased by 29%.</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Prior Year Quarter was approximately 4% which resulted in a $0.09 million income tax provision. For the Prior Year Quarter, the Company recorded a $3.00 million gain on the reduction of contingent obligations related to the acquisition of the Isaac Mizrahi Brand, partially offset by recurring permanent differences. This gain was not subject to tax and was therefore treated as a discrete item (permanent difference) occurring in the Prior Year Quarter. Based on the amount of income from continuing operations before income taxes compared to the permanent differences, the effective rate decreased by 37%.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loss from discontinued operations, net of $0.05 million in the Prior Year Quarter was related to our retail operations and was primarily attributable to compensation expense, other general and administrative expenses, and wind down costs associated with the closing of our retail stores, partially offset by an income tax benefit of $0.03 million. As these wind down and closure activities were essentially completed by the end of 2015, we had no such costs reported as discontinued operations in the Current Quarter.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a net loss of $0.09 million for the Current Quarter, compared with net income of $2.11 million for the Prior Year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Non-GAAP Diluted EPS, and Adjusted EBITDA</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had non-GAAP net income of $2.11 million, or $0.11 per diluted share (“non-GAAP diluted EPS”) for the Current Quarter, compared with non-GAAP net income of $1.12 million, or non-GAAP diluted EPS of $0.07 for the Prior Year Quarter. Non-GAAP net income is a non-GAAP unaudited term, which we define as net income (loss), exclusive of stock-based compensation, non-cash interest expense from discounted debt related to acquired assets, gain on the reduction of contingent obligations (if any), loss on extinguishment of debt, non-recurring facility exit charges, and net loss from discontinued operations. Non-GAAP net income and non-GAAP diluted EPS measures do not include the tax effect of the aforementioned adjusting items, due to the nature of these items and the Company’s tax strategy.</w:t>
      </w:r>
    </w:p>
    <w:p>
      <w:pPr>
        <w:spacing w:after="0" w:line="19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had Adjusted EBITDA of $2.74 million for the Current Quarter, compared with Adjusted EBITDA of $1.90 million for the Prior Year Quarter. Adjusted EBITDA is a non-GAAP unaudited measure, which we define as net income (loss) before stock-based compensation, interest expense and other financing costs (including gain (loss) on extinguishment of debt), income taxes, other state and local franchise taxes, depreciation and amortization, gain on the reduction of contingent obligations, non-recurring facility exit charges, and net loss from discontinued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they provide supplemental information to assist investors in evaluating the Company’s financial results.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net (loss) income (our most directly comparable financial measure presented in accordance with GAAP) to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 in thousands)</w:t>
            </w:r>
          </w:p>
        </w:tc>
        <w:tc>
          <w:tcPr>
            <w:tcW w:w="2840" w:type="dxa"/>
            <w:vAlign w:val="bottom"/>
            <w:gridSpan w:val="8"/>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772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and finance expense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reduction of contingent obligations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facility exit charges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diluted (loss) earnings per share to non-GAAP diluted EPS:</w:t>
            </w: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840" w:type="dxa"/>
            <w:vAlign w:val="bottom"/>
            <w:gridSpan w:val="8"/>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8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and finance expense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reduction of contingent obligations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facility exit charges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2"/>
                <w:szCs w:val="22"/>
                <w:color w:val="auto"/>
              </w:rPr>
            </w:pPr>
          </w:p>
        </w:tc>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Non-GAAP diluted EPS</w:t>
            </w:r>
          </w:p>
        </w:tc>
        <w:tc>
          <w:tcPr>
            <w:tcW w:w="4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68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Non-GAAP weighted average diluted shares</w:t>
            </w:r>
          </w:p>
        </w:tc>
        <w:tc>
          <w:tcPr>
            <w:tcW w:w="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19,388,557</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15,963,975</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basic weighted average shares to non-GAAP weighted average diluted shares:</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4440" w:type="dxa"/>
            <w:vAlign w:val="bottom"/>
            <w:gridSpan w:val="5"/>
          </w:tcPr>
          <w:p>
            <w:pPr>
              <w:ind w:left="20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20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18,671,648</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14,850,874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exercising warrants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673,995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971,873</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exercising stock options</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42,914</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141,228</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Non-GAAP weighted average diluted shares</w:t>
            </w:r>
          </w:p>
        </w:tc>
        <w:tc>
          <w:tcPr>
            <w:tcW w:w="20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19,388,557</w:t>
            </w:r>
          </w:p>
        </w:tc>
        <w:tc>
          <w:tcPr>
            <w:tcW w:w="1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15,963,975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income (our most directly comparable financial measure presented in accordance with GAAP) to Adjusted EBITDA:</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4480" w:type="dxa"/>
            <w:vAlign w:val="bottom"/>
            <w:gridSpan w:val="8"/>
          </w:tcPr>
          <w:p>
            <w:pPr>
              <w:ind w:left="20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5220" w:type="dxa"/>
            <w:vAlign w:val="bottom"/>
            <w:gridSpan w:val="2"/>
            <w:vMerge w:val="continue"/>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Gain on reduction of contingent obligations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facility exit charges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2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six months ended June 30, 2016 (the “Current Six Months”) compared with the six months ended June 30, 2015 (the “Prior Year Six Months”)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3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Current Six Months total revenues increased approximately $4.60 million to $17.51 million from $12.91 million in the Prior Year Six Months. This increase was attributable to increases in net licensing revenues of approximately $4.64 million, partially offset by declines in net e-commerce sales of $0.05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net licensing revenues for the Current Six Months as compared with the Prior Year Six Months was primarily due to (i) higher revenues from our interactive television business of approximately $4.07 million, largely driven by acquisitions made in late 2014 and 2015, and (ii) approximately $1.34 million of revenues recognized from new license agreements entered into in 2015. These increases were partially offset by a decrease in revenue of approximately $0.46 associated with the management and design of the LCNY brand, for which our contract subsequently ended in July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decline in net e-commerce sales from the Prior Year Six Months is the result of management’s decision to phase out of e-commerce during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for the Current Six Months was $17.40 million, compared with $12.83 million for the Prior Year Six Months. The increase in gross profit was primarily attributable to the increase in net licensing revenues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expenses totaled $16.83 million for the Current Six Months, compared with $11.49 million for the Prior Year Six Months. The increase of approximately $5.34 million was primarily related to an increase in compensation-related expenses (including stock-based compensation) of approximately $2.80 million, an increase in design and marketing costs of approximately $0.57 million, and an increase in other selling, general and administrative expenses of approximately $1.77 million, which included non-recurring charges of $0.67 million incurred in the Current Six Months in connection with the exit from our former leased office facilities. These increases in expenses were the result of increased staffing and scaling of our operations and infrastructure in order to support (i) the C Wonder Brand, which we acquired in July 2015 and which began selling on QVC in March 2016, (ii) the development and operation of our quick-time-response or short lead time “virtual vertical” production platform, and (iii) launch and related ramp-up of the IMNYC Isaac Mizrahi, H Halston, and Highline Collective brands at Lord &amp; Taylor and Hudson’s Bay department stores in April 2016.</w:t>
      </w: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depreciation and amortization expense of approximately $0.20 million was primarily related to the amortization of the C Wonder trademarks acquired in July 2015, partially offset by certain other intangible assets becoming fully amortized in 2015 (see Note 2 in the Unaudited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other income, net of $1.63 million for the Prior Year Six Months was comprised of a $3.00 million gain on the reduction of contingent obligations, partially offset by a $1.37 million loss on extinguishment of debt.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gain on the reduction of contingent obligations was a result of the Company reducing the fair value of its contingent obligation on its earn-out obligation to the seller of the Isaac Mizrahi Brand, based on a revision of the timing of projected future net royalty income related to the Isaac Mizrahi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loss on extinguishment of debt was a result of the Company satisfying $5.40 million principal amount of Ripka Seller Notes by issuing 600,001 shares of our common stock in March and April 2015. The carrying value, net of the discount, of the Ripka Seller Notes at the redemption date was $4.03 million, resulting in a loss of $1.37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Expense</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and finance expense for the Current Six Months increased by approximately $0.02 million to $0.96 million, compared with $0.94 million in the Prior Year Quarter. This increase was primarily due to the higher interest rate (the term debt interest rate was converted from a variable rate to a fixed rate) on our term debt following the February 2016 refinancing and fees associated with the refinancing, largely offset by lower interest expense following the satisfaction of $5.40 million principal amount of the Ripka Seller Notes in March 2015 and April 2015.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effective income tax rate for the Current Six Months was approximately 66% resulting in a $0.26 million income tax benefit. During the Current Six Months, the effective tax rate was attributable to recurring permanent differences. Based on the amount of loss from continuing operations before income taxes compared to the permanent differences, the effective rate increased by 25%.</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Prior Year Six Months was approximately (1)% which resulted in a $0.02 million income tax benefit. For the Prior Year Six Months, the Company recorded a $3.00 million gain on the reduction of contingent obligations related to the acquisition of the Isaac Mizrahi Brand, partially offset by recurring permanent differences. This gain was not subject to tax and was therefore treated as a discrete item (permanent difference) occurring in the Prior Year Six Months. Based on the amount of income from continuing operations before income taxes compared to the permanent differences, the effective rate decreased by 42%.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loss from discontinued operations, net of $0.27 million in the Prior Year Six Months was related to our retail operations and was primarily attributable to compensation expense, other general and administrative expenses, and wind down costs associated with the closing of our retail stores, partially offset by an income tax benefit of $0.17 million. As these wind down and closure activities were essentially completed by the end of 2015, we had no such costs reported as discontinued operations in the Current Six Months.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a net loss of $0.14 million for the Current Six Months, compared with net income of $1.78 million for the Prior Year Six Months.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Non-GAAP Diluted EPS, and Adjusted EBITDA</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had non-GAAP net income of $3.36 million, or $0.17 per diluted share for the Current Six Months, compared with non-GAAP net income of $2.78 million, or non-GAAP diluted EPS of $0.18 for the Prior Year Six Months. The Company had Adjusted EBITDA of $4.74 million for the Current Six Months, compared with Adjusted EBITDA of $4.10 million for the Prior Year Six Months.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net (loss) income (our most directly comparable financial measure presented in accordance with GAAP) to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income:</w:t>
      </w:r>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77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 in thousands)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23"/>
        </w:trPr>
        <w:tc>
          <w:tcPr>
            <w:tcW w:w="772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and finance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reduction of contingent obligations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facility exit charges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4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diluted (loss) earnings per share to non-GAAP diluted EPS:</w:t>
            </w: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8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and finance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reduction of contingent obligations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facility exit charges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4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2"/>
                <w:szCs w:val="22"/>
                <w:color w:val="auto"/>
              </w:rPr>
            </w:pPr>
          </w:p>
        </w:tc>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Non-GAAP diluted EPS</w:t>
            </w:r>
          </w:p>
        </w:tc>
        <w:tc>
          <w:tcPr>
            <w:tcW w:w="4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68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Non-GAAP weighted average diluted shares</w:t>
            </w: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19,268,245</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15,575,406</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basic weighted average shares to non-GAAP weighted average diluted shares:</w:t>
      </w:r>
    </w:p>
    <w:p>
      <w:pPr>
        <w:sectPr>
          <w:pgSz w:w="11900" w:h="16838" w:orient="portrait"/>
          <w:cols w:equalWidth="0" w:num="1">
            <w:col w:w="11420"/>
          </w:cols>
          <w:pgMar w:left="240" w:top="9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Basic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-127635</wp:posOffset>
            </wp:positionV>
            <wp:extent cx="615759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Effect of exercising warrants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Effect of exercising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-130810</wp:posOffset>
            </wp:positionV>
            <wp:extent cx="615759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Non-GAAP weighted average diluted shares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27305</wp:posOffset>
            </wp:positionV>
            <wp:extent cx="14662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 w:lineRule="exact"/>
        <w:rPr>
          <w:sz w:val="20"/>
          <w:szCs w:val="20"/>
          <w:color w:val="auto"/>
        </w:rPr>
      </w:pPr>
    </w:p>
    <w:p>
      <w:pPr>
        <w:ind w:left="2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2016</w:t>
      </w:r>
      <w:r>
        <w:rPr>
          <w:sz w:val="20"/>
          <w:szCs w:val="20"/>
          <w:color w:val="auto"/>
        </w:rPr>
        <w:tab/>
      </w:r>
      <w:r>
        <w:rPr>
          <w:rFonts w:ascii="Times New Roman" w:cs="Times New Roman" w:eastAsia="Times New Roman" w:hAnsi="Times New Roman"/>
          <w:sz w:val="18"/>
          <w:szCs w:val="18"/>
          <w:b w:val="1"/>
          <w:bCs w:val="1"/>
          <w:color w:val="auto"/>
        </w:rPr>
        <w:t>2015</w:t>
      </w:r>
    </w:p>
    <w:p>
      <w:pPr>
        <w:spacing w:after="0" w:line="31" w:lineRule="exact"/>
        <w:rPr>
          <w:sz w:val="20"/>
          <w:szCs w:val="20"/>
          <w:color w:val="auto"/>
        </w:rPr>
      </w:pPr>
    </w:p>
    <w:p>
      <w:pPr>
        <w:ind w:left="160"/>
        <w:spacing w:after="0"/>
        <w:tabs>
          <w:tab w:leader="none" w:pos="1380" w:val="left"/>
        </w:tabs>
        <w:rPr>
          <w:sz w:val="20"/>
          <w:szCs w:val="20"/>
          <w:color w:val="auto"/>
        </w:rPr>
      </w:pPr>
      <w:r>
        <w:rPr>
          <w:rFonts w:ascii="Times New Roman" w:cs="Times New Roman" w:eastAsia="Times New Roman" w:hAnsi="Times New Roman"/>
          <w:sz w:val="17"/>
          <w:szCs w:val="17"/>
          <w:color w:val="auto"/>
        </w:rPr>
        <w:t>18,565,198</w:t>
      </w:r>
      <w:r>
        <w:rPr>
          <w:sz w:val="20"/>
          <w:szCs w:val="20"/>
          <w:color w:val="auto"/>
        </w:rPr>
        <w:tab/>
      </w:r>
      <w:r>
        <w:rPr>
          <w:rFonts w:ascii="Times New Roman" w:cs="Times New Roman" w:eastAsia="Times New Roman" w:hAnsi="Times New Roman"/>
          <w:sz w:val="17"/>
          <w:szCs w:val="17"/>
          <w:color w:val="auto"/>
        </w:rPr>
        <w:t>14,462,305</w:t>
      </w:r>
    </w:p>
    <w:p>
      <w:pPr>
        <w:spacing w:after="0" w:line="34" w:lineRule="exact"/>
        <w:rPr>
          <w:sz w:val="20"/>
          <w:szCs w:val="20"/>
          <w:color w:val="auto"/>
        </w:rPr>
      </w:pPr>
    </w:p>
    <w:p>
      <w:pPr>
        <w:jc w:val="both"/>
        <w:ind w:left="380"/>
        <w:spacing w:after="0"/>
        <w:tabs>
          <w:tab w:leader="none" w:pos="1600" w:val="left"/>
        </w:tabs>
        <w:rPr>
          <w:sz w:val="20"/>
          <w:szCs w:val="20"/>
          <w:color w:val="auto"/>
        </w:rPr>
      </w:pPr>
      <w:r>
        <w:rPr>
          <w:rFonts w:ascii="Times New Roman" w:cs="Times New Roman" w:eastAsia="Times New Roman" w:hAnsi="Times New Roman"/>
          <w:sz w:val="18"/>
          <w:szCs w:val="18"/>
          <w:color w:val="auto"/>
        </w:rPr>
        <w:t>663,270</w:t>
      </w:r>
      <w:r>
        <w:rPr>
          <w:sz w:val="20"/>
          <w:szCs w:val="20"/>
          <w:color w:val="auto"/>
        </w:rPr>
        <w:tab/>
      </w:r>
      <w:r>
        <w:rPr>
          <w:rFonts w:ascii="Times New Roman" w:cs="Times New Roman" w:eastAsia="Times New Roman" w:hAnsi="Times New Roman"/>
          <w:sz w:val="18"/>
          <w:szCs w:val="18"/>
          <w:color w:val="auto"/>
        </w:rPr>
        <w:t>971,873</w:t>
      </w:r>
    </w:p>
    <w:p>
      <w:pPr>
        <w:spacing w:after="0" w:line="9" w:lineRule="exact"/>
        <w:rPr>
          <w:sz w:val="20"/>
          <w:szCs w:val="20"/>
          <w:color w:val="auto"/>
        </w:rPr>
      </w:pPr>
    </w:p>
    <w:p>
      <w:pPr>
        <w:jc w:val="both"/>
        <w:ind w:left="480"/>
        <w:spacing w:after="0"/>
        <w:tabs>
          <w:tab w:leader="none" w:pos="1600" w:val="left"/>
        </w:tabs>
        <w:rPr>
          <w:sz w:val="20"/>
          <w:szCs w:val="20"/>
          <w:color w:val="auto"/>
        </w:rPr>
      </w:pPr>
      <w:r>
        <w:rPr>
          <w:rFonts w:ascii="Times New Roman" w:cs="Times New Roman" w:eastAsia="Times New Roman" w:hAnsi="Times New Roman"/>
          <w:sz w:val="18"/>
          <w:szCs w:val="18"/>
          <w:color w:val="auto"/>
        </w:rPr>
        <w:t>39,777</w:t>
      </w:r>
      <w:r>
        <w:rPr>
          <w:sz w:val="20"/>
          <w:szCs w:val="20"/>
          <w:color w:val="auto"/>
        </w:rPr>
        <w:tab/>
      </w:r>
      <w:r>
        <w:rPr>
          <w:rFonts w:ascii="Times New Roman" w:cs="Times New Roman" w:eastAsia="Times New Roman" w:hAnsi="Times New Roman"/>
          <w:sz w:val="18"/>
          <w:szCs w:val="18"/>
          <w:color w:val="auto"/>
        </w:rPr>
        <w:t>141,228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14605</wp:posOffset>
            </wp:positionV>
            <wp:extent cx="14662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 w:lineRule="exact"/>
        <w:rPr>
          <w:sz w:val="20"/>
          <w:szCs w:val="20"/>
          <w:color w:val="auto"/>
        </w:rPr>
      </w:pPr>
    </w:p>
    <w:p>
      <w:pPr>
        <w:ind w:left="160"/>
        <w:spacing w:after="0"/>
        <w:tabs>
          <w:tab w:leader="none" w:pos="1380" w:val="left"/>
        </w:tabs>
        <w:rPr>
          <w:sz w:val="20"/>
          <w:szCs w:val="20"/>
          <w:color w:val="auto"/>
        </w:rPr>
      </w:pPr>
      <w:r>
        <w:rPr>
          <w:rFonts w:ascii="Times New Roman" w:cs="Times New Roman" w:eastAsia="Times New Roman" w:hAnsi="Times New Roman"/>
          <w:sz w:val="17"/>
          <w:szCs w:val="17"/>
          <w:color w:val="auto"/>
        </w:rPr>
        <w:t>19,268,245</w:t>
      </w:r>
      <w:r>
        <w:rPr>
          <w:sz w:val="20"/>
          <w:szCs w:val="20"/>
          <w:color w:val="auto"/>
        </w:rPr>
        <w:tab/>
      </w:r>
      <w:r>
        <w:rPr>
          <w:rFonts w:ascii="Times New Roman" w:cs="Times New Roman" w:eastAsia="Times New Roman" w:hAnsi="Times New Roman"/>
          <w:sz w:val="17"/>
          <w:szCs w:val="17"/>
          <w:color w:val="auto"/>
        </w:rPr>
        <w:t>15,575,406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24765</wp:posOffset>
            </wp:positionV>
            <wp:extent cx="1466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621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3160"/>
          </w:cols>
          <w:pgMar w:left="240" w:top="914" w:right="239" w:bottom="1440" w:gutter="0" w:footer="0" w:header="0"/>
          <w:type w:val="continuous"/>
        </w:sectPr>
      </w:pPr>
    </w:p>
    <w:p>
      <w:pPr>
        <w:spacing w:after="0" w:line="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income (our most directly comparable financial measure presented in accordance with GAAP) to Adjusted EBITDA:</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23"/>
        </w:trPr>
        <w:tc>
          <w:tcPr>
            <w:tcW w:w="5220" w:type="dxa"/>
            <w:vAlign w:val="bottom"/>
            <w:gridSpan w:val="2"/>
            <w:vMerge w:val="continue"/>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Gain on reduction of contingent obligations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facility exit charges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20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capital requirements have been to fund working capital needs, acquire new brands, and to a lesser extent, capital expenditures. At June 30, 2016 and December 31, 2015, our unrestricted cash and cash equivalents were $13.47 million and $16.86 million,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existing cash and operating cash flows will be adequate to meet our operating needs, debt service obligations (including debt service under the Loan Agreement), and capital expenditure needs, for at least the twelve months subsequent to June 30, 2016. We are dependent on our licensees for most of our revenues, and there is no assurance that the licensees will perform as projected.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operating model generally does not require significant capital expenditures.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contingent obligations (see Note 4, Debt in the Unaudited Condensed Consolidated Financial Statements) are payable in stock or cash, at the Company’s discretion. Payment of these obligations in stock would not affect our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Working Capital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2016 and December 31, 2015, our adjusted working capital (current assets less current liabilities, excluding current contingent obligations and seller notes payable in stock (see Note 4, Debt in the Unaudited Condensed Consolidated Financial Statements)) was $16.50 million and $16.14 million, respectively. Commentary on the components of our cash flows used in continuing operations for the Current Six Months as compared with the Prior Year Six Months is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was approximately $2.33 million in the Current Six Months, compared with net cash used in operating activities from continuing operations of approximately $0.96 million in the Prior Year Six Months.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Current Six Months’ cash provided by operating activities was due to the combination of a net loss of $(0.14) million and the net change in operating assets and liabilities of $(1.63) million, partially offset by non-cash expenses of $4.10 million. Non-cash expenses mainly consist of $2.67 million of stock-based compensation, $0.79 million of depreciation and amortization, $0.25 million of amortization of debt discount and deferred finance costs, and a non-cash charge of $0.65 million related to the exit from our former leased office facilities, partially offset by $(0.26) million of deferred income tax benefit. The net change in operating assets and liabilities includes an increase in accounts receivable of $2.48 million primarily attributable to increase in revenues.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Prior Year Six Months’ cash used in operating activities from continuing operations was primarily comprised of the net change in operating assets and liabilities of $(4.22) million, partially offset by net income of $1.78 million, non-cash expenses of $1.22 million, and a net loss from discontinued operations of $0.27 million. Non-cash expenses mainly consisted of $2.12 million of stock-based compensation, $1.37 million of loss from the extinguishment of debt, $0.58 million of depreciation and amortization, $(3.0) million of gain from the reduction of contingent obligations, $0.32 million of amortization of debt discount and deferred finance costs, and $(0.15) million of tax benefits. The $(4.22) million change in operating assets and liabilities includes an increase of $2.90 million of accounts receivable primarily attributable to increase in revenues. Net cash provided by operating activities from discontinued operations was $0.21 million.</w:t>
      </w: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Current Six Months was approximately $2.12 million, compared with approximately $1.47 million in the Prior Year Six Months.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Six Months’ net cash used in investing activities was attributable to $1.72 million of capital expenditures associated with leasehold improvements, furniture and fixtures, and equipment for our new corporate offices and operations facility, and $0.40 million of restricted cash related to the security deposit of the subtenant at our former office facilities.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Prior Year Six Months’ net cash used in investing activities was primarily attributable to restricted cash of $1.11 million for a security deposit on the lease for our new office space, an advance deposit of $0.30 million made in connection with the C Wonder acquisition, and capital expenditures of $0.05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Current Six Months was approximately $3.60 million, primarily attributable to payments on our term debt obligations of $2.25 million, payment on our IM Seller Note obligation of $0.75 million, payment of the QVC Earn-Out obligation of $0.25 million, shares repurchased including vested restricted stock in exchange for withholding taxes of $0.30 million, and payment of deferred finance costs of $0.07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Prior Year Six Months was approximately $3.70 million, primarily attributable to payment on our installment obligation related to the Ripka Brand of $2.18 million, repayments on our long-term debt of $1.26 million, and $0.32 million of costs associated with our July 2015 public equity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Factors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H Halston brand, and C Wonder brand have a core business in fashion apparel and accessories. The Ripka brand historically has been focused on fine jewelry, which we believe helps diversify our industry focus while at the same time complements, expands on, and grows our overall business relationship with QVC. As of July 31, 2016, we no longer manage and design the Liz Claiborne New York brand. In April 2016, we brought the IMNYC Isaac Mizrahi, H Halston, and Highline Collective brands to Lord &amp; Taylor and The Bay department stores through our quick-time-response direct-to-retail “virtual vertical” platform, and plan to do the same with the C Wonder Limited brand later this year. We also intend to seek new opportunities, including expansion through interactive television business and additional domestic and international licensing arrangements, and acquiring additional brands. Our success, however, will still remain largely dependent on our ability to build and maintain our brands’ awareness and contract with and retain key licensees, as well as our licensees’ ability to accurately predict upcoming fashion and design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in our Annual Report on Form 10-K for the year ended December 31, 2015 as filed with the SEC could adversely affect our licensees’ ability to meet and/or exceed their contractual commitments to us and thereby adversely affect our future operating results.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our Annual Report on Form 10-K for the year ended December 31, 2015, filed with the SEC on March 17, 2016, for a discussion of our critical accounting policies. During the three and six months ended June 30, 2016, there were no material changes to these policies.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June 30, 2016, the end of the period covered by this report. Based on, and as of the date of such evaluation, the Chief Executive Officer and the Chief Financial Officer have concluded that our disclosure controls and procedures were effective as of June 30, 2016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not been any significant changes in our internal control over financial reporting (as defined in Rules 13a-15(f) and 15d-15(f) under the Exchange Act) during the fiscal quarter ended June 30, 2016 that have materially affected, or are reasonably likely to materially affect, our internal control over financial reporting.</w:t>
      </w: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a highly competitive industry that involves numerous known and unknown risks and uncertainties that could impact our operations. The risks described in Part I, Item 1A, “Risk Factors” of our Annual Report on Form 10-K for the year ended December 31, 2015 are not the only risks we face. Additional risks and uncertainties not currently known to us or that we currently deem to be immaterial also may materially adversely affect our financial condition and/or operating results.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or registered securities during the six months ended June 30,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shares of common stock we repurchased during the six months ended June 30,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Total Number of Shares</w:t>
            </w:r>
          </w:p>
        </w:tc>
      </w:tr>
      <w:tr>
        <w:trPr>
          <w:trHeight w:val="216"/>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Average</w:t>
            </w:r>
          </w:p>
        </w:tc>
        <w:tc>
          <w:tcPr>
            <w:tcW w:w="2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Purchased as</w:t>
            </w:r>
          </w:p>
        </w:tc>
      </w:tr>
      <w:tr>
        <w:trPr>
          <w:trHeight w:val="216"/>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Price per</w:t>
            </w: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of a Publicly Announced</w:t>
            </w:r>
          </w:p>
        </w:tc>
      </w:tr>
      <w:tr>
        <w:trPr>
          <w:trHeight w:val="234"/>
        </w:trPr>
        <w:tc>
          <w:tcPr>
            <w:tcW w:w="632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Period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Share</w:t>
            </w:r>
          </w:p>
        </w:tc>
        <w:tc>
          <w:tcPr>
            <w:tcW w:w="2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Plan or Program</w:t>
            </w:r>
          </w:p>
        </w:tc>
      </w:tr>
      <w:tr>
        <w:trPr>
          <w:trHeight w:val="223"/>
        </w:trPr>
        <w:tc>
          <w:tcPr>
            <w:tcW w:w="6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2016 to March 31, 2016 (i)</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right="20" w:hanging="412"/>
        <w:spacing w:after="0" w:line="282"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were exchanged from employees in connection with the income tax withholding obligations on behalf of such employees from the vesting of restricted stock.</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0" w:name="page31"/>
    <w:bookmarkEnd w:id="30"/>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31.1 Rule 13a-14(a)/15d-14(a) Certification (CEO)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31.2 Rule 13a-14(a)/15d-14(a) Certification (CFO)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32.1 Section 1350 Certification (CEO)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32.2 Section 1350 Certification (CFO)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101.INS XBRL Instance Document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101.SCH XBRL Taxonomy Extension Schema Document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101.CAL XBRL Taxonomy Extension Calculation Linkbase Document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101.DEF XBRL Taxonomy Extension Definitions Linkbase Document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101.LAB XBRL Taxonomy Extension Label Linkbase Document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101.PRE XBRL Taxonomy Extension Presentation Linkbase Document</w:t>
      </w:r>
    </w:p>
    <w:p>
      <w:pPr>
        <w:spacing w:after="0" w:line="200" w:lineRule="exact"/>
        <w:rPr>
          <w:sz w:val="20"/>
          <w:szCs w:val="20"/>
          <w:color w:val="auto"/>
        </w:rPr>
      </w:pP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0"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2016</w:t>
            </w: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432"/>
        </w:trPr>
        <w:tc>
          <w:tcPr>
            <w:tcW w:w="380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bl>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2016 of Xcel Brands, Inc. (the “Company”).</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firstLine="8"/>
        <w:spacing w:after="0" w:line="282" w:lineRule="auto"/>
        <w:tabs>
          <w:tab w:leader="none" w:pos="2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August 10, 2016</w:t>
            </w:r>
          </w:p>
        </w:tc>
        <w:tc>
          <w:tcPr>
            <w:tcW w:w="29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5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675"/>
        </w:trPr>
        <w:tc>
          <w:tcPr>
            <w:tcW w:w="3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2016 of Xcel Brands, Inc. (the “Company”).</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firstLine="8"/>
        <w:spacing w:after="0" w:line="282" w:lineRule="auto"/>
        <w:tabs>
          <w:tab w:leader="none" w:pos="2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62" w:lineRule="exact"/>
        <w:rPr>
          <w:sz w:val="20"/>
          <w:szCs w:val="20"/>
          <w:color w:val="auto"/>
        </w:rPr>
      </w:pPr>
    </w:p>
    <w:p>
      <w:pPr>
        <w:ind w:firstLine="8"/>
        <w:spacing w:after="0" w:line="282" w:lineRule="auto"/>
        <w:tabs>
          <w:tab w:leader="none" w:pos="1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August 10, 2016</w:t>
            </w:r>
          </w:p>
        </w:tc>
        <w:tc>
          <w:tcPr>
            <w:tcW w:w="29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5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r>
        <w:trPr>
          <w:trHeight w:val="675"/>
        </w:trPr>
        <w:tc>
          <w:tcPr>
            <w:tcW w:w="3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June 30, 2016 as filed with the Securities and Exchange Commission on the date hereof (the “Report”), I, Robert W. D’Loren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August 10, 2016</w:t>
            </w:r>
          </w:p>
        </w:tc>
        <w:tc>
          <w:tcPr>
            <w:tcW w:w="29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5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675"/>
        </w:trPr>
        <w:tc>
          <w:tcPr>
            <w:tcW w:w="3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June 30, 2016 as filed with the Securities and Exchange Commission on the date hereof (the “Report”), I, James Haran,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August 10, 2016</w:t>
            </w:r>
          </w:p>
        </w:tc>
        <w:tc>
          <w:tcPr>
            <w:tcW w:w="29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5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r>
        <w:trPr>
          <w:trHeight w:val="675"/>
        </w:trPr>
        <w:tc>
          <w:tcPr>
            <w:tcW w:w="3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1)"/>
      <w:numFmt w:val="lowerRoman"/>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5"/>
    </w:lvl>
  </w:abstractNum>
  <w:abstractNum w:abstractNumId="6">
    <w:nsid w:val="41A7C4C9"/>
    <w:multiLevelType w:val="hybridMultilevel"/>
    <w:lvl w:ilvl="0">
      <w:lvlJc w:val="left"/>
      <w:lvlText w:val="%1."/>
      <w:numFmt w:val="decimal"/>
      <w:start w:val="6"/>
    </w:lvl>
  </w:abstractNum>
  <w:abstractNum w:abstractNumId="7">
    <w:nsid w:val="6B68079A"/>
    <w:multiLevelType w:val="hybridMultilevel"/>
    <w:lvl w:ilvl="0">
      <w:lvlJc w:val="left"/>
      <w:lvlText w:val="%1."/>
      <w:numFmt w:val="decimal"/>
      <w:start w:val="7"/>
    </w:lvl>
  </w:abstractNum>
  <w:abstractNum w:abstractNumId="8">
    <w:nsid w:val="4E6AFB66"/>
    <w:multiLevelType w:val="hybridMultilevel"/>
    <w:lvl w:ilvl="0">
      <w:lvlJc w:val="left"/>
      <w:lvlText w:val="%1."/>
      <w:numFmt w:val="decimal"/>
      <w:start w:val="8"/>
    </w:lvl>
  </w:abstractNum>
  <w:abstractNum w:abstractNumId="9">
    <w:nsid w:val="25E45D32"/>
    <w:multiLevelType w:val="hybridMultilevel"/>
    <w:lvl w:ilvl="0">
      <w:lvlJc w:val="left"/>
      <w:lvlText w:val="%1."/>
      <w:numFmt w:val="decimal"/>
      <w:start w:val="9"/>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lowerRoman"/>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5"/>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2019-12-29T09:45:18Z</dcterms:created>
  <dcterms:modified xsi:type="dcterms:W3CDTF">2019-12-29T09:45:18Z</dcterms:modified>
</cp:coreProperties>
</file>