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4"/>
          <w:szCs w:val="24"/>
          <w:color w:val="auto"/>
        </w:rPr>
      </w:pPr>
    </w:p>
    <w:p>
      <w:pPr>
        <w:spacing w:after="0" w:line="268" w:lineRule="exact"/>
        <w:rPr>
          <w:sz w:val="24"/>
          <w:szCs w:val="24"/>
          <w:color w:val="auto"/>
        </w:rPr>
      </w:pPr>
    </w:p>
    <w:p>
      <w:pPr>
        <w:ind w:left="4640" w:right="2220" w:hanging="2212"/>
        <w:spacing w:after="0" w:line="282" w:lineRule="auto"/>
        <w:tabs>
          <w:tab w:leader="none" w:pos="270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SECURITES EXCHANGE ACT OF 1934</w:t>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56"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auto"/>
        </w:rPr>
        <w:t>COMMISSION FILE NUMBER: 0-21419</w:t>
      </w:r>
    </w:p>
    <w:p>
      <w:pPr>
        <w:spacing w:after="0" w:line="24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NETFABRIC HOLDINGS,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Small Business Issuer as Specified in Its Charter)</w:t>
      </w:r>
    </w:p>
    <w:p>
      <w:pPr>
        <w:sectPr>
          <w:pgSz w:w="11900" w:h="16838" w:orient="portrait"/>
          <w:cols w:equalWidth="0" w:num="1">
            <w:col w:w="11220"/>
          </w:cols>
          <w:pgMar w:left="240" w:top="553" w:right="439" w:bottom="1440" w:gutter="0" w:footer="0" w:header="0"/>
        </w:sectPr>
      </w:pPr>
    </w:p>
    <w:p>
      <w:pPr>
        <w:spacing w:after="0" w:line="238"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26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60" w:space="720"/>
            <w:col w:w="3840"/>
          </w:cols>
          <w:pgMar w:left="240" w:top="553" w:right="439" w:bottom="1440" w:gutter="0" w:footer="0" w:header="0"/>
          <w:type w:val="continuous"/>
        </w:sectPr>
      </w:pPr>
    </w:p>
    <w:p>
      <w:pPr>
        <w:spacing w:after="0" w:line="61" w:lineRule="exact"/>
        <w:rPr>
          <w:sz w:val="24"/>
          <w:szCs w:val="24"/>
          <w:color w:val="auto"/>
        </w:rPr>
      </w:pPr>
    </w:p>
    <w:p>
      <w:pPr>
        <w:ind w:left="4240"/>
        <w:spacing w:after="0"/>
        <w:rPr>
          <w:sz w:val="20"/>
          <w:szCs w:val="20"/>
          <w:color w:val="auto"/>
        </w:rPr>
      </w:pPr>
      <w:r>
        <w:rPr>
          <w:rFonts w:ascii="Arial" w:cs="Arial" w:eastAsia="Arial" w:hAnsi="Arial"/>
          <w:sz w:val="16"/>
          <w:szCs w:val="16"/>
          <w:color w:val="auto"/>
        </w:rPr>
        <w:t>(Address of Principal Executive Offices)</w:t>
      </w:r>
    </w:p>
    <w:p>
      <w:pPr>
        <w:spacing w:after="0" w:line="46"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117 Randolph Avenue,</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Jersey City, New Jersey 07305,</w:t>
      </w:r>
    </w:p>
    <w:p>
      <w:pPr>
        <w:sectPr>
          <w:pgSz w:w="11900" w:h="16838" w:orient="portrait"/>
          <w:cols w:equalWidth="0" w:num="1">
            <w:col w:w="11220"/>
          </w:cols>
          <w:pgMar w:left="240" w:top="553" w:right="439" w:bottom="1440" w:gutter="0" w:footer="0" w:header="0"/>
          <w:type w:val="continuous"/>
        </w:sectPr>
      </w:pP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(201)-706-2998</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address, if changed since last report)</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299 Cherry Hill Road,</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Parsippany, New Jersey 07054</w:t>
      </w:r>
    </w:p>
    <w:p>
      <w:pPr>
        <w:spacing w:after="0" w:line="238"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553" w:right="439" w:bottom="1440" w:gutter="0" w:footer="0" w:header="0"/>
          <w:type w:val="continuous"/>
        </w:sectPr>
      </w:pPr>
    </w:p>
    <w:p>
      <w:pPr>
        <w:spacing w:after="0" w:line="200" w:lineRule="exact"/>
        <w:rPr>
          <w:sz w:val="24"/>
          <w:szCs w:val="24"/>
          <w:color w:val="auto"/>
        </w:rPr>
      </w:pPr>
    </w:p>
    <w:p>
      <w:pPr>
        <w:spacing w:after="0" w:line="24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40" w:space="720"/>
            <w:col w:w="3260"/>
          </w:cols>
          <w:pgMar w:left="240" w:top="553" w:right="4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Small reporting company x</w:t>
      </w:r>
    </w:p>
    <w:p>
      <w:pPr>
        <w:spacing w:after="0" w:line="200" w:lineRule="exact"/>
        <w:rPr>
          <w:sz w:val="24"/>
          <w:szCs w:val="24"/>
          <w:color w:val="auto"/>
        </w:rPr>
      </w:pPr>
    </w:p>
    <w:p>
      <w:pPr>
        <w:sectPr>
          <w:pgSz w:w="11900" w:h="16838" w:orient="portrait"/>
          <w:cols w:equalWidth="0" w:num="2">
            <w:col w:w="7240" w:space="720"/>
            <w:col w:w="3260"/>
          </w:cols>
          <w:pgMar w:left="240" w:top="553" w:right="439" w:bottom="1440" w:gutter="0" w:footer="0" w:header="0"/>
          <w:type w:val="continuous"/>
        </w:sectPr>
      </w:pPr>
    </w:p>
    <w:p>
      <w:pPr>
        <w:spacing w:after="0" w:line="43" w:lineRule="exact"/>
        <w:rPr>
          <w:sz w:val="24"/>
          <w:szCs w:val="24"/>
          <w:color w:val="auto"/>
        </w:rPr>
      </w:pPr>
    </w:p>
    <w:p>
      <w:pPr>
        <w:spacing w:after="0" w:line="196" w:lineRule="exact"/>
        <w:tabs>
          <w:tab w:leader="none" w:pos="8920" w:val="left"/>
        </w:tabs>
        <w:rPr>
          <w:sz w:val="20"/>
          <w:szCs w:val="20"/>
          <w:color w:val="auto"/>
        </w:rPr>
      </w:pPr>
      <w:r>
        <w:rPr>
          <w:rFonts w:ascii="Arial" w:cs="Arial" w:eastAsia="Arial" w:hAnsi="Arial"/>
          <w:sz w:val="17"/>
          <w:szCs w:val="17"/>
          <w:color w:val="auto"/>
        </w:rPr>
        <w:t>Indicate by a check mark whether the registrant is a shell company (as defined in Rule 12b-2 of the Exchange Act). 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6" w:lineRule="exact"/>
        <w:rPr>
          <w:sz w:val="24"/>
          <w:szCs w:val="24"/>
          <w:color w:val="auto"/>
        </w:rPr>
      </w:pPr>
    </w:p>
    <w:p>
      <w:pPr>
        <w:ind w:right="280"/>
        <w:spacing w:after="0" w:line="255" w:lineRule="auto"/>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 As of May 2, 2011, 97,053,044 shares of common stock, $.001 par value per share, of the issuer were outstanding.</w:t>
      </w:r>
    </w:p>
    <w:p>
      <w:pPr>
        <w:spacing w:after="0" w:line="2" w:lineRule="exact"/>
        <w:rPr>
          <w:sz w:val="24"/>
          <w:szCs w:val="24"/>
          <w:color w:val="auto"/>
        </w:rPr>
      </w:pPr>
    </w:p>
    <w:p>
      <w:pPr>
        <w:spacing w:after="0" w:line="207" w:lineRule="exact"/>
        <w:tabs>
          <w:tab w:leader="none" w:pos="5020" w:val="left"/>
        </w:tabs>
        <w:rPr>
          <w:sz w:val="20"/>
          <w:szCs w:val="20"/>
          <w:color w:val="auto"/>
        </w:rPr>
      </w:pPr>
      <w:r>
        <w:rPr>
          <w:rFonts w:ascii="Arial" w:cs="Arial" w:eastAsia="Arial" w:hAnsi="Arial"/>
          <w:sz w:val="18"/>
          <w:szCs w:val="18"/>
          <w:color w:val="auto"/>
        </w:rPr>
        <w:t xml:space="preserve">Transitional Small Business Disclosure Format (check one):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633095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53"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560" w:type="dxa"/>
            <w:vAlign w:val="bottom"/>
          </w:tcPr>
          <w:p>
            <w:pPr>
              <w:ind w:left="3540"/>
              <w:spacing w:after="0"/>
              <w:rPr>
                <w:sz w:val="20"/>
                <w:szCs w:val="20"/>
                <w:color w:val="auto"/>
              </w:rPr>
            </w:pPr>
            <w:r>
              <w:rPr>
                <w:rFonts w:ascii="Arial" w:cs="Arial" w:eastAsia="Arial" w:hAnsi="Arial"/>
                <w:sz w:val="18"/>
                <w:szCs w:val="18"/>
                <w:b w:val="1"/>
                <w:bCs w:val="1"/>
                <w:color w:val="auto"/>
              </w:rPr>
              <w:t>NETFABRIC HOLDINGS,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60" w:type="dxa"/>
            <w:vAlign w:val="bottom"/>
          </w:tcPr>
          <w:p>
            <w:pPr>
              <w:ind w:left="4520"/>
              <w:spacing w:after="0"/>
              <w:rPr>
                <w:sz w:val="20"/>
                <w:szCs w:val="20"/>
                <w:color w:val="auto"/>
              </w:rPr>
            </w:pPr>
            <w:r>
              <w:rPr>
                <w:rFonts w:ascii="Arial" w:cs="Arial" w:eastAsia="Arial" w:hAnsi="Arial"/>
                <w:sz w:val="18"/>
                <w:szCs w:val="18"/>
                <w:color w:val="auto"/>
              </w:rPr>
              <w:t>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INFORMATION</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 (Unaudited)</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Consolidated Balance Sheets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Consolidated Statements of 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Condensed Consolidated Statements of Cash Flows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to Interim Condensed Consolidated Financial Statements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Controls and Procedures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INFORMATION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Legal Proceedings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Defaults Upon Senior Securities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Submission of Matters to a Vote of Security Holders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Information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Exhibits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Signatures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307"/>
        </w:trPr>
        <w:tc>
          <w:tcPr>
            <w:tcW w:w="20" w:type="dxa"/>
            <w:vAlign w:val="bottom"/>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5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2" w:name="page3"/>
    <w:bookmarkEnd w:id="2"/>
    <w:p>
      <w:pPr>
        <w:ind w:left="2200"/>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00" w:type="dxa"/>
            <w:vAlign w:val="bottom"/>
            <w:vMerge w:val="restart"/>
          </w:tcPr>
          <w:p>
            <w:pPr>
              <w:ind w:left="416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31, 2010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vMerge w:val="continue"/>
          </w:tcPr>
          <w:p>
            <w:pPr>
              <w:spacing w:after="0"/>
              <w:rPr>
                <w:sz w:val="20"/>
                <w:szCs w:val="20"/>
                <w:color w:val="auto"/>
              </w:rPr>
            </w:pPr>
          </w:p>
        </w:tc>
        <w:tc>
          <w:tcPr>
            <w:tcW w:w="1680" w:type="dxa"/>
            <w:vAlign w:val="bottom"/>
            <w:gridSpan w:val="4"/>
          </w:tcPr>
          <w:p>
            <w:pPr>
              <w:ind w:left="36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150,196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Other receivable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225,196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72,174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w w:val="92"/>
              </w:rPr>
              <w:t>Common Stock, $.001 par value, authorized shares 200,000,000, 97,053,044 shares issued and outstanding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97,053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38,243,128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38,243,128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(38,187,159)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(38,173,197)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153,022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225,196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251,256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See accompanying notes to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ind w:left="2200"/>
              <w:spacing w:after="0"/>
              <w:rPr>
                <w:sz w:val="20"/>
                <w:szCs w:val="20"/>
                <w:color w:val="auto"/>
              </w:rPr>
            </w:pPr>
            <w:r>
              <w:rPr>
                <w:rFonts w:ascii="Arial" w:cs="Arial" w:eastAsia="Arial" w:hAnsi="Arial"/>
                <w:sz w:val="18"/>
                <w:szCs w:val="18"/>
                <w:b w:val="1"/>
                <w:bCs w:val="1"/>
                <w:color w:val="auto"/>
              </w:rPr>
              <w:t>NETFABRIC HOLDINGS, INC. AND SUBSIDIARIES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80"/>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ind w:left="4820"/>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0"/>
                <w:szCs w:val="2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20"/>
                <w:szCs w:val="2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Three Months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16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 and diluted</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97,053,044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97,053,044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See accompanying notes to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60" w:type="dxa"/>
            <w:vAlign w:val="bottom"/>
          </w:tcPr>
          <w:p>
            <w:pPr>
              <w:ind w:left="3580"/>
              <w:spacing w:after="0"/>
              <w:rPr>
                <w:sz w:val="20"/>
                <w:szCs w:val="20"/>
                <w:color w:val="auto"/>
              </w:rPr>
            </w:pPr>
            <w:r>
              <w:rPr>
                <w:rFonts w:ascii="Arial" w:cs="Arial" w:eastAsia="Arial" w:hAnsi="Arial"/>
                <w:sz w:val="18"/>
                <w:szCs w:val="18"/>
                <w:b w:val="1"/>
                <w:bCs w:val="1"/>
                <w:color w:val="auto"/>
              </w:rPr>
              <w:t>NETFABRIC HOLDINGS, INC. AND SUBSIDIARIES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060"/>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tcPr>
          <w:p>
            <w:pPr>
              <w:ind w:left="512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Three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Other receivable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02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(12,098)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(11,252)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20"/>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251,256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640"/>
        <w:spacing w:after="0"/>
        <w:rPr>
          <w:sz w:val="20"/>
          <w:szCs w:val="20"/>
          <w:color w:val="auto"/>
        </w:rPr>
      </w:pPr>
      <w:r>
        <w:rPr>
          <w:rFonts w:ascii="Arial" w:cs="Arial" w:eastAsia="Arial" w:hAnsi="Arial"/>
          <w:sz w:val="18"/>
          <w:szCs w:val="18"/>
          <w:color w:val="auto"/>
        </w:rPr>
        <w:t>See accompanying 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NETFABRIC HOLDINGS INC.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MANAGEMENT'S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NetFabric Holdings, Inc. ("Holdings" or the "Company") was incorporated under the laws of the State of Delaware on August 31, 1989. As of December 31, 2010, the Company has one wholly-owned subsidiary, NetFabric Corporation (“NetFabric”) which is not active.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2005 Holdings acquired UCA, a New Jersey company, an information technology ("IT") services company that serves the information and communications needs of a wide range of Fortune 500 and small to mid-size business clients in the financial markets industry as well as the pharmaceutical, health care and hospitality sectors. UCA delivers a broad range of IT services in the practice areas of infrastructure builds and maintenance, managed services and professional services.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August 24, 2009, pursuant to a Memorandum of Understanding, the Company sold UCA to Fortify Infrastructure Services, Inc. (“Fortify”) for $5,850,000 consisting of $5,000,000 in cash, resulting from the cancellation of a $5,000,000 note previously issued to Fortify by UCA on March 12, 2009, and a receivable of $850,000, which was paid in May 2010. The Memorandum of Understanding referred to above was signed on April 27, 2010 and amended the terms of previous agreements dated March 12, 2009 and August 24, 2009 between UCA and Fortify.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above, the Company sold UCA to Fortify for $5,850,000. Out of proceeds from the transaction, the Company repaid all of its debt. After the sale, the Company does not have any operations. However, the Company will be debt free. The Company intends to explore strategic alternatives including merger with another entity. Currently, the Company does not have any agreement or understanding with any entity and there is no assurance that such a transaction will ever be consummated. The Company believes that it will be able to meet its cash requirements throughout fiscal 2011 and continue its business development efforts.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interim consolidated financial statements have been prepared pursuant to the rules and regulations of the Securities and Exchange Commission ("SEC"), except for the condensed consolidated balance sheet as of December 31, 2010, which was derived from audited financial statements. Certain information and footnote disclosures normally included in financial statements prepared in accordance with generally accepted accounting principles in the United States of America have been omitted pursuant to such rules and regulations. However the Company believes that the disclosures are adequate to make the information presented not misleading. The financial statements reflect all adjustments (consisting only of normal recurring adjustments) that are, in the opinion of management, necessary for a fair presentation of the Company's financial position and results of operations.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for the three months ended March 31, 2011 and, 2010 are not necessarily indicative of the results to be expected for any other interim period or any future year. The accompanying unaudited condensed consolidated financial statements should be read in conjunction with the Company's December 31, 2010 consolidated financial statements, including the notes thereto, which are included in the Company's Annual Report on Form 10-K for the fiscal year ended December 31, 2010 filed on March 3,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financial statements have been prepared in conformity with accounting principles generally accepted in the United States. In preparing the financial statements, management is required to make estimates and assumptions that affect the reported amounts of assets and liabilities as of the date of the statements of financial condition and revenues and expenses for the period then ended. Actual results may differ significantly from those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reported in the balance sheet for cash and accounts payable and accrued expenses approximate their fair market value based on the short-term maturity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calculates earnings (loss) basic earnings (loss) per share by dividing the net income (loss) by the weighted average number of shares of common stock outstanding during the period. Diluted earnings (loss) per share is computed by dividing the net income (loss) by the weighted average number of shares of common stock outstanding during the period plus the effects of any dilutive securities. Diluted earnings (loss) per share considers the impact of potentially dilutive securities except in periods in which there is a loss because the inclusion of the potential common shares would have an anti-dilutive effect. The Company's potentially dilutive securities include common shares which may be issued upon exercise of its stock options or exercise of warrants.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loss per share for the three months ended March 31, 2011 and 2010 exclude potentially issuable common shares of approximately 1,166,782 and 7,156,867, respectively, primarily related to the Company's outstanding stock options and warrants, because the assumed issuance of such potential common shares is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adopted all recently issued accounting pronouncements. The adoption of the accounting pronouncements, including those not yet effective, is not anticipated to have a material effect on the financial position or results of operations of the Company.</w:t>
      </w:r>
    </w:p>
    <w:p>
      <w:pPr>
        <w:sectPr>
          <w:pgSz w:w="11900" w:h="16838" w:orient="portrait"/>
          <w:cols w:equalWidth="0" w:num="1">
            <w:col w:w="11420"/>
          </w:cols>
          <w:pgMar w:left="240" w:top="1134"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4.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Outstanding warrant securities consist of the following at March 31, 2011: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w w:val="92"/>
              </w:rPr>
              <w:t>Exercise</w:t>
            </w:r>
          </w:p>
        </w:tc>
        <w:tc>
          <w:tcPr>
            <w:tcW w:w="52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0"/>
        </w:trPr>
        <w:tc>
          <w:tcPr>
            <w:tcW w:w="4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Price</w:t>
            </w:r>
          </w:p>
        </w:tc>
        <w:tc>
          <w:tcPr>
            <w:tcW w:w="520" w:type="dxa"/>
            <w:vAlign w:val="bottom"/>
          </w:tcPr>
          <w:p>
            <w:pPr>
              <w:spacing w:after="0"/>
              <w:rPr>
                <w:sz w:val="20"/>
                <w:szCs w:val="20"/>
                <w:color w:val="auto"/>
              </w:rPr>
            </w:pPr>
          </w:p>
        </w:tc>
        <w:tc>
          <w:tcPr>
            <w:tcW w:w="4400" w:type="dxa"/>
            <w:vAlign w:val="bottom"/>
          </w:tcPr>
          <w:p>
            <w:pPr>
              <w:ind w:left="60"/>
              <w:spacing w:after="0"/>
              <w:rPr>
                <w:sz w:val="20"/>
                <w:szCs w:val="20"/>
                <w:color w:val="auto"/>
              </w:rPr>
            </w:pPr>
            <w:r>
              <w:rPr>
                <w:rFonts w:ascii="Arial" w:cs="Arial" w:eastAsia="Arial" w:hAnsi="Arial"/>
                <w:sz w:val="18"/>
                <w:szCs w:val="18"/>
                <w:color w:val="auto"/>
              </w:rPr>
              <w:t>Expiration</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Laurus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554,282</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0.001</w:t>
            </w:r>
          </w:p>
        </w:tc>
        <w:tc>
          <w:tcPr>
            <w:tcW w:w="4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None</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advisor’s services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312,500</w:t>
            </w:r>
          </w:p>
        </w:tc>
        <w:tc>
          <w:tcPr>
            <w:tcW w:w="88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0.82</w:t>
            </w:r>
          </w:p>
        </w:tc>
        <w:tc>
          <w:tcPr>
            <w:tcW w:w="4400" w:type="dxa"/>
            <w:vAlign w:val="bottom"/>
          </w:tcPr>
          <w:p>
            <w:pPr>
              <w:ind w:left="60"/>
              <w:spacing w:after="0"/>
              <w:rPr>
                <w:sz w:val="20"/>
                <w:szCs w:val="20"/>
                <w:color w:val="auto"/>
              </w:rPr>
            </w:pPr>
            <w:r>
              <w:rPr>
                <w:rFonts w:ascii="Arial" w:cs="Arial" w:eastAsia="Arial" w:hAnsi="Arial"/>
                <w:sz w:val="18"/>
                <w:szCs w:val="18"/>
                <w:color w:val="auto"/>
              </w:rPr>
              <w:t>June 2011</w:t>
            </w:r>
          </w:p>
        </w:tc>
      </w:tr>
      <w:tr>
        <w:trPr>
          <w:trHeight w:val="21"/>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886,782</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OTHER RECEIVABLE</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March 2011, the Company commenced negotiations for a transaction with a third party and placed $75,000 as a deposit in an escrow account. The negotiations were terminated in April 2011 and the deposit was returned to the Company. In the accompanying balance sheets at March 31, 2011, this deposit is disclosed as other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and results of operations should be read in conjunction with the unaudited condensed consolidated financial statements and accompanying notes and the other financial information appearing elsewhere in this report and reports included herein by reference. The following discussion contains forward-looking statements that reflect our plans, estimates and beliefs. Our actual results could differ materially from those discussed in the forward-looking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 General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next 12 months, the Company intends to seek, investigate and, if such investigation warrants, acquire an interest in one or more business opportunities presented to it by persons or firms who or which desire to seek the perceived advantages of a publicly held corporation. At this time, the Company has no plan, proposal, agreement, understanding or arrangement to acquire or merge with any specific business or company, and the Company has not identified any specific business or company for investigation and evaluation. No member of Management or promoter of the Company has had any material discussions with any other company with respect to any acquisition of that company.</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will not restrict its search to any specific business, industry or geographical location, and the Company may participate in a business venture of virtually any kind or nature. The discussion of the proposed plan of operation under this caption and throughout this Annual Report is purposefully general and is not meant to be restrictive of the Company's virtually unlimited discretion to search for and enter into potential business opportunities.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have to obtain funds in one or more private placements to finance the operation of any acquired business. Persons purchasing securities in these placements and other shareholders will likely not have the opportunity to participate in the decision relating to any acquisition. The Company's proposed business is sometimes referred to as a "blind pool" because any investors will entrust their investment monies to the Company's management before they have a chance to analyze any ultimate use to which their money may be put. Consequently, the Company's potential success is heavily dependent on the Company's management, which will have virtually unlimited discretion in searching for and entering into a business opportunity. None of the officers and directors of the Company has had any experience in the proposed business of the Company. There can be no assurance that the Company will be able to raise any funds in private placements. In any private placement, management may purchase shares on the same terms as offered in the private placement.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Management anticipates that it will only participate in one potential business venture. This lack of diversification should be considered a substantial risk 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gridSpan w:val="2"/>
          </w:tcPr>
          <w:p>
            <w:pPr>
              <w:spacing w:after="0"/>
              <w:rPr>
                <w:sz w:val="20"/>
                <w:szCs w:val="20"/>
                <w:color w:val="auto"/>
              </w:rPr>
            </w:pPr>
            <w:r>
              <w:rPr>
                <w:rFonts w:ascii="Arial" w:cs="Arial" w:eastAsia="Arial" w:hAnsi="Arial"/>
                <w:sz w:val="18"/>
                <w:szCs w:val="18"/>
                <w:color w:val="auto"/>
              </w:rPr>
              <w:t>investing</w:t>
            </w:r>
          </w:p>
        </w:tc>
        <w:tc>
          <w:tcPr>
            <w:tcW w:w="540" w:type="dxa"/>
            <w:vAlign w:val="bottom"/>
          </w:tcPr>
          <w:p>
            <w:pPr>
              <w:ind w:left="60"/>
              <w:spacing w:after="0"/>
              <w:rPr>
                <w:sz w:val="20"/>
                <w:szCs w:val="20"/>
                <w:color w:val="auto"/>
              </w:rPr>
            </w:pPr>
            <w:r>
              <w:rPr>
                <w:rFonts w:ascii="Arial" w:cs="Arial" w:eastAsia="Arial" w:hAnsi="Arial"/>
                <w:sz w:val="18"/>
                <w:szCs w:val="18"/>
                <w:color w:val="auto"/>
              </w:rPr>
              <w:t>in the</w:t>
            </w:r>
          </w:p>
        </w:tc>
        <w:tc>
          <w:tcPr>
            <w:tcW w:w="800" w:type="dxa"/>
            <w:vAlign w:val="bottom"/>
          </w:tcPr>
          <w:p>
            <w:pPr>
              <w:ind w:left="60"/>
              <w:spacing w:after="0"/>
              <w:rPr>
                <w:sz w:val="20"/>
                <w:szCs w:val="20"/>
                <w:color w:val="auto"/>
              </w:rPr>
            </w:pPr>
            <w:r>
              <w:rPr>
                <w:rFonts w:ascii="Arial" w:cs="Arial" w:eastAsia="Arial" w:hAnsi="Arial"/>
                <w:sz w:val="18"/>
                <w:szCs w:val="18"/>
                <w:color w:val="auto"/>
                <w:w w:val="93"/>
              </w:rPr>
              <w:t>Company</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because  it will not</w:t>
            </w:r>
          </w:p>
        </w:tc>
        <w:tc>
          <w:tcPr>
            <w:tcW w:w="4360" w:type="dxa"/>
            <w:vAlign w:val="bottom"/>
            <w:gridSpan w:val="5"/>
          </w:tcPr>
          <w:p>
            <w:pPr>
              <w:spacing w:after="0"/>
              <w:rPr>
                <w:sz w:val="20"/>
                <w:szCs w:val="20"/>
                <w:color w:val="auto"/>
              </w:rPr>
            </w:pPr>
            <w:r>
              <w:rPr>
                <w:rFonts w:ascii="Arial" w:cs="Arial" w:eastAsia="Arial" w:hAnsi="Arial"/>
                <w:sz w:val="18"/>
                <w:szCs w:val="18"/>
                <w:color w:val="auto"/>
                <w:w w:val="95"/>
              </w:rPr>
              <w:t>permit  the  Company to offset potential  losses  from one</w:t>
            </w:r>
          </w:p>
        </w:tc>
        <w:tc>
          <w:tcPr>
            <w:tcW w:w="2320" w:type="dxa"/>
            <w:vAlign w:val="bottom"/>
            <w:gridSpan w:val="4"/>
          </w:tcPr>
          <w:p>
            <w:pPr>
              <w:ind w:left="120"/>
              <w:spacing w:after="0"/>
              <w:rPr>
                <w:sz w:val="20"/>
                <w:szCs w:val="20"/>
                <w:color w:val="auto"/>
              </w:rPr>
            </w:pPr>
            <w:r>
              <w:rPr>
                <w:rFonts w:ascii="Arial" w:cs="Arial" w:eastAsia="Arial" w:hAnsi="Arial"/>
                <w:sz w:val="18"/>
                <w:szCs w:val="18"/>
                <w:color w:val="auto"/>
                <w:w w:val="95"/>
              </w:rPr>
              <w:t>venture  against  gains  from</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87"/>
              </w:rPr>
              <w:t>another.</w:t>
            </w:r>
          </w:p>
        </w:tc>
        <w:tc>
          <w:tcPr>
            <w:tcW w:w="380" w:type="dxa"/>
            <w:vAlign w:val="bottom"/>
          </w:tcPr>
          <w:p>
            <w:pPr>
              <w:jc w:val="right"/>
              <w:spacing w:after="0"/>
              <w:rPr>
                <w:sz w:val="20"/>
                <w:szCs w:val="20"/>
                <w:color w:val="auto"/>
              </w:rPr>
            </w:pPr>
            <w:r>
              <w:rPr>
                <w:rFonts w:ascii="Arial" w:cs="Arial" w:eastAsia="Arial" w:hAnsi="Arial"/>
                <w:sz w:val="18"/>
                <w:szCs w:val="18"/>
                <w:color w:val="auto"/>
              </w:rPr>
              <w:t>The</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w w:val="93"/>
              </w:rPr>
              <w:t>Company</w:t>
            </w:r>
          </w:p>
        </w:tc>
        <w:tc>
          <w:tcPr>
            <w:tcW w:w="4280" w:type="dxa"/>
            <w:vAlign w:val="bottom"/>
            <w:gridSpan w:val="6"/>
          </w:tcPr>
          <w:p>
            <w:pPr>
              <w:jc w:val="right"/>
              <w:spacing w:after="0"/>
              <w:rPr>
                <w:sz w:val="20"/>
                <w:szCs w:val="20"/>
                <w:color w:val="auto"/>
              </w:rPr>
            </w:pPr>
            <w:r>
              <w:rPr>
                <w:rFonts w:ascii="Arial" w:cs="Arial" w:eastAsia="Arial" w:hAnsi="Arial"/>
                <w:sz w:val="18"/>
                <w:szCs w:val="18"/>
                <w:color w:val="auto"/>
                <w:w w:val="95"/>
              </w:rPr>
              <w:t>may seek a business opportunity with a firm which only</w:t>
            </w:r>
          </w:p>
        </w:tc>
        <w:tc>
          <w:tcPr>
            <w:tcW w:w="2520" w:type="dxa"/>
            <w:vAlign w:val="bottom"/>
            <w:gridSpan w:val="2"/>
          </w:tcPr>
          <w:p>
            <w:pPr>
              <w:ind w:left="40"/>
              <w:spacing w:after="0"/>
              <w:rPr>
                <w:sz w:val="20"/>
                <w:szCs w:val="20"/>
                <w:color w:val="auto"/>
              </w:rPr>
            </w:pPr>
            <w:r>
              <w:rPr>
                <w:rFonts w:ascii="Arial" w:cs="Arial" w:eastAsia="Arial" w:hAnsi="Arial"/>
                <w:sz w:val="18"/>
                <w:szCs w:val="18"/>
                <w:color w:val="auto"/>
                <w:w w:val="94"/>
              </w:rPr>
              <w:t>recently commenced operations,</w:t>
            </w:r>
          </w:p>
        </w:tc>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2"/>
              </w:rPr>
              <w:t>or a developing</w:t>
            </w:r>
          </w:p>
        </w:tc>
        <w:tc>
          <w:tcPr>
            <w:tcW w:w="2720" w:type="dxa"/>
            <w:vAlign w:val="bottom"/>
            <w:gridSpan w:val="5"/>
          </w:tcPr>
          <w:p>
            <w:pPr>
              <w:jc w:val="right"/>
              <w:spacing w:after="0"/>
              <w:rPr>
                <w:sz w:val="20"/>
                <w:szCs w:val="20"/>
                <w:color w:val="auto"/>
              </w:rPr>
            </w:pPr>
            <w:r>
              <w:rPr>
                <w:rFonts w:ascii="Arial" w:cs="Arial" w:eastAsia="Arial" w:hAnsi="Arial"/>
                <w:sz w:val="18"/>
                <w:szCs w:val="18"/>
                <w:color w:val="auto"/>
                <w:w w:val="93"/>
              </w:rPr>
              <w:t>company in need of additional funds</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for</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expansion</w:t>
            </w:r>
          </w:p>
        </w:tc>
        <w:tc>
          <w:tcPr>
            <w:tcW w:w="800" w:type="dxa"/>
            <w:vAlign w:val="bottom"/>
          </w:tcPr>
          <w:p>
            <w:pPr>
              <w:spacing w:after="0"/>
              <w:rPr>
                <w:sz w:val="20"/>
                <w:szCs w:val="20"/>
                <w:color w:val="auto"/>
              </w:rPr>
            </w:pPr>
            <w:r>
              <w:rPr>
                <w:rFonts w:ascii="Arial" w:cs="Arial" w:eastAsia="Arial" w:hAnsi="Arial"/>
                <w:sz w:val="18"/>
                <w:szCs w:val="18"/>
                <w:color w:val="auto"/>
              </w:rPr>
              <w:t>into new</w:t>
            </w:r>
          </w:p>
        </w:tc>
        <w:tc>
          <w:tcPr>
            <w:tcW w:w="980" w:type="dxa"/>
            <w:vAlign w:val="bottom"/>
          </w:tcPr>
          <w:p>
            <w:pPr>
              <w:spacing w:after="0"/>
              <w:rPr>
                <w:sz w:val="20"/>
                <w:szCs w:val="20"/>
                <w:color w:val="auto"/>
              </w:rPr>
            </w:pPr>
            <w:r>
              <w:rPr>
                <w:rFonts w:ascii="Arial" w:cs="Arial" w:eastAsia="Arial" w:hAnsi="Arial"/>
                <w:sz w:val="18"/>
                <w:szCs w:val="18"/>
                <w:color w:val="auto"/>
              </w:rPr>
              <w:t>products or</w:t>
            </w:r>
          </w:p>
        </w:tc>
        <w:tc>
          <w:tcPr>
            <w:tcW w:w="640" w:type="dxa"/>
            <w:vAlign w:val="bottom"/>
          </w:tcPr>
          <w:p>
            <w:pPr>
              <w:ind w:left="20"/>
              <w:spacing w:after="0"/>
              <w:rPr>
                <w:sz w:val="20"/>
                <w:szCs w:val="20"/>
                <w:color w:val="auto"/>
              </w:rPr>
            </w:pPr>
            <w:r>
              <w:rPr>
                <w:rFonts w:ascii="Arial" w:cs="Arial" w:eastAsia="Arial" w:hAnsi="Arial"/>
                <w:sz w:val="18"/>
                <w:szCs w:val="18"/>
                <w:color w:val="auto"/>
                <w:w w:val="86"/>
              </w:rPr>
              <w:t>markets,</w:t>
            </w:r>
          </w:p>
        </w:tc>
        <w:tc>
          <w:tcPr>
            <w:tcW w:w="400" w:type="dxa"/>
            <w:vAlign w:val="bottom"/>
          </w:tcPr>
          <w:p>
            <w:pPr>
              <w:ind w:left="200"/>
              <w:spacing w:after="0"/>
              <w:rPr>
                <w:sz w:val="20"/>
                <w:szCs w:val="20"/>
                <w:color w:val="auto"/>
              </w:rPr>
            </w:pPr>
            <w:r>
              <w:rPr>
                <w:rFonts w:ascii="Arial" w:cs="Arial" w:eastAsia="Arial" w:hAnsi="Arial"/>
                <w:sz w:val="18"/>
                <w:szCs w:val="18"/>
                <w:color w:val="auto"/>
              </w:rPr>
              <w:t>or</w:t>
            </w:r>
          </w:p>
        </w:tc>
        <w:tc>
          <w:tcPr>
            <w:tcW w:w="920" w:type="dxa"/>
            <w:vAlign w:val="bottom"/>
          </w:tcPr>
          <w:p>
            <w:pPr>
              <w:jc w:val="right"/>
              <w:spacing w:after="0"/>
              <w:rPr>
                <w:sz w:val="20"/>
                <w:szCs w:val="20"/>
                <w:color w:val="auto"/>
              </w:rPr>
            </w:pPr>
            <w:r>
              <w:rPr>
                <w:rFonts w:ascii="Arial" w:cs="Arial" w:eastAsia="Arial" w:hAnsi="Arial"/>
                <w:sz w:val="18"/>
                <w:szCs w:val="18"/>
                <w:color w:val="auto"/>
              </w:rPr>
              <w:t>seeking to</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develop</w:t>
            </w:r>
          </w:p>
        </w:tc>
        <w:tc>
          <w:tcPr>
            <w:tcW w:w="2360" w:type="dxa"/>
            <w:vAlign w:val="bottom"/>
            <w:gridSpan w:val="2"/>
          </w:tcPr>
          <w:p>
            <w:pPr>
              <w:ind w:left="60"/>
              <w:spacing w:after="0"/>
              <w:rPr>
                <w:sz w:val="20"/>
                <w:szCs w:val="20"/>
                <w:color w:val="auto"/>
              </w:rPr>
            </w:pPr>
            <w:r>
              <w:rPr>
                <w:rFonts w:ascii="Arial" w:cs="Arial" w:eastAsia="Arial" w:hAnsi="Arial"/>
                <w:sz w:val="18"/>
                <w:szCs w:val="18"/>
                <w:color w:val="auto"/>
              </w:rPr>
              <w:t>a new product or service,</w:t>
            </w:r>
          </w:p>
        </w:tc>
        <w:tc>
          <w:tcPr>
            <w:tcW w:w="160" w:type="dxa"/>
            <w:vAlign w:val="bottom"/>
          </w:tcPr>
          <w:p>
            <w:pPr>
              <w:jc w:val="center"/>
              <w:spacing w:after="0"/>
              <w:rPr>
                <w:sz w:val="20"/>
                <w:szCs w:val="20"/>
                <w:color w:val="auto"/>
              </w:rPr>
            </w:pPr>
            <w:r>
              <w:rPr>
                <w:rFonts w:ascii="Arial" w:cs="Arial" w:eastAsia="Arial" w:hAnsi="Arial"/>
                <w:sz w:val="18"/>
                <w:szCs w:val="18"/>
                <w:color w:val="auto"/>
                <w:w w:val="87"/>
              </w:rPr>
              <w:t>or</w:t>
            </w:r>
          </w:p>
        </w:tc>
        <w:tc>
          <w:tcPr>
            <w:tcW w:w="480" w:type="dxa"/>
            <w:vAlign w:val="bottom"/>
          </w:tcPr>
          <w:p>
            <w:pPr>
              <w:ind w:left="100"/>
              <w:spacing w:after="0"/>
              <w:rPr>
                <w:sz w:val="20"/>
                <w:szCs w:val="20"/>
                <w:color w:val="auto"/>
              </w:rPr>
            </w:pPr>
            <w:r>
              <w:rPr>
                <w:rFonts w:ascii="Arial" w:cs="Arial" w:eastAsia="Arial" w:hAnsi="Arial"/>
                <w:sz w:val="18"/>
                <w:szCs w:val="18"/>
                <w:color w:val="auto"/>
              </w:rPr>
              <w:t>an</w:t>
            </w:r>
          </w:p>
        </w:tc>
        <w:tc>
          <w:tcPr>
            <w:tcW w:w="1000" w:type="dxa"/>
            <w:vAlign w:val="bottom"/>
          </w:tcPr>
          <w:p>
            <w:pPr>
              <w:spacing w:after="0"/>
              <w:rPr>
                <w:sz w:val="20"/>
                <w:szCs w:val="20"/>
                <w:color w:val="auto"/>
              </w:rPr>
            </w:pPr>
            <w:r>
              <w:rPr>
                <w:rFonts w:ascii="Arial" w:cs="Arial" w:eastAsia="Arial" w:hAnsi="Arial"/>
                <w:sz w:val="18"/>
                <w:szCs w:val="18"/>
                <w:color w:val="auto"/>
              </w:rPr>
              <w:t>established</w:t>
            </w:r>
          </w:p>
        </w:tc>
        <w:tc>
          <w:tcPr>
            <w:tcW w:w="680" w:type="dxa"/>
            <w:vAlign w:val="bottom"/>
          </w:tcPr>
          <w:p>
            <w:pPr>
              <w:ind w:left="20"/>
              <w:spacing w:after="0"/>
              <w:rPr>
                <w:sz w:val="20"/>
                <w:szCs w:val="20"/>
                <w:color w:val="auto"/>
              </w:rPr>
            </w:pPr>
            <w:r>
              <w:rPr>
                <w:rFonts w:ascii="Arial" w:cs="Arial" w:eastAsia="Arial" w:hAnsi="Arial"/>
                <w:sz w:val="18"/>
                <w:szCs w:val="18"/>
                <w:color w:val="auto"/>
                <w:w w:val="90"/>
              </w:rPr>
              <w:t>business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which</w:t>
            </w:r>
          </w:p>
        </w:tc>
        <w:tc>
          <w:tcPr>
            <w:tcW w:w="380" w:type="dxa"/>
            <w:vAlign w:val="bottom"/>
          </w:tcPr>
          <w:p>
            <w:pPr>
              <w:jc w:val="right"/>
              <w:spacing w:after="0"/>
              <w:rPr>
                <w:sz w:val="20"/>
                <w:szCs w:val="20"/>
                <w:color w:val="auto"/>
              </w:rPr>
            </w:pPr>
            <w:r>
              <w:rPr>
                <w:rFonts w:ascii="Arial" w:cs="Arial" w:eastAsia="Arial" w:hAnsi="Arial"/>
                <w:sz w:val="18"/>
                <w:szCs w:val="18"/>
                <w:color w:val="auto"/>
              </w:rPr>
              <w:t>may</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be</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w w:val="90"/>
              </w:rPr>
              <w:t>experiencing</w:t>
            </w:r>
          </w:p>
        </w:tc>
        <w:tc>
          <w:tcPr>
            <w:tcW w:w="800" w:type="dxa"/>
            <w:vAlign w:val="bottom"/>
          </w:tcPr>
          <w:p>
            <w:pPr>
              <w:ind w:left="160"/>
              <w:spacing w:after="0"/>
              <w:rPr>
                <w:sz w:val="20"/>
                <w:szCs w:val="20"/>
                <w:color w:val="auto"/>
              </w:rPr>
            </w:pPr>
            <w:r>
              <w:rPr>
                <w:rFonts w:ascii="Arial" w:cs="Arial" w:eastAsia="Arial" w:hAnsi="Arial"/>
                <w:sz w:val="18"/>
                <w:szCs w:val="18"/>
                <w:color w:val="auto"/>
                <w:w w:val="93"/>
              </w:rPr>
              <w:t>financial</w:t>
            </w:r>
          </w:p>
        </w:tc>
        <w:tc>
          <w:tcPr>
            <w:tcW w:w="980" w:type="dxa"/>
            <w:vAlign w:val="bottom"/>
          </w:tcPr>
          <w:p>
            <w:pPr>
              <w:ind w:left="60"/>
              <w:spacing w:after="0"/>
              <w:rPr>
                <w:sz w:val="20"/>
                <w:szCs w:val="20"/>
                <w:color w:val="auto"/>
              </w:rPr>
            </w:pPr>
            <w:r>
              <w:rPr>
                <w:rFonts w:ascii="Arial" w:cs="Arial" w:eastAsia="Arial" w:hAnsi="Arial"/>
                <w:sz w:val="18"/>
                <w:szCs w:val="18"/>
                <w:color w:val="auto"/>
                <w:w w:val="93"/>
              </w:rPr>
              <w:t>or operating</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difficulties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and is in the  need</w:t>
            </w:r>
          </w:p>
        </w:tc>
        <w:tc>
          <w:tcPr>
            <w:tcW w:w="1840" w:type="dxa"/>
            <w:vAlign w:val="bottom"/>
          </w:tcPr>
          <w:p>
            <w:pPr>
              <w:ind w:left="120"/>
              <w:spacing w:after="0"/>
              <w:rPr>
                <w:sz w:val="20"/>
                <w:szCs w:val="20"/>
                <w:color w:val="auto"/>
              </w:rPr>
            </w:pPr>
            <w:r>
              <w:rPr>
                <w:rFonts w:ascii="Arial" w:cs="Arial" w:eastAsia="Arial" w:hAnsi="Arial"/>
                <w:sz w:val="18"/>
                <w:szCs w:val="18"/>
                <w:color w:val="auto"/>
                <w:w w:val="99"/>
              </w:rPr>
              <w:t>for  additional  capital</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which</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8"/>
              </w:rPr>
              <w:t>is perceived  to be</w:t>
            </w:r>
          </w:p>
        </w:tc>
        <w:tc>
          <w:tcPr>
            <w:tcW w:w="680" w:type="dxa"/>
            <w:vAlign w:val="bottom"/>
          </w:tcPr>
          <w:p>
            <w:pPr>
              <w:ind w:left="160"/>
              <w:spacing w:after="0"/>
              <w:rPr>
                <w:sz w:val="20"/>
                <w:szCs w:val="20"/>
                <w:color w:val="auto"/>
              </w:rPr>
            </w:pPr>
            <w:r>
              <w:rPr>
                <w:rFonts w:ascii="Arial" w:cs="Arial" w:eastAsia="Arial" w:hAnsi="Arial"/>
                <w:sz w:val="18"/>
                <w:szCs w:val="18"/>
                <w:color w:val="auto"/>
              </w:rPr>
              <w:t>easier</w:t>
            </w:r>
          </w:p>
        </w:tc>
        <w:tc>
          <w:tcPr>
            <w:tcW w:w="220" w:type="dxa"/>
            <w:vAlign w:val="bottom"/>
          </w:tcPr>
          <w:p>
            <w:pPr>
              <w:ind w:left="60"/>
              <w:spacing w:after="0"/>
              <w:rPr>
                <w:sz w:val="20"/>
                <w:szCs w:val="20"/>
                <w:color w:val="auto"/>
              </w:rPr>
            </w:pPr>
            <w:r>
              <w:rPr>
                <w:rFonts w:ascii="Arial" w:cs="Arial" w:eastAsia="Arial" w:hAnsi="Arial"/>
                <w:sz w:val="18"/>
                <w:szCs w:val="18"/>
                <w:color w:val="auto"/>
                <w:w w:val="92"/>
              </w:rPr>
              <w:t>to</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raise</w:t>
            </w:r>
          </w:p>
        </w:tc>
        <w:tc>
          <w:tcPr>
            <w:tcW w:w="380" w:type="dxa"/>
            <w:vAlign w:val="bottom"/>
          </w:tcPr>
          <w:p>
            <w:pPr>
              <w:jc w:val="right"/>
              <w:spacing w:after="0"/>
              <w:rPr>
                <w:sz w:val="20"/>
                <w:szCs w:val="20"/>
                <w:color w:val="auto"/>
              </w:rPr>
            </w:pPr>
            <w:r>
              <w:rPr>
                <w:rFonts w:ascii="Arial" w:cs="Arial" w:eastAsia="Arial" w:hAnsi="Arial"/>
                <w:sz w:val="18"/>
                <w:szCs w:val="18"/>
                <w:color w:val="auto"/>
              </w:rPr>
              <w:t>by a</w:t>
            </w:r>
          </w:p>
        </w:tc>
      </w:tr>
      <w:tr>
        <w:trPr>
          <w:trHeight w:val="230"/>
        </w:trPr>
        <w:tc>
          <w:tcPr>
            <w:tcW w:w="10600" w:type="dxa"/>
            <w:vAlign w:val="bottom"/>
            <w:gridSpan w:val="16"/>
          </w:tcPr>
          <w:p>
            <w:pPr>
              <w:spacing w:after="0"/>
              <w:rPr>
                <w:sz w:val="20"/>
                <w:szCs w:val="20"/>
                <w:color w:val="auto"/>
              </w:rPr>
            </w:pPr>
            <w:r>
              <w:rPr>
                <w:rFonts w:ascii="Arial" w:cs="Arial" w:eastAsia="Arial" w:hAnsi="Arial"/>
                <w:sz w:val="18"/>
                <w:szCs w:val="18"/>
                <w:color w:val="auto"/>
                <w:w w:val="96"/>
              </w:rPr>
              <w:t>public  company.  In some instances, a business opportunity may involve the acquisition or merger with a corporation which does not need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substantial</w:t>
            </w:r>
          </w:p>
        </w:tc>
      </w:tr>
    </w:tbl>
    <w:p>
      <w:pPr>
        <w:jc w:val="both"/>
        <w:spacing w:after="0" w:line="261" w:lineRule="auto"/>
        <w:rPr>
          <w:sz w:val="20"/>
          <w:szCs w:val="20"/>
          <w:color w:val="auto"/>
        </w:rPr>
      </w:pPr>
      <w:r>
        <w:rPr>
          <w:rFonts w:ascii="Arial" w:cs="Arial" w:eastAsia="Arial" w:hAnsi="Arial"/>
          <w:sz w:val="18"/>
          <w:szCs w:val="18"/>
          <w:color w:val="auto"/>
        </w:rPr>
        <w:t>additional cash but which desires to establish a public trading market for its common stock. The Company may purchase assets and establish wholly owned subsidiaries in various business or purchase existing businesses as subsidiaries.</w:t>
      </w:r>
    </w:p>
    <w:p>
      <w:pPr>
        <w:spacing w:after="0" w:line="211" w:lineRule="exact"/>
        <w:rPr>
          <w:sz w:val="20"/>
          <w:szCs w:val="20"/>
          <w:color w:val="auto"/>
        </w:rPr>
      </w:pPr>
    </w:p>
    <w:p>
      <w:pPr>
        <w:spacing w:after="0"/>
        <w:tabs>
          <w:tab w:leader="none" w:pos="9960" w:val="left"/>
        </w:tabs>
        <w:rPr>
          <w:sz w:val="20"/>
          <w:szCs w:val="20"/>
          <w:color w:val="auto"/>
        </w:rPr>
      </w:pPr>
      <w:r>
        <w:rPr>
          <w:rFonts w:ascii="Arial" w:cs="Arial" w:eastAsia="Arial" w:hAnsi="Arial"/>
          <w:sz w:val="18"/>
          <w:szCs w:val="18"/>
          <w:color w:val="auto"/>
        </w:rPr>
        <w:t>The Company anticipates that the selection of a business opportunity in which to participate will be complex and extremely risky.</w:t>
      </w:r>
      <w:r>
        <w:rPr>
          <w:sz w:val="20"/>
          <w:szCs w:val="20"/>
          <w:color w:val="auto"/>
        </w:rPr>
        <w:tab/>
      </w:r>
      <w:r>
        <w:rPr>
          <w:rFonts w:ascii="Arial" w:cs="Arial" w:eastAsia="Arial" w:hAnsi="Arial"/>
          <w:sz w:val="16"/>
          <w:szCs w:val="16"/>
          <w:color w:val="auto"/>
        </w:rPr>
        <w:t>Because of general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color w:val="auto"/>
                <w:w w:val="94"/>
              </w:rPr>
              <w:t>economic conditions, rapid technological advances being made in some</w:t>
            </w:r>
          </w:p>
        </w:tc>
        <w:tc>
          <w:tcPr>
            <w:tcW w:w="5200" w:type="dxa"/>
            <w:vAlign w:val="bottom"/>
            <w:gridSpan w:val="2"/>
          </w:tcPr>
          <w:p>
            <w:pPr>
              <w:ind w:left="40"/>
              <w:spacing w:after="0"/>
              <w:rPr>
                <w:sz w:val="20"/>
                <w:szCs w:val="20"/>
                <w:color w:val="auto"/>
              </w:rPr>
            </w:pPr>
            <w:r>
              <w:rPr>
                <w:rFonts w:ascii="Arial" w:cs="Arial" w:eastAsia="Arial" w:hAnsi="Arial"/>
                <w:sz w:val="18"/>
                <w:szCs w:val="18"/>
                <w:color w:val="auto"/>
                <w:w w:val="95"/>
              </w:rPr>
              <w:t>industries, and shortages of available capital, management believes</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that there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2"/>
              </w:rPr>
              <w:t>are numerous firms seeking the benefits of a publicly</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3"/>
              </w:rPr>
              <w:t>traded corporation.</w:t>
            </w:r>
          </w:p>
        </w:tc>
        <w:tc>
          <w:tcPr>
            <w:tcW w:w="5200" w:type="dxa"/>
            <w:vAlign w:val="bottom"/>
            <w:gridSpan w:val="2"/>
          </w:tcPr>
          <w:p>
            <w:pPr>
              <w:ind w:left="60"/>
              <w:spacing w:after="0"/>
              <w:rPr>
                <w:sz w:val="20"/>
                <w:szCs w:val="20"/>
                <w:color w:val="auto"/>
              </w:rPr>
            </w:pPr>
            <w:r>
              <w:rPr>
                <w:rFonts w:ascii="Arial" w:cs="Arial" w:eastAsia="Arial" w:hAnsi="Arial"/>
                <w:sz w:val="18"/>
                <w:szCs w:val="18"/>
                <w:color w:val="auto"/>
                <w:w w:val="94"/>
              </w:rPr>
              <w:t>Such perceived benefits of a publicly traded corporation may include</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facilitating</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or improving the terms on which additional equity financing</w:t>
            </w:r>
          </w:p>
        </w:tc>
        <w:tc>
          <w:tcPr>
            <w:tcW w:w="620" w:type="dxa"/>
            <w:vAlign w:val="bottom"/>
          </w:tcPr>
          <w:p>
            <w:pPr>
              <w:ind w:left="40"/>
              <w:spacing w:after="0"/>
              <w:rPr>
                <w:sz w:val="20"/>
                <w:szCs w:val="20"/>
                <w:color w:val="auto"/>
              </w:rPr>
            </w:pPr>
            <w:r>
              <w:rPr>
                <w:rFonts w:ascii="Arial" w:cs="Arial" w:eastAsia="Arial" w:hAnsi="Arial"/>
                <w:sz w:val="18"/>
                <w:szCs w:val="18"/>
                <w:color w:val="auto"/>
                <w:w w:val="94"/>
              </w:rPr>
              <w:t>may be</w:t>
            </w:r>
          </w:p>
        </w:tc>
        <w:tc>
          <w:tcPr>
            <w:tcW w:w="660" w:type="dxa"/>
            <w:vAlign w:val="bottom"/>
          </w:tcPr>
          <w:p>
            <w:pPr>
              <w:ind w:left="80"/>
              <w:spacing w:after="0"/>
              <w:rPr>
                <w:sz w:val="20"/>
                <w:szCs w:val="20"/>
                <w:color w:val="auto"/>
              </w:rPr>
            </w:pPr>
            <w:r>
              <w:rPr>
                <w:rFonts w:ascii="Arial" w:cs="Arial" w:eastAsia="Arial" w:hAnsi="Arial"/>
                <w:sz w:val="18"/>
                <w:szCs w:val="18"/>
                <w:color w:val="auto"/>
                <w:w w:val="94"/>
              </w:rPr>
              <w:t>sought,</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w w:val="99"/>
              </w:rPr>
              <w:t>providing liquidity for the principals of a business, creating a means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9"/>
              </w:rPr>
              <w:t>for  providing incentive  stock  options  or  similar</w:t>
            </w:r>
          </w:p>
        </w:tc>
        <w:tc>
          <w:tcPr>
            <w:tcW w:w="920" w:type="dxa"/>
            <w:vAlign w:val="bottom"/>
          </w:tcPr>
          <w:p>
            <w:pPr>
              <w:ind w:left="20"/>
              <w:spacing w:after="0"/>
              <w:rPr>
                <w:sz w:val="20"/>
                <w:szCs w:val="20"/>
                <w:color w:val="auto"/>
              </w:rPr>
            </w:pPr>
            <w:r>
              <w:rPr>
                <w:rFonts w:ascii="Arial" w:cs="Arial" w:eastAsia="Arial" w:hAnsi="Arial"/>
                <w:sz w:val="18"/>
                <w:szCs w:val="18"/>
                <w:color w:val="auto"/>
                <w:w w:val="99"/>
              </w:rPr>
              <w:t>benefits  to</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3"/>
              </w:rPr>
              <w:t>key  employees,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w w:val="96"/>
              </w:rPr>
              <w:t>providing liquidity (subject to restrictions of applicable statutes) for all</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2"/>
              </w:rPr>
              <w:t>shareholders, and other factors. Potentially available</w:t>
            </w:r>
          </w:p>
        </w:tc>
        <w:tc>
          <w:tcPr>
            <w:tcW w:w="7520" w:type="dxa"/>
            <w:vAlign w:val="bottom"/>
            <w:gridSpan w:val="5"/>
          </w:tcPr>
          <w:p>
            <w:pPr>
              <w:jc w:val="right"/>
              <w:spacing w:after="0"/>
              <w:rPr>
                <w:sz w:val="20"/>
                <w:szCs w:val="20"/>
                <w:color w:val="auto"/>
              </w:rPr>
            </w:pPr>
            <w:r>
              <w:rPr>
                <w:rFonts w:ascii="Arial" w:cs="Arial" w:eastAsia="Arial" w:hAnsi="Arial"/>
                <w:sz w:val="18"/>
                <w:szCs w:val="18"/>
                <w:color w:val="auto"/>
                <w:w w:val="91"/>
              </w:rPr>
              <w:t>business opportunities may occur in many different industries and at various stages of development, all</w:t>
            </w:r>
          </w:p>
        </w:tc>
      </w:tr>
    </w:tbl>
    <w:p>
      <w:pPr>
        <w:spacing w:after="0"/>
        <w:rPr>
          <w:sz w:val="20"/>
          <w:szCs w:val="20"/>
          <w:color w:val="auto"/>
        </w:rPr>
      </w:pPr>
      <w:r>
        <w:rPr>
          <w:rFonts w:ascii="Arial" w:cs="Arial" w:eastAsia="Arial" w:hAnsi="Arial"/>
          <w:sz w:val="18"/>
          <w:szCs w:val="18"/>
          <w:color w:val="auto"/>
        </w:rPr>
        <w:t>of which will make the task of comparative investigation and analysis of such business opportunities extremely difficult and complex.</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any transaction, the acquired company may require that management or other stockholders of the Company sell all or a portion of their shares to the acquired company, or to the principals of the acquired company. It is anticipated that the sales price of such shares will be lower than the current market price or anticipated market price of the Company's Common Stock. The Company's funds are not expected to be used for purposes of any stock purchase from insiders. The Company shareholders will not be provided the opportunity to approve or consent to such sale. The opportunity to sell all or a portion of their shares in connection with an acquisition may influence management's decision to enter into a specific transaction. However, management believes that since the anticipated sales price will be less than market value, that the potential of a stock sale by management will be a material factor on their decision to enter a specific transaction.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The above description of potential sales of management stock is not based upon any corporate bylaw, shareholder or board resolution, or contract or agreement. No other payments of cash or property are expected to be received by Management in connection with any acquisition.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formulated any policy regarding the use of consultants or outside advisors, but does not anticipate that it will use the services of such persons.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not have sufficient capital with which to provide the owners of business opportunities with any significant cash or other assets. However, management believes the Company will offer owners of business opportunities the opportunity to acquire a controlling ownership interest in a public company at substantially less cost than is required to conduct an initial public offering. The owners of the business opportunities will, however, incur significant post-merger or acquisition registration costs in the event they wish to register a portion of their shares for subsequent sale. The Company will also incur significant legal and accounting costs in connection with the acquisition of a business opportunity including the costs of preparing post-effective amendments, Forms 8-K, agreements and related reports and documents nevertheless, the officers and directors of the Company have not conducted market research and are not aware of statistical data which would support the perceived benefits of a merger or acquisition transaction for the owners of a business opportunity.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intend to make any loans to any prospective merger or acquisition candidates or to unaffiliated third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Opportunities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anticipates that business opportunities for possible acquisition will be referred by various sources, including its officers and directors, professional advisers, securities broker-dealers, venture capitalists, members of the financial community, and others who may present unsolicited proposals.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seek a potential business opportunity from all known sources, but will rely principally on personal contacts of its officers and directors as well as indirect associations between them and other business and professional people. It is not presently anticipated that the Company will engage professional firms specializing in business acquisitions or reorganizations.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officers and directors of the Company are currently employed in other positions and will devote only a portion of their time (not more than three hours per week) to the business affairs of the Company, until such time as an acquisition has been determined to be highly favorable, at which time they expect to spend full time in investigating and closing any acquisition for a period of two weeks. In addition, in the face of competing demands for their time, the officers and directors may grant priority to their full-time positions rather than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Opportunities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analysis of new business opportunities will be undertaken by or under the supervision of the officers and directors of the Company. Management intends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20" w:type="dxa"/>
            <w:vAlign w:val="bottom"/>
            <w:gridSpan w:val="3"/>
          </w:tcPr>
          <w:p>
            <w:pPr>
              <w:spacing w:after="0"/>
              <w:rPr>
                <w:sz w:val="20"/>
                <w:szCs w:val="20"/>
                <w:color w:val="auto"/>
              </w:rPr>
            </w:pPr>
            <w:r>
              <w:rPr>
                <w:rFonts w:ascii="Arial" w:cs="Arial" w:eastAsia="Arial" w:hAnsi="Arial"/>
                <w:sz w:val="18"/>
                <w:szCs w:val="18"/>
                <w:color w:val="auto"/>
                <w:w w:val="93"/>
              </w:rPr>
              <w:t>to concentrate on identifying  prospective  business opportunities which may be brought to its attention through present associations with management. In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9"/>
              </w:rPr>
              <w:t>analyzing</w:t>
            </w:r>
          </w:p>
        </w:tc>
        <w:tc>
          <w:tcPr>
            <w:tcW w:w="4520" w:type="dxa"/>
            <w:vAlign w:val="bottom"/>
          </w:tcPr>
          <w:p>
            <w:pPr>
              <w:ind w:left="160"/>
              <w:spacing w:after="0"/>
              <w:rPr>
                <w:sz w:val="20"/>
                <w:szCs w:val="20"/>
                <w:color w:val="auto"/>
              </w:rPr>
            </w:pPr>
            <w:r>
              <w:rPr>
                <w:rFonts w:ascii="Arial" w:cs="Arial" w:eastAsia="Arial" w:hAnsi="Arial"/>
                <w:sz w:val="18"/>
                <w:szCs w:val="18"/>
                <w:color w:val="auto"/>
                <w:w w:val="96"/>
              </w:rPr>
              <w:t>prospective  business   opportunities,   management  will</w:t>
            </w:r>
          </w:p>
        </w:tc>
        <w:tc>
          <w:tcPr>
            <w:tcW w:w="6120" w:type="dxa"/>
            <w:vAlign w:val="bottom"/>
          </w:tcPr>
          <w:p>
            <w:pPr>
              <w:ind w:left="80"/>
              <w:spacing w:after="0"/>
              <w:rPr>
                <w:sz w:val="20"/>
                <w:szCs w:val="20"/>
                <w:color w:val="auto"/>
              </w:rPr>
            </w:pPr>
            <w:r>
              <w:rPr>
                <w:rFonts w:ascii="Arial" w:cs="Arial" w:eastAsia="Arial" w:hAnsi="Arial"/>
                <w:sz w:val="18"/>
                <w:szCs w:val="18"/>
                <w:color w:val="auto"/>
                <w:w w:val="94"/>
              </w:rPr>
              <w:t>consider  such  matters  as  the  available  technical,   financial  and  managerial</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w w:val="90"/>
              </w:rPr>
              <w:t>resources;</w:t>
            </w:r>
          </w:p>
        </w:tc>
        <w:tc>
          <w:tcPr>
            <w:tcW w:w="4520" w:type="dxa"/>
            <w:vAlign w:val="bottom"/>
          </w:tcPr>
          <w:p>
            <w:pPr>
              <w:ind w:left="40"/>
              <w:spacing w:after="0"/>
              <w:rPr>
                <w:sz w:val="20"/>
                <w:szCs w:val="20"/>
                <w:color w:val="auto"/>
              </w:rPr>
            </w:pPr>
            <w:r>
              <w:rPr>
                <w:rFonts w:ascii="Arial" w:cs="Arial" w:eastAsia="Arial" w:hAnsi="Arial"/>
                <w:sz w:val="18"/>
                <w:szCs w:val="18"/>
                <w:color w:val="auto"/>
                <w:w w:val="99"/>
              </w:rPr>
              <w:t>working capital and other financial requirements;  history</w:t>
            </w:r>
          </w:p>
        </w:tc>
        <w:tc>
          <w:tcPr>
            <w:tcW w:w="6120" w:type="dxa"/>
            <w:vAlign w:val="bottom"/>
          </w:tcPr>
          <w:p>
            <w:pPr>
              <w:ind w:left="40"/>
              <w:spacing w:after="0"/>
              <w:rPr>
                <w:sz w:val="20"/>
                <w:szCs w:val="20"/>
                <w:color w:val="auto"/>
              </w:rPr>
            </w:pPr>
            <w:r>
              <w:rPr>
                <w:rFonts w:ascii="Arial" w:cs="Arial" w:eastAsia="Arial" w:hAnsi="Arial"/>
                <w:sz w:val="18"/>
                <w:szCs w:val="18"/>
                <w:color w:val="auto"/>
                <w:w w:val="92"/>
              </w:rPr>
              <w:t>of operation, if any; prospects for the future; present and expected competition; the</w:t>
            </w:r>
          </w:p>
        </w:tc>
      </w:tr>
    </w:tbl>
    <w:p>
      <w:pPr>
        <w:jc w:val="both"/>
        <w:spacing w:after="0" w:line="281" w:lineRule="auto"/>
        <w:rPr>
          <w:sz w:val="20"/>
          <w:szCs w:val="20"/>
          <w:color w:val="auto"/>
        </w:rPr>
      </w:pPr>
      <w:r>
        <w:rPr>
          <w:rFonts w:ascii="Arial" w:cs="Arial" w:eastAsia="Arial" w:hAnsi="Arial"/>
          <w:sz w:val="16"/>
          <w:szCs w:val="16"/>
          <w:color w:val="auto"/>
        </w:rPr>
        <w:t>quality and experience of management services which may be available and the depth of that management; the potential for further research, development or exploration; specific risk factors not now foreseeable but which then may be anticipated to impact the proposed activities of the Company; the potential</w:t>
      </w:r>
    </w:p>
    <w:tbl>
      <w:tblPr>
        <w:tblLayout w:type="fixed"/>
        <w:tblInd w:w="0" w:type="dxa"/>
        <w:tblCellMar>
          <w:top w:w="0" w:type="dxa"/>
          <w:left w:w="0" w:type="dxa"/>
          <w:bottom w:w="0" w:type="dxa"/>
          <w:right w:w="0" w:type="dxa"/>
        </w:tblCellMar>
      </w:tblPr>
      <w:tr>
        <w:trPr>
          <w:trHeight w:val="203"/>
        </w:trPr>
        <w:tc>
          <w:tcPr>
            <w:tcW w:w="9980" w:type="dxa"/>
            <w:vAlign w:val="bottom"/>
            <w:gridSpan w:val="11"/>
          </w:tcPr>
          <w:p>
            <w:pPr>
              <w:spacing w:after="0" w:line="203" w:lineRule="exact"/>
              <w:rPr>
                <w:sz w:val="20"/>
                <w:szCs w:val="20"/>
                <w:color w:val="auto"/>
              </w:rPr>
            </w:pPr>
            <w:r>
              <w:rPr>
                <w:rFonts w:ascii="Arial" w:cs="Arial" w:eastAsia="Arial" w:hAnsi="Arial"/>
                <w:sz w:val="18"/>
                <w:szCs w:val="18"/>
                <w:color w:val="auto"/>
                <w:w w:val="94"/>
              </w:rPr>
              <w:t>for growth or expansion;  the potential for profit; the perceived public recognition or acceptance of products,  services or trades; name</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w w:val="97"/>
              </w:rPr>
              <w:t>identification;  and</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7"/>
              </w:rPr>
              <w:t>other</w:t>
            </w:r>
          </w:p>
        </w:tc>
        <w:tc>
          <w:tcPr>
            <w:tcW w:w="1000" w:type="dxa"/>
            <w:vAlign w:val="bottom"/>
          </w:tcPr>
          <w:p>
            <w:pPr>
              <w:jc w:val="right"/>
              <w:spacing w:after="0"/>
              <w:rPr>
                <w:sz w:val="20"/>
                <w:szCs w:val="20"/>
                <w:color w:val="auto"/>
              </w:rPr>
            </w:pPr>
            <w:r>
              <w:rPr>
                <w:rFonts w:ascii="Arial" w:cs="Arial" w:eastAsia="Arial" w:hAnsi="Arial"/>
                <w:sz w:val="18"/>
                <w:szCs w:val="18"/>
                <w:color w:val="auto"/>
              </w:rPr>
              <w:t>relevant</w:t>
            </w:r>
          </w:p>
        </w:tc>
        <w:tc>
          <w:tcPr>
            <w:tcW w:w="1500" w:type="dxa"/>
            <w:vAlign w:val="bottom"/>
          </w:tcPr>
          <w:p>
            <w:pPr>
              <w:ind w:left="820"/>
              <w:spacing w:after="0"/>
              <w:rPr>
                <w:sz w:val="20"/>
                <w:szCs w:val="20"/>
                <w:color w:val="auto"/>
              </w:rPr>
            </w:pPr>
            <w:r>
              <w:rPr>
                <w:rFonts w:ascii="Arial" w:cs="Arial" w:eastAsia="Arial" w:hAnsi="Arial"/>
                <w:sz w:val="18"/>
                <w:szCs w:val="18"/>
                <w:color w:val="auto"/>
              </w:rPr>
              <w:t>factors.</w:t>
            </w:r>
          </w:p>
        </w:tc>
        <w:tc>
          <w:tcPr>
            <w:tcW w:w="1520" w:type="dxa"/>
            <w:vAlign w:val="bottom"/>
          </w:tcPr>
          <w:p>
            <w:pPr>
              <w:ind w:left="720"/>
              <w:spacing w:after="0"/>
              <w:rPr>
                <w:sz w:val="20"/>
                <w:szCs w:val="20"/>
                <w:color w:val="auto"/>
              </w:rPr>
            </w:pPr>
            <w:r>
              <w:rPr>
                <w:rFonts w:ascii="Arial" w:cs="Arial" w:eastAsia="Arial" w:hAnsi="Arial"/>
                <w:sz w:val="18"/>
                <w:szCs w:val="18"/>
                <w:color w:val="auto"/>
              </w:rPr>
              <w:t>Officers</w:t>
            </w:r>
          </w:p>
        </w:tc>
        <w:tc>
          <w:tcPr>
            <w:tcW w:w="620" w:type="dxa"/>
            <w:vAlign w:val="bottom"/>
          </w:tcPr>
          <w:p>
            <w:pPr>
              <w:ind w:left="200"/>
              <w:spacing w:after="0"/>
              <w:rPr>
                <w:sz w:val="20"/>
                <w:szCs w:val="20"/>
                <w:color w:val="auto"/>
              </w:rPr>
            </w:pPr>
            <w:r>
              <w:rPr>
                <w:rFonts w:ascii="Arial" w:cs="Arial" w:eastAsia="Arial" w:hAnsi="Arial"/>
                <w:sz w:val="18"/>
                <w:szCs w:val="18"/>
                <w:color w:val="auto"/>
              </w:rPr>
              <w:t>and</w:t>
            </w:r>
          </w:p>
        </w:tc>
        <w:tc>
          <w:tcPr>
            <w:tcW w:w="1120" w:type="dxa"/>
            <w:vAlign w:val="bottom"/>
          </w:tcPr>
          <w:p>
            <w:pPr>
              <w:ind w:left="280"/>
              <w:spacing w:after="0"/>
              <w:rPr>
                <w:sz w:val="20"/>
                <w:szCs w:val="20"/>
                <w:color w:val="auto"/>
              </w:rPr>
            </w:pPr>
            <w:r>
              <w:rPr>
                <w:rFonts w:ascii="Arial" w:cs="Arial" w:eastAsia="Arial" w:hAnsi="Arial"/>
                <w:sz w:val="18"/>
                <w:szCs w:val="18"/>
                <w:color w:val="auto"/>
              </w:rPr>
              <w:t>directors</w:t>
            </w:r>
          </w:p>
        </w:tc>
        <w:tc>
          <w:tcPr>
            <w:tcW w:w="580" w:type="dxa"/>
            <w:vAlign w:val="bottom"/>
          </w:tcPr>
          <w:p>
            <w:pPr>
              <w:ind w:left="220"/>
              <w:spacing w:after="0"/>
              <w:rPr>
                <w:sz w:val="20"/>
                <w:szCs w:val="20"/>
                <w:color w:val="auto"/>
              </w:rPr>
            </w:pPr>
            <w:r>
              <w:rPr>
                <w:rFonts w:ascii="Arial" w:cs="Arial" w:eastAsia="Arial" w:hAnsi="Arial"/>
                <w:sz w:val="18"/>
                <w:szCs w:val="18"/>
                <w:color w:val="auto"/>
              </w:rPr>
              <w:t>of</w:t>
            </w:r>
          </w:p>
        </w:tc>
        <w:tc>
          <w:tcPr>
            <w:tcW w:w="640" w:type="dxa"/>
            <w:vAlign w:val="bottom"/>
          </w:tcPr>
          <w:p>
            <w:pPr>
              <w:ind w:left="220"/>
              <w:spacing w:after="0"/>
              <w:rPr>
                <w:sz w:val="20"/>
                <w:szCs w:val="20"/>
                <w:color w:val="auto"/>
              </w:rPr>
            </w:pPr>
            <w:r>
              <w:rPr>
                <w:rFonts w:ascii="Arial" w:cs="Arial" w:eastAsia="Arial" w:hAnsi="Arial"/>
                <w:sz w:val="18"/>
                <w:szCs w:val="18"/>
                <w:color w:val="auto"/>
              </w:rPr>
              <w:t>the</w:t>
            </w:r>
          </w:p>
        </w:tc>
        <w:tc>
          <w:tcPr>
            <w:tcW w:w="1320" w:type="dxa"/>
            <w:vAlign w:val="bottom"/>
          </w:tcPr>
          <w:p>
            <w:pPr>
              <w:ind w:left="220"/>
              <w:spacing w:after="0"/>
              <w:rPr>
                <w:sz w:val="20"/>
                <w:szCs w:val="20"/>
                <w:color w:val="auto"/>
              </w:rPr>
            </w:pPr>
            <w:r>
              <w:rPr>
                <w:rFonts w:ascii="Arial" w:cs="Arial" w:eastAsia="Arial" w:hAnsi="Arial"/>
                <w:sz w:val="18"/>
                <w:szCs w:val="18"/>
                <w:color w:val="auto"/>
              </w:rPr>
              <w:t>Company</w:t>
            </w:r>
          </w:p>
        </w:tc>
        <w:tc>
          <w:tcPr>
            <w:tcW w:w="520" w:type="dxa"/>
            <w:vAlign w:val="bottom"/>
          </w:tcPr>
          <w:p>
            <w:pPr>
              <w:ind w:left="20"/>
              <w:spacing w:after="0"/>
              <w:rPr>
                <w:sz w:val="20"/>
                <w:szCs w:val="20"/>
                <w:color w:val="auto"/>
              </w:rPr>
            </w:pPr>
            <w:r>
              <w:rPr>
                <w:rFonts w:ascii="Arial" w:cs="Arial" w:eastAsia="Arial" w:hAnsi="Arial"/>
                <w:sz w:val="18"/>
                <w:szCs w:val="18"/>
                <w:color w:val="auto"/>
              </w:rPr>
              <w:t>will</w:t>
            </w:r>
          </w:p>
        </w:tc>
        <w:tc>
          <w:tcPr>
            <w:tcW w:w="740" w:type="dxa"/>
            <w:vAlign w:val="bottom"/>
          </w:tcPr>
          <w:p>
            <w:pPr>
              <w:ind w:left="220"/>
              <w:spacing w:after="0"/>
              <w:rPr>
                <w:sz w:val="20"/>
                <w:szCs w:val="20"/>
                <w:color w:val="auto"/>
              </w:rPr>
            </w:pPr>
            <w:r>
              <w:rPr>
                <w:rFonts w:ascii="Arial" w:cs="Arial" w:eastAsia="Arial" w:hAnsi="Arial"/>
                <w:sz w:val="18"/>
                <w:szCs w:val="18"/>
                <w:color w:val="auto"/>
              </w:rPr>
              <w:t>meet</w:t>
            </w:r>
          </w:p>
        </w:tc>
        <w:tc>
          <w:tcPr>
            <w:tcW w:w="1440" w:type="dxa"/>
            <w:vAlign w:val="bottom"/>
          </w:tcPr>
          <w:p>
            <w:pPr>
              <w:jc w:val="right"/>
              <w:spacing w:after="0"/>
              <w:rPr>
                <w:sz w:val="20"/>
                <w:szCs w:val="20"/>
                <w:color w:val="auto"/>
              </w:rPr>
            </w:pPr>
            <w:r>
              <w:rPr>
                <w:rFonts w:ascii="Arial" w:cs="Arial" w:eastAsia="Arial" w:hAnsi="Arial"/>
                <w:sz w:val="18"/>
                <w:szCs w:val="18"/>
                <w:color w:val="auto"/>
              </w:rPr>
              <w:t>personally</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with</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management</w:t>
            </w:r>
          </w:p>
        </w:tc>
        <w:tc>
          <w:tcPr>
            <w:tcW w:w="1500" w:type="dxa"/>
            <w:vAlign w:val="bottom"/>
          </w:tcPr>
          <w:p>
            <w:pPr>
              <w:ind w:left="60"/>
              <w:spacing w:after="0"/>
              <w:rPr>
                <w:sz w:val="20"/>
                <w:szCs w:val="20"/>
                <w:color w:val="auto"/>
              </w:rPr>
            </w:pPr>
            <w:r>
              <w:rPr>
                <w:rFonts w:ascii="Arial" w:cs="Arial" w:eastAsia="Arial" w:hAnsi="Arial"/>
                <w:sz w:val="18"/>
                <w:szCs w:val="18"/>
                <w:color w:val="auto"/>
                <w:w w:val="96"/>
              </w:rPr>
              <w:t>and key personnel</w:t>
            </w: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of the firm sponsoring the</w:t>
            </w:r>
          </w:p>
        </w:tc>
        <w:tc>
          <w:tcPr>
            <w:tcW w:w="3660" w:type="dxa"/>
            <w:vAlign w:val="bottom"/>
            <w:gridSpan w:val="4"/>
          </w:tcPr>
          <w:p>
            <w:pPr>
              <w:ind w:left="40"/>
              <w:spacing w:after="0"/>
              <w:rPr>
                <w:sz w:val="20"/>
                <w:szCs w:val="20"/>
                <w:color w:val="auto"/>
              </w:rPr>
            </w:pPr>
            <w:r>
              <w:rPr>
                <w:rFonts w:ascii="Arial" w:cs="Arial" w:eastAsia="Arial" w:hAnsi="Arial"/>
                <w:sz w:val="18"/>
                <w:szCs w:val="18"/>
                <w:color w:val="auto"/>
                <w:w w:val="91"/>
              </w:rPr>
              <w:t>business opportunity as part of their investigation.</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w w:val="91"/>
              </w:rPr>
              <w:t>To the extent possible, the Company</w:t>
            </w:r>
          </w:p>
        </w:tc>
      </w:tr>
    </w:tbl>
    <w:p>
      <w:pPr>
        <w:jc w:val="both"/>
        <w:spacing w:after="0" w:line="261" w:lineRule="auto"/>
        <w:rPr>
          <w:sz w:val="20"/>
          <w:szCs w:val="20"/>
          <w:color w:val="auto"/>
        </w:rPr>
      </w:pPr>
      <w:r>
        <w:rPr>
          <w:rFonts w:ascii="Arial" w:cs="Arial" w:eastAsia="Arial" w:hAnsi="Arial"/>
          <w:sz w:val="18"/>
          <w:szCs w:val="18"/>
          <w:color w:val="auto"/>
        </w:rPr>
        <w:t>intends to utilize written reports and personal investigation to evaluate the above factors. The Company will not acquire or merge with any company for which audited financial statements cannot be obtained.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may be anticipated that any opportunity in which the Company participates will present certain risks. Many of these risks cannot be adequately identified prior to selection of the specific opportunity, and the Company's shareholders must, therefore, depend on the ability of management to identify and evaluate such risk. In the case of some of the opportunities available to the Company, it may be anticipated that the promoters thereof have been unable to develop a going concern or that such business is in its development stage in that it has not generated significant revenues from its principal business activities prior to the Company's anticipation. There is a risk, even after the Company's participation in the activity and the related expenditure of the Company's funds, that the combined enterprises will still be unable to become a going concern or advance beyond the development stage. Many of the opportunities may involve new and untested products, processes, or market strategies which may not succeed. Such risks will be assumed by the Company and, therefore, its shareholders.</w:t>
      </w:r>
    </w:p>
    <w:p>
      <w:pPr>
        <w:spacing w:after="0" w:line="219" w:lineRule="exact"/>
        <w:rPr>
          <w:sz w:val="20"/>
          <w:szCs w:val="20"/>
          <w:color w:val="auto"/>
        </w:rPr>
      </w:pPr>
    </w:p>
    <w:p>
      <w:pPr>
        <w:jc w:val="both"/>
        <w:ind w:firstLine="45"/>
        <w:spacing w:after="0" w:line="259" w:lineRule="auto"/>
        <w:rPr>
          <w:sz w:val="20"/>
          <w:szCs w:val="20"/>
          <w:color w:val="auto"/>
        </w:rPr>
      </w:pPr>
      <w:r>
        <w:rPr>
          <w:rFonts w:ascii="Arial" w:cs="Arial" w:eastAsia="Arial" w:hAnsi="Arial"/>
          <w:sz w:val="18"/>
          <w:szCs w:val="18"/>
          <w:color w:val="auto"/>
        </w:rPr>
        <w:t>The Company will not restrict its search for any specific kind of business, but may acquire a venture which is in its preliminary or development stage, which is already in operation, or in essentially any stage of its corporate life. It is currently impossible to predict the status of any business in which the Company may become engaged, in that such business may need additional capital, may merely desire to have its shares publicly traded, or may seek other perceived advantages which the Company may offer.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Acquisition of Opportunities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implementing a structure for a particular business acquisition, the Company may become a party to a merger, consolidation, reorganization, joint venture, franchise or licensing agreement with another corporation or entity. It may also purchase stock or assets of an existing business. On the consummation of a transaction, it is possible that the present management and shareholders of the Company will not be in control of the Company. In addition, a majority or all of the Company's officers and directors may, as part of the terms of the acquisition transaction, resign and be replaced by new officers and directors without a vote of the Company's shareholders.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It is anticipated that any securities issued in any such reorganization would be issued in reliance on exemptions from registration under applicable Federal and state securities laws. In some circumstances, however, as a negotiated element of this transaction, the Company may agree to register such securities either at the time the transaction is consummated, under certain conditions, or at specified time thereafter. The issuance of substantial additional securities and their potential sale into any trading market which may develop in the Company's Common Stock may have a depressive effect on such market. While the actual terms of a transaction to which the Company may be a party cannot be predicted, it may be expected that the parties to the business transaction will find it desirable to avoid the creation of a taxable event and thereby structure the acquisition in a so called "tax free" reorganization under Sections 368(a)(1) or 351 of the Internal Revenue Code of 1986, as amended (the "Code"). In order to obtain tax free treatment under the Code, it may be necessary for the owners of the acquired business to own 80% or more of the voting stock of the surviving entity. In such event, the shareholders of the Company, including investors in this offering, would retain less than 20% of the issued and outstanding shares of the surviving entity, which could result in significant dilution in the equity of such shareholders.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the Company's investigation, officers and directors of the Company will meet personally with management and key personnel, may visit and inspect material facilities, obtain independent analysis or verification of certain information provided, check references of management and key personnel, and take other reasonable investigative measures, to the extent of the Company's limited financial resources and management expertise.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manner in which each Company participates in an opportunity will depend on the nature of the opportunity, the respective needs and desires of the Company and other parties, the management of the opportunity, and the relative negotiating strength of the Company and such other management.</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any mergers or acquisitions, negotiations with target company management will be expected to focus on the percentage of the Company which target company shareholders would acquire in exchange for their shareholdings in the target company. Depending upon, among other things, the target company's assets and liabilities, the Company's shareholders will in all likelihood hold a lesser percentage ownership interest in the Company following any merger or acquisition. The percentage ownership may be subject to significant reduction in the event the Company acquires a target company with substantial assets. Any merger or acquisition effected by the Company can be expected to have a significant dilutive effect on the percentage of shares held by the Company's then shareholders. The Company may not have sufficient funds to undertake any significant development, marketing and manufacturing of any products which may be acquired.</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following the acquisition of any such product, the Company may be required to either seek debt or equity financing or obtain funding from third parties, in exchange for which the Company would probably be required to give up a substantial portion of its interest in any acquired product. There is no assurance that the Company will be able either to obtain additional financing or interest third parties in providing funding for the further development, marketing and manufacturing of any products acquired.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anticipated that the investigation of specific business opportunities and the negotiation, drafting and execution of relevant agreements, disclosure documents and other instruments will require substantial management time and attention and substantial costs for accountants, attorneys and others. If a decision is made not to participate in a specific business opportunity the costs therefore incurred in the related investigation would not be recoverable.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even if an agreement is reached for the participation in a specific business opportunity, the failure to consummate that transaction may result in a loss to the Company of the related costs incurred.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that the Company may be able to benefit from the use of "leverage" in the acquisition of a business opportunity. Leveraging a transaction involves the acquisition of a business through incurring significant indebtedness for a large percentage of the purchase price for that business.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a leveraged transaction, the Company would be required to use less of its available funds for acquiring the business opportunity and, therefore, could commit those funds to the operations of the business opportunity, to acquisition of other business opportunities or to other activities. The borrowing involved in a leveraged transaction would ordinarily be secured by the assets of the business opportunity to be acquired. If the business opportunity acquired is not able to generate sufficient revenues to make payments on the debt incurred by the Company to acquire that business opportunity, the lender would be able to exercise the remedies provided by law or by contract. These leveraging techniques, while reducing the amount of funds that the Company must commit to acquiring a business opportunity, may correspondingly increase the risk of loss to the Company.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spacing w:after="0" w:line="297" w:lineRule="auto"/>
        <w:rPr>
          <w:sz w:val="20"/>
          <w:szCs w:val="20"/>
          <w:color w:val="auto"/>
        </w:rPr>
      </w:pPr>
      <w:r>
        <w:rPr>
          <w:rFonts w:ascii="Arial" w:cs="Arial" w:eastAsia="Arial" w:hAnsi="Arial"/>
          <w:sz w:val="16"/>
          <w:szCs w:val="16"/>
          <w:color w:val="auto"/>
        </w:rPr>
        <w:t>No assurance can be given as to the terms or the availability of financing for any acquisition by the Company. During periods when interest rates are relatively high, the benefits of leveraging are not as great as during periods of lower interest rates because the investment in the business opportunity held on a leveraged basis will only be profitable if it generates sufficient revenues to cover the related debt and other costs of the financing. Lenders from which the Company may obtain funds for purposes of a leveraged buy-out may impose restrictions on the future borrowing, distribution, and operating policies of the Company. It is not possible at this time to predict the restrictions, if any, which lenders may impose or the impact thereof on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2011 and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did not generate any revenues from operations during the three months ended March 31, 2011 and 2010. We do not anticipate earning revenues in the foreseeable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general and administrative expenses for the three months ended March 31, 2011 decreased by $19,151, or 57.8%, to $13,962. Our general and administrative expense levels decreased due to reduced level of operations after the divesture of UCA in August of 2009. These expenses principally consisted of audit, professional and consulting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for the three months ended March 31, 2011, net loss decreased by $19,151, or 57.8%, to a net loss of $13,962, compared to a net loss of $33,113 during the three months ended March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2011, our working capital was $153,022, compared to a working capital of $166, 984 on December 31, 2010. The decrease was due to the net loss incurred during the three months ended March 31, 2011. During the three months ended March 31, 2011, our operating activities used approximately $101,000 of cash, compared to approximately $44,000 used during the three months ended March 31, 2010.</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divesture of UCA, we do not have any operations and are debt free. We will explore strategic alternatives including a merger with another entity; however, there is no assurance that such transaction will ever be consummated. Currently, we do not have any agreement or understanding with any person or entity for a merger or other business combination.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The preparation of these financial statements requires us to make certain estimates and assumptions that affect the reported amounts of assets, liabilities, revenues and expenses, and the related disclosures of contingent assets and liabilities as of the date of the financial statements and during the applicable periods. We base these estimates on historical experience and on other factors that we believe are reasonable under the circumstances. Actual results may differ materially from these estimates under different assumptions or conditions and could have a material impact on our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Financing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that its existing capital will be sufficient to meet the Company’s cash needs required for the costs of compliance with the reporting requirements of the Securities Exchange Act of 1934, as amended, and for the costs of accomplishing its goal of completing a business combination, for the remainder of 2011. Once a business combination is completed, the Company’s needs for additional financing are likely to increase substantially. As current management is under no obligation to extend credit to the Company and/or continue to invest in the Company, there is no assurance that such credit or investment will be sufficient for future periods.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for smaller reporting companies.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the Chief Executive Officer ("CEO") and Chief Financial Officer ("CFO") ,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Based upon and as of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3" w:name="page14"/>
    <w:bookmarkEnd w:id="1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Section 13 or 15(d) of the Securities Exchange Act, the registrant has caused this report to be signed on its behalf by the undersigned, thereunto duly authorized.</w:t>
      </w:r>
    </w:p>
    <w:p>
      <w:pPr>
        <w:spacing w:after="0" w:line="197"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Date: May 10 ,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Principal Financial Officer and Vice 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72"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Cristiano Germinario certify that:</w:t>
      </w:r>
    </w:p>
    <w:p>
      <w:pPr>
        <w:spacing w:after="0" w:line="22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2011 of NetFabric Holdings,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8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70" w:lineRule="exact"/>
        <w:rPr>
          <w:sz w:val="20"/>
          <w:szCs w:val="20"/>
          <w:color w:val="auto"/>
        </w:rPr>
      </w:pPr>
    </w:p>
    <w:p>
      <w:pPr>
        <w:jc w:val="both"/>
        <w:ind w:firstLine="8"/>
        <w:spacing w:after="0" w:line="264" w:lineRule="auto"/>
        <w:tabs>
          <w:tab w:leader="none" w:pos="193"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188"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70" w:lineRule="exact"/>
        <w:rPr>
          <w:sz w:val="20"/>
          <w:szCs w:val="20"/>
          <w:color w:val="auto"/>
        </w:rPr>
      </w:pPr>
    </w:p>
    <w:p>
      <w:pPr>
        <w:ind w:right="20" w:firstLine="8"/>
        <w:spacing w:after="0" w:line="277" w:lineRule="auto"/>
        <w:tabs>
          <w:tab w:leader="none" w:pos="2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May 10 ,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31.2</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Vasan Thatham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2011 of NetFabric Holdings,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8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70" w:lineRule="exact"/>
        <w:rPr>
          <w:sz w:val="20"/>
          <w:szCs w:val="20"/>
          <w:color w:val="auto"/>
        </w:rPr>
      </w:pPr>
    </w:p>
    <w:p>
      <w:pPr>
        <w:jc w:val="both"/>
        <w:ind w:firstLine="8"/>
        <w:spacing w:after="0" w:line="264" w:lineRule="auto"/>
        <w:tabs>
          <w:tab w:leader="none" w:pos="193"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188"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70" w:lineRule="exact"/>
        <w:rPr>
          <w:sz w:val="20"/>
          <w:szCs w:val="20"/>
          <w:color w:val="auto"/>
        </w:rPr>
      </w:pPr>
    </w:p>
    <w:p>
      <w:pPr>
        <w:ind w:right="20" w:firstLine="8"/>
        <w:spacing w:after="0" w:line="277" w:lineRule="auto"/>
        <w:tabs>
          <w:tab w:leader="none" w:pos="2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6"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May 10 ,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861060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NetFabric Holdings, Inc. (the “Company”) on Form 10-Q for the period ended March 31, 2011 as filed with the Securities and Exchange Commission on the date hereof (the “Report”), I, Cristiano Germinario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May 10 ,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Cristiano Germinario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NetFabric Holdings, Inc. and will be retained by NetFabric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NetFabric Holdings, Inc. (the “Company”) on Form 10-Q for the period ended March 31, 2011 as filed with the Securities and Exchange Commission on the date hereof (the “Report”), I, Vasan Thatham,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680" w:val="left"/>
          <w:tab w:leader="none" w:pos="6260" w:val="left"/>
        </w:tabs>
        <w:rPr>
          <w:sz w:val="20"/>
          <w:szCs w:val="20"/>
          <w:color w:val="auto"/>
        </w:rPr>
      </w:pPr>
      <w:r>
        <w:rPr>
          <w:rFonts w:ascii="Arial" w:cs="Arial" w:eastAsia="Arial" w:hAnsi="Arial"/>
          <w:sz w:val="18"/>
          <w:szCs w:val="18"/>
          <w:color w:val="auto"/>
        </w:rPr>
        <w:t>May 10 ,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Vasan Thatham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NetFabric Holdings, Inc. and will be retained by NetFabric Holdings,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2019-12-10T19:04:23Z</dcterms:created>
  <dcterms:modified xsi:type="dcterms:W3CDTF">2019-12-10T19:04:23Z</dcterms:modified>
</cp:coreProperties>
</file>