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640" w:right="2200" w:hanging="2245"/>
        <w:spacing w:after="0" w:line="282" w:lineRule="auto"/>
        <w:tabs>
          <w:tab w:leader="none" w:pos="2673"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 (D) OF THE SECURITIES EXCHANGE ACT OF 1934</w:t>
      </w:r>
    </w:p>
    <w:p>
      <w:pPr>
        <w:spacing w:after="0" w:line="16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COMMISSION FILE NUMBER: 0-21419</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XCEL BRANDS,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1760" w:type="dxa"/>
        <w:tblCellMar>
          <w:top w:w="0" w:type="dxa"/>
          <w:left w:w="0" w:type="dxa"/>
          <w:bottom w:w="0" w:type="dxa"/>
          <w:right w:w="0" w:type="dxa"/>
        </w:tblCellMar>
      </w:tblPr>
      <w:tr>
        <w:trPr>
          <w:trHeight w:val="216"/>
        </w:trPr>
        <w:tc>
          <w:tcPr>
            <w:tcW w:w="2340" w:type="dxa"/>
            <w:vAlign w:val="bottom"/>
          </w:tcPr>
          <w:p>
            <w:pPr>
              <w:jc w:val="center"/>
              <w:ind w:right="50"/>
              <w:spacing w:after="0"/>
              <w:rPr>
                <w:sz w:val="20"/>
                <w:szCs w:val="20"/>
                <w:color w:val="auto"/>
              </w:rPr>
            </w:pPr>
            <w:r>
              <w:rPr>
                <w:rFonts w:ascii="Arial" w:cs="Arial" w:eastAsia="Arial" w:hAnsi="Arial"/>
                <w:sz w:val="18"/>
                <w:szCs w:val="18"/>
                <w:color w:val="auto"/>
                <w:w w:val="89"/>
              </w:rPr>
              <w:t>Delaware</w:t>
            </w:r>
          </w:p>
        </w:tc>
        <w:tc>
          <w:tcPr>
            <w:tcW w:w="6000" w:type="dxa"/>
            <w:vAlign w:val="bottom"/>
            <w:gridSpan w:val="3"/>
          </w:tcPr>
          <w:p>
            <w:pPr>
              <w:jc w:val="right"/>
              <w:ind w:right="770"/>
              <w:spacing w:after="0"/>
              <w:rPr>
                <w:sz w:val="20"/>
                <w:szCs w:val="20"/>
                <w:color w:val="auto"/>
              </w:rPr>
            </w:pPr>
            <w:r>
              <w:rPr>
                <w:rFonts w:ascii="Arial" w:cs="Arial" w:eastAsia="Arial" w:hAnsi="Arial"/>
                <w:sz w:val="18"/>
                <w:szCs w:val="18"/>
                <w:color w:val="auto"/>
              </w:rPr>
              <w:t>76-0307819</w:t>
            </w:r>
          </w:p>
        </w:tc>
      </w:tr>
      <w:tr>
        <w:trPr>
          <w:trHeight w:val="216"/>
        </w:trPr>
        <w:tc>
          <w:tcPr>
            <w:tcW w:w="234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w:t>
            </w: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340" w:type="dxa"/>
            <w:vAlign w:val="bottom"/>
          </w:tcPr>
          <w:p>
            <w:pPr>
              <w:jc w:val="center"/>
              <w:ind w:right="30"/>
              <w:spacing w:after="0"/>
              <w:rPr>
                <w:sz w:val="20"/>
                <w:szCs w:val="20"/>
                <w:color w:val="auto"/>
              </w:rPr>
            </w:pPr>
            <w:r>
              <w:rPr>
                <w:rFonts w:ascii="Arial" w:cs="Arial" w:eastAsia="Arial" w:hAnsi="Arial"/>
                <w:sz w:val="18"/>
                <w:szCs w:val="18"/>
                <w:color w:val="auto"/>
                <w:w w:val="92"/>
              </w:rPr>
              <w:t>Incorporation or Organization)</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2340" w:type="dxa"/>
            <w:vAlign w:val="bottom"/>
          </w:tcPr>
          <w:p>
            <w:pPr>
              <w:spacing w:after="0"/>
              <w:rPr>
                <w:sz w:val="24"/>
                <w:szCs w:val="24"/>
                <w:color w:val="auto"/>
              </w:rPr>
            </w:pPr>
          </w:p>
        </w:tc>
        <w:tc>
          <w:tcPr>
            <w:tcW w:w="6000" w:type="dxa"/>
            <w:vAlign w:val="bottom"/>
            <w:gridSpan w:val="3"/>
          </w:tcPr>
          <w:p>
            <w:pPr>
              <w:ind w:left="680"/>
              <w:spacing w:after="0"/>
              <w:rPr>
                <w:sz w:val="20"/>
                <w:szCs w:val="20"/>
                <w:color w:val="auto"/>
              </w:rPr>
            </w:pPr>
            <w:r>
              <w:rPr>
                <w:rFonts w:ascii="Arial" w:cs="Arial" w:eastAsia="Arial" w:hAnsi="Arial"/>
                <w:sz w:val="18"/>
                <w:szCs w:val="18"/>
                <w:color w:val="auto"/>
              </w:rPr>
              <w:t>475 Tenth Ave, 4th Floor</w:t>
            </w:r>
          </w:p>
        </w:tc>
      </w:tr>
      <w:tr>
        <w:trPr>
          <w:trHeight w:val="190"/>
        </w:trPr>
        <w:tc>
          <w:tcPr>
            <w:tcW w:w="2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180" w:type="dxa"/>
            <w:vAlign w:val="bottom"/>
            <w:gridSpan w:val="2"/>
          </w:tcPr>
          <w:p>
            <w:pPr>
              <w:jc w:val="center"/>
              <w:ind w:right="3510"/>
              <w:spacing w:after="0" w:line="190" w:lineRule="exact"/>
              <w:rPr>
                <w:sz w:val="20"/>
                <w:szCs w:val="20"/>
                <w:color w:val="auto"/>
              </w:rPr>
            </w:pPr>
            <w:r>
              <w:rPr>
                <w:rFonts w:ascii="Arial" w:cs="Arial" w:eastAsia="Arial" w:hAnsi="Arial"/>
                <w:sz w:val="18"/>
                <w:szCs w:val="18"/>
                <w:color w:val="auto"/>
                <w:w w:val="93"/>
              </w:rPr>
              <w:t>New York, NY 10018</w:t>
            </w:r>
          </w:p>
        </w:tc>
      </w:tr>
      <w:tr>
        <w:trPr>
          <w:trHeight w:val="20"/>
        </w:trPr>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2340" w:type="dxa"/>
            <w:vAlign w:val="bottom"/>
          </w:tcPr>
          <w:p>
            <w:pPr>
              <w:spacing w:after="0"/>
              <w:rPr>
                <w:sz w:val="20"/>
                <w:szCs w:val="20"/>
                <w:color w:val="auto"/>
              </w:rPr>
            </w:pPr>
          </w:p>
        </w:tc>
        <w:tc>
          <w:tcPr>
            <w:tcW w:w="6000" w:type="dxa"/>
            <w:vAlign w:val="bottom"/>
            <w:gridSpan w:val="3"/>
          </w:tcPr>
          <w:p>
            <w:pPr>
              <w:jc w:val="center"/>
              <w:ind w:right="269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202"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(347)-727-2474</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472" w:right="439" w:bottom="1440" w:gutter="0" w:footer="0" w:header="0"/>
        </w:sectPr>
      </w:pP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80" w:space="720"/>
            <w:col w:w="3220"/>
          </w:cols>
          <w:pgMar w:left="240" w:top="472" w:right="4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80" w:space="720"/>
            <w:col w:w="3220"/>
          </w:cols>
          <w:pgMar w:left="240" w:top="472" w:right="439" w:bottom="1440" w:gutter="0" w:footer="0" w:header="0"/>
          <w:type w:val="continuous"/>
        </w:sectPr>
      </w:pPr>
    </w:p>
    <w:p>
      <w:pPr>
        <w:spacing w:after="0" w:line="48" w:lineRule="exact"/>
        <w:rPr>
          <w:sz w:val="24"/>
          <w:szCs w:val="24"/>
          <w:color w:val="auto"/>
        </w:rPr>
      </w:pPr>
    </w:p>
    <w:p>
      <w:pPr>
        <w:spacing w:after="0" w:line="196" w:lineRule="exact"/>
        <w:tabs>
          <w:tab w:leader="none" w:pos="8980" w:val="left"/>
        </w:tabs>
        <w:rPr>
          <w:sz w:val="20"/>
          <w:szCs w:val="20"/>
          <w:color w:val="auto"/>
        </w:rPr>
      </w:pPr>
      <w:r>
        <w:rPr>
          <w:rFonts w:ascii="Arial" w:cs="Arial" w:eastAsia="Arial" w:hAnsi="Arial"/>
          <w:sz w:val="17"/>
          <w:szCs w:val="17"/>
          <w:color w:val="auto"/>
        </w:rPr>
        <w:t xml:space="preserve">Indicate by a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16, 2012, 7,517,137 shares of common stock, $.001 par value per share, of the issuer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72"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00" w:type="dxa"/>
            <w:vAlign w:val="bottom"/>
          </w:tcPr>
          <w:p>
            <w:pPr>
              <w:ind w:left="3820"/>
              <w:spacing w:after="0"/>
              <w:rPr>
                <w:sz w:val="20"/>
                <w:szCs w:val="20"/>
                <w:color w:val="auto"/>
              </w:rPr>
            </w:pPr>
            <w:r>
              <w:rPr>
                <w:rFonts w:ascii="Arial" w:cs="Arial" w:eastAsia="Arial" w:hAnsi="Arial"/>
                <w:sz w:val="18"/>
                <w:szCs w:val="18"/>
                <w:b w:val="1"/>
                <w:bCs w:val="1"/>
                <w:color w:val="auto"/>
              </w:rPr>
              <w:t>XCEL BRANDS,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ind w:left="4420"/>
              <w:spacing w:after="0"/>
              <w:rPr>
                <w:sz w:val="20"/>
                <w:szCs w:val="20"/>
                <w:color w:val="auto"/>
              </w:rPr>
            </w:pPr>
            <w:r>
              <w:rPr>
                <w:rFonts w:ascii="Arial" w:cs="Arial" w:eastAsia="Arial" w:hAnsi="Arial"/>
                <w:sz w:val="18"/>
                <w:szCs w:val="18"/>
                <w:color w:val="auto"/>
              </w:rPr>
              <w:t>INDEX</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Statements (Unaudited)</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Balance Sheets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Statements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Statement of Stockholders’ Equity</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Statements of Cash Flows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Notes to Condensed Consolidated Interim 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Controls and Procedures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Legal Proceedings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Risk Factors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Exhibits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Signatures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 Financial Statements (Unaudited)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Xcel Brands,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2012</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(Unaudited)</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4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FFCC"/>
          </w:tcPr>
          <w:p>
            <w:pPr>
              <w:spacing w:after="0"/>
              <w:rPr>
                <w:sz w:val="15"/>
                <w:szCs w:val="15"/>
                <w:color w:val="auto"/>
              </w:rPr>
            </w:pPr>
          </w:p>
        </w:tc>
        <w:tc>
          <w:tcPr>
            <w:tcW w:w="13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53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4,131,000</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3,342,000</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415,000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69,000</w:t>
            </w: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7,957,000</w:t>
            </w:r>
          </w:p>
        </w:tc>
        <w:tc>
          <w:tcPr>
            <w:tcW w:w="2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Property and Equipment:</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Leasehold improvements, furniture and equipment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1,509,000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1,399,000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320,000</w:t>
            </w: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property and equipment</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1,189,000</w:t>
            </w:r>
          </w:p>
        </w:tc>
        <w:tc>
          <w:tcPr>
            <w:tcW w:w="2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Trademarks, goodwill and other intangibles, net</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58,804,000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finance costs, net</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475,000</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314,000</w:t>
            </w:r>
          </w:p>
        </w:tc>
        <w:tc>
          <w:tcPr>
            <w:tcW w:w="3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FFCC"/>
            </w:tcBorders>
            <w:gridSpan w:val="3"/>
            <w:shd w:val="clear" w:color="auto" w:fill="CCFFCC"/>
          </w:tcPr>
          <w:p>
            <w:pPr>
              <w:ind w:left="320"/>
              <w:spacing w:after="0"/>
              <w:rPr>
                <w:sz w:val="20"/>
                <w:szCs w:val="20"/>
                <w:color w:val="auto"/>
              </w:rPr>
            </w:pPr>
            <w:r>
              <w:rPr>
                <w:rFonts w:ascii="Arial" w:cs="Arial" w:eastAsia="Arial" w:hAnsi="Arial"/>
                <w:sz w:val="18"/>
                <w:szCs w:val="18"/>
                <w:color w:val="auto"/>
              </w:rPr>
              <w:t>Total other assets</w:t>
            </w: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59,593,000</w:t>
            </w:r>
          </w:p>
        </w:tc>
        <w:tc>
          <w:tcPr>
            <w:tcW w:w="2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59,800,000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40" w:type="dxa"/>
            <w:vAlign w:val="bottom"/>
            <w:tcBorders>
              <w:bottom w:val="single" w:sz="8" w:color="CCFFCC"/>
            </w:tcBorders>
            <w:gridSpan w:val="3"/>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68,739,000</w:t>
            </w:r>
          </w:p>
        </w:tc>
        <w:tc>
          <w:tcPr>
            <w:tcW w:w="220" w:type="dxa"/>
            <w:vAlign w:val="bottom"/>
            <w:tcBorders>
              <w:bottom w:val="single" w:sz="8" w:color="CCFFCC"/>
            </w:tcBorders>
          </w:tcPr>
          <w:p>
            <w:pPr>
              <w:spacing w:after="0"/>
              <w:rPr>
                <w:sz w:val="22"/>
                <w:szCs w:val="22"/>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66,693,000</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300" w:type="dxa"/>
            <w:vAlign w:val="bottom"/>
            <w:shd w:val="clear" w:color="auto" w:fill="CCFFCC"/>
          </w:tcPr>
          <w:p>
            <w:pPr>
              <w:spacing w:after="0"/>
              <w:rPr>
                <w:sz w:val="17"/>
                <w:szCs w:val="17"/>
                <w:color w:val="auto"/>
              </w:rPr>
            </w:pPr>
          </w:p>
        </w:tc>
        <w:tc>
          <w:tcPr>
            <w:tcW w:w="53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912,000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revenue, net of long-term portion</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314,000</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102,000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FFCC"/>
          </w:tcPr>
          <w:p>
            <w:pPr>
              <w:spacing w:after="0"/>
              <w:rPr>
                <w:sz w:val="19"/>
                <w:szCs w:val="19"/>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1,374,000</w:t>
            </w:r>
          </w:p>
        </w:tc>
        <w:tc>
          <w:tcPr>
            <w:tcW w:w="2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2,702,000</w:t>
            </w:r>
          </w:p>
        </w:tc>
        <w:tc>
          <w:tcPr>
            <w:tcW w:w="2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Term loan, net of short-term portion</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11,307,000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Seller note</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6,166,000</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Installment debt obligation, net of short-term portion</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1,002,000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Contingent obligations - seller</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17,766,000</w:t>
            </w:r>
          </w:p>
        </w:tc>
        <w:tc>
          <w:tcPr>
            <w:tcW w:w="3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11,022,000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11,570,000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Other long-term liabilities, less current portion</w:t>
            </w:r>
          </w:p>
        </w:tc>
        <w:tc>
          <w:tcPr>
            <w:tcW w:w="2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372,000</w:t>
            </w: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47,635,000</w:t>
            </w:r>
          </w:p>
        </w:tc>
        <w:tc>
          <w:tcPr>
            <w:tcW w:w="2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48,584,000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50,337,000</w:t>
            </w:r>
          </w:p>
        </w:tc>
        <w:tc>
          <w:tcPr>
            <w:tcW w:w="220" w:type="dxa"/>
            <w:vAlign w:val="bottom"/>
            <w:shd w:val="clear" w:color="auto" w:fill="CCFFCC"/>
          </w:tcPr>
          <w:p>
            <w:pPr>
              <w:spacing w:after="0"/>
              <w:rPr>
                <w:sz w:val="18"/>
                <w:szCs w:val="18"/>
                <w:color w:val="auto"/>
              </w:rPr>
            </w:pPr>
          </w:p>
        </w:tc>
        <w:tc>
          <w:tcPr>
            <w:tcW w:w="36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50,075,000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gridSpan w:val="3"/>
            <w:shd w:val="clear" w:color="auto" w:fill="CCFFCC"/>
          </w:tcPr>
          <w:p>
            <w:pPr>
              <w:ind w:left="160"/>
              <w:spacing w:after="0" w:line="201" w:lineRule="exact"/>
              <w:rPr>
                <w:sz w:val="20"/>
                <w:szCs w:val="20"/>
                <w:color w:val="auto"/>
              </w:rPr>
            </w:pPr>
            <w:r>
              <w:rPr>
                <w:rFonts w:ascii="Arial" w:cs="Arial" w:eastAsia="Arial" w:hAnsi="Arial"/>
                <w:sz w:val="18"/>
                <w:szCs w:val="18"/>
                <w:color w:val="auto"/>
                <w:w w:val="98"/>
              </w:rPr>
              <w:t>Common stock, $.001 par value, 25,000,000 shares authorized, 7,517,137 and 5,810,444 issued and</w:t>
            </w:r>
          </w:p>
        </w:tc>
        <w:tc>
          <w:tcPr>
            <w:tcW w:w="2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outstanding at September 30, 2012 and December 31, 2011, respectively</w:t>
            </w:r>
          </w:p>
        </w:tc>
        <w:tc>
          <w:tcPr>
            <w:tcW w:w="200" w:type="dxa"/>
            <w:vAlign w:val="bottom"/>
            <w:shd w:val="clear" w:color="auto" w:fill="CCFFCC"/>
          </w:tcPr>
          <w:p>
            <w:pPr>
              <w:spacing w:after="0"/>
              <w:rPr>
                <w:sz w:val="20"/>
                <w:szCs w:val="20"/>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7,000</w:t>
            </w:r>
          </w:p>
        </w:tc>
        <w:tc>
          <w:tcPr>
            <w:tcW w:w="36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21,351,000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17,904,000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(2,956,000)</w:t>
            </w:r>
          </w:p>
        </w:tc>
        <w:tc>
          <w:tcPr>
            <w:tcW w:w="3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18,402,000</w:t>
            </w:r>
          </w:p>
        </w:tc>
        <w:tc>
          <w:tcPr>
            <w:tcW w:w="2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16,618,000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5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68,739,000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66,693,000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100" w:type="dxa"/>
            <w:vAlign w:val="bottom"/>
            <w:gridSpan w:val="4"/>
          </w:tcPr>
          <w:p>
            <w:pPr>
              <w:jc w:val="right"/>
              <w:ind w:right="1340"/>
              <w:spacing w:after="0"/>
              <w:rPr>
                <w:sz w:val="20"/>
                <w:szCs w:val="20"/>
                <w:color w:val="auto"/>
              </w:rPr>
            </w:pPr>
            <w:r>
              <w:rPr>
                <w:rFonts w:ascii="Arial" w:cs="Arial" w:eastAsia="Arial" w:hAnsi="Arial"/>
                <w:sz w:val="18"/>
                <w:szCs w:val="18"/>
                <w:color w:val="auto"/>
                <w:w w:val="90"/>
              </w:rPr>
              <w:t>See Notes to Unaudited Condensed Consolidated Interim Financial Statements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140" w:type="dxa"/>
            <w:vAlign w:val="bottom"/>
            <w:tcBorders>
              <w:bottom w:val="single" w:sz="8" w:color="auto"/>
            </w:tcBorders>
            <w:gridSpan w:val="3"/>
          </w:tcPr>
          <w:p>
            <w:pPr>
              <w:ind w:left="564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For the period Sept.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For the period Sept.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For the Three Months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29, 2011 to Sept. 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For the period July 1,</w:t>
            </w:r>
          </w:p>
        </w:tc>
        <w:tc>
          <w:tcPr>
            <w:tcW w:w="1360" w:type="dxa"/>
            <w:vAlign w:val="bottom"/>
            <w:gridSpan w:val="3"/>
          </w:tcPr>
          <w:p>
            <w:pPr>
              <w:jc w:val="right"/>
              <w:ind w:right="200"/>
              <w:spacing w:after="0" w:line="135" w:lineRule="exact"/>
              <w:rPr>
                <w:sz w:val="20"/>
                <w:szCs w:val="20"/>
                <w:color w:val="auto"/>
              </w:rPr>
            </w:pPr>
            <w:r>
              <w:rPr>
                <w:rFonts w:ascii="Arial" w:cs="Arial" w:eastAsia="Arial" w:hAnsi="Arial"/>
                <w:sz w:val="13"/>
                <w:szCs w:val="13"/>
                <w:b w:val="1"/>
                <w:bCs w:val="1"/>
                <w:color w:val="auto"/>
                <w:w w:val="90"/>
              </w:rPr>
              <w:t>For the Nine Months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29, 2011 to Sept. 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For the period Jan. 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Ended Sept. 30, 2012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4"/>
              </w:rPr>
              <w:t>2011 to Sept. 28, 2011</w:t>
            </w:r>
          </w:p>
        </w:tc>
        <w:tc>
          <w:tcPr>
            <w:tcW w:w="13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9"/>
              </w:rPr>
              <w:t>Ended Sept. 30, 2012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2"/>
              </w:rPr>
              <w:t>2011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2011 to Sept. 28,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9"/>
              </w:rPr>
              <w:t>Successor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79"/>
              </w:rPr>
              <w:t>Successor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1"/>
              </w:rPr>
              <w:t>Predecessor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79"/>
              </w:rPr>
              <w:t>Successor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Predecessor</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Licensing revenue</w:t>
            </w:r>
          </w:p>
        </w:tc>
        <w:tc>
          <w:tcPr>
            <w:tcW w:w="1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2,854,000</w:t>
            </w:r>
          </w:p>
        </w:tc>
        <w:tc>
          <w:tcPr>
            <w:tcW w:w="18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tcBorders>
              <w:right w:val="single" w:sz="8" w:color="auto"/>
            </w:tcBorders>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42,000</w:t>
            </w:r>
          </w:p>
        </w:tc>
        <w:tc>
          <w:tcPr>
            <w:tcW w:w="2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2,672,000</w:t>
            </w: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jc w:val="right"/>
              <w:ind w:right="86"/>
              <w:spacing w:after="0"/>
              <w:rPr>
                <w:sz w:val="20"/>
                <w:szCs w:val="20"/>
                <w:color w:val="auto"/>
              </w:rPr>
            </w:pPr>
            <w:r>
              <w:rPr>
                <w:rFonts w:ascii="Arial" w:cs="Arial" w:eastAsia="Arial" w:hAnsi="Arial"/>
                <w:sz w:val="9"/>
                <w:szCs w:val="9"/>
                <w:color w:val="auto"/>
                <w:w w:val="78"/>
              </w:rPr>
              <w:t>$</w:t>
            </w:r>
          </w:p>
        </w:tc>
        <w:tc>
          <w:tcPr>
            <w:tcW w:w="10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7,989,000</w:t>
            </w:r>
          </w:p>
        </w:tc>
        <w:tc>
          <w:tcPr>
            <w:tcW w:w="120" w:type="dxa"/>
            <w:vAlign w:val="bottom"/>
            <w:tcBorders>
              <w:right w:val="single" w:sz="8" w:color="auto"/>
            </w:tcBorders>
            <w:shd w:val="clear" w:color="auto" w:fill="CCFFCC"/>
          </w:tcPr>
          <w:p>
            <w:pPr>
              <w:spacing w:after="0"/>
              <w:rPr>
                <w:sz w:val="11"/>
                <w:szCs w:val="11"/>
                <w:color w:val="auto"/>
              </w:rPr>
            </w:pPr>
          </w:p>
        </w:tc>
        <w:tc>
          <w:tcPr>
            <w:tcW w:w="1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300" w:type="dxa"/>
            <w:vAlign w:val="bottom"/>
            <w:tcBorders>
              <w:right w:val="single" w:sz="8" w:color="auto"/>
            </w:tcBorders>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42,000</w:t>
            </w:r>
          </w:p>
        </w:tc>
        <w:tc>
          <w:tcPr>
            <w:tcW w:w="2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7,911,000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3"/>
                <w:szCs w:val="13"/>
                <w:color w:val="auto"/>
              </w:rPr>
              <w:t>Design and service fee income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960,000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6,000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268,000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1,614,000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6,000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3"/>
                <w:szCs w:val="13"/>
                <w:color w:val="auto"/>
              </w:rPr>
              <w:t>818,000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tcBorders>
              <w:top w:val="single" w:sz="8" w:color="CCFFCC"/>
            </w:tcBorders>
            <w:shd w:val="clear" w:color="auto" w:fill="CCFFCC"/>
          </w:tcPr>
          <w:p>
            <w:pPr>
              <w:spacing w:after="0" w:line="129" w:lineRule="exact"/>
              <w:rPr>
                <w:sz w:val="20"/>
                <w:szCs w:val="20"/>
                <w:color w:val="auto"/>
              </w:rPr>
            </w:pPr>
            <w:r>
              <w:rPr>
                <w:rFonts w:ascii="Arial" w:cs="Arial" w:eastAsia="Arial" w:hAnsi="Arial"/>
                <w:sz w:val="13"/>
                <w:szCs w:val="13"/>
                <w:color w:val="auto"/>
              </w:rPr>
              <w:t>Total revenues</w:t>
            </w:r>
          </w:p>
        </w:tc>
        <w:tc>
          <w:tcPr>
            <w:tcW w:w="10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12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3,814,000</w:t>
            </w:r>
          </w:p>
        </w:tc>
        <w:tc>
          <w:tcPr>
            <w:tcW w:w="140" w:type="dxa"/>
            <w:vAlign w:val="bottom"/>
            <w:tcBorders>
              <w:top w:val="single" w:sz="8" w:color="CCFFCC"/>
              <w:right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11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48,000</w:t>
            </w:r>
          </w:p>
        </w:tc>
        <w:tc>
          <w:tcPr>
            <w:tcW w:w="140" w:type="dxa"/>
            <w:vAlign w:val="bottom"/>
            <w:tcBorders>
              <w:top w:val="single" w:sz="8" w:color="CCFFCC"/>
              <w:right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13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2,940,000</w:t>
            </w:r>
          </w:p>
        </w:tc>
        <w:tc>
          <w:tcPr>
            <w:tcW w:w="120" w:type="dxa"/>
            <w:vAlign w:val="bottom"/>
            <w:tcBorders>
              <w:top w:val="single" w:sz="8" w:color="CCFFCC"/>
              <w:right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10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9,603,000</w:t>
            </w:r>
          </w:p>
        </w:tc>
        <w:tc>
          <w:tcPr>
            <w:tcW w:w="120" w:type="dxa"/>
            <w:vAlign w:val="bottom"/>
            <w:tcBorders>
              <w:top w:val="single" w:sz="8" w:color="CCFFCC"/>
              <w:right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11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48,000</w:t>
            </w:r>
          </w:p>
        </w:tc>
        <w:tc>
          <w:tcPr>
            <w:tcW w:w="120" w:type="dxa"/>
            <w:vAlign w:val="bottom"/>
            <w:tcBorders>
              <w:top w:val="single" w:sz="8" w:color="CCFFCC"/>
              <w:right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8,729,000</w:t>
            </w: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60"/>
              <w:spacing w:after="0"/>
              <w:rPr>
                <w:sz w:val="20"/>
                <w:szCs w:val="20"/>
                <w:color w:val="auto"/>
              </w:rPr>
            </w:pPr>
            <w:r>
              <w:rPr>
                <w:rFonts w:ascii="Arial" w:cs="Arial" w:eastAsia="Arial" w:hAnsi="Arial"/>
                <w:sz w:val="13"/>
                <w:szCs w:val="13"/>
                <w:color w:val="auto"/>
              </w:rPr>
              <w:t>Direct licensing costs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89,000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174,000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40" w:type="dxa"/>
            <w:vAlign w:val="bottom"/>
            <w:tcBorders>
              <w:top w:val="single" w:sz="8" w:color="CCFFCC"/>
            </w:tcBorders>
            <w:shd w:val="clear" w:color="auto" w:fill="CCFFCC"/>
          </w:tcPr>
          <w:p>
            <w:pPr>
              <w:spacing w:after="0" w:line="101" w:lineRule="exact"/>
              <w:rPr>
                <w:sz w:val="20"/>
                <w:szCs w:val="20"/>
                <w:color w:val="auto"/>
              </w:rPr>
            </w:pPr>
            <w:r>
              <w:rPr>
                <w:rFonts w:ascii="Arial" w:cs="Arial" w:eastAsia="Arial" w:hAnsi="Arial"/>
                <w:sz w:val="11"/>
                <w:szCs w:val="11"/>
                <w:color w:val="auto"/>
              </w:rPr>
              <w:t>Net licensing, design and service</w:t>
            </w:r>
          </w:p>
        </w:tc>
        <w:tc>
          <w:tcPr>
            <w:tcW w:w="100" w:type="dxa"/>
            <w:vAlign w:val="bottom"/>
            <w:tcBorders>
              <w:top w:val="single" w:sz="8" w:color="CCFFCC"/>
            </w:tcBorders>
            <w:shd w:val="clear" w:color="auto" w:fill="CCFFCC"/>
          </w:tcPr>
          <w:p>
            <w:pPr>
              <w:spacing w:after="0"/>
              <w:rPr>
                <w:sz w:val="8"/>
                <w:szCs w:val="8"/>
                <w:color w:val="auto"/>
              </w:rPr>
            </w:pPr>
          </w:p>
        </w:tc>
        <w:tc>
          <w:tcPr>
            <w:tcW w:w="80" w:type="dxa"/>
            <w:vAlign w:val="bottom"/>
            <w:tcBorders>
              <w:top w:val="single" w:sz="8" w:color="auto"/>
            </w:tcBorders>
            <w:shd w:val="clear" w:color="auto" w:fill="CCFFCC"/>
          </w:tcPr>
          <w:p>
            <w:pPr>
              <w:spacing w:after="0"/>
              <w:rPr>
                <w:sz w:val="8"/>
                <w:szCs w:val="8"/>
                <w:color w:val="auto"/>
              </w:rPr>
            </w:pPr>
          </w:p>
        </w:tc>
        <w:tc>
          <w:tcPr>
            <w:tcW w:w="1200" w:type="dxa"/>
            <w:vAlign w:val="bottom"/>
            <w:tcBorders>
              <w:top w:val="single" w:sz="8" w:color="auto"/>
            </w:tcBorders>
            <w:shd w:val="clear" w:color="auto" w:fill="CCFFCC"/>
          </w:tcPr>
          <w:p>
            <w:pPr>
              <w:spacing w:after="0"/>
              <w:rPr>
                <w:sz w:val="8"/>
                <w:szCs w:val="8"/>
                <w:color w:val="auto"/>
              </w:rPr>
            </w:pPr>
          </w:p>
        </w:tc>
        <w:tc>
          <w:tcPr>
            <w:tcW w:w="140" w:type="dxa"/>
            <w:vAlign w:val="bottom"/>
            <w:tcBorders>
              <w:top w:val="single" w:sz="8" w:color="CCFFCC"/>
              <w:right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80" w:type="dxa"/>
            <w:vAlign w:val="bottom"/>
            <w:tcBorders>
              <w:top w:val="single" w:sz="8" w:color="auto"/>
            </w:tcBorders>
            <w:shd w:val="clear" w:color="auto" w:fill="CCFFCC"/>
          </w:tcPr>
          <w:p>
            <w:pPr>
              <w:spacing w:after="0"/>
              <w:rPr>
                <w:sz w:val="8"/>
                <w:szCs w:val="8"/>
                <w:color w:val="auto"/>
              </w:rPr>
            </w:pPr>
          </w:p>
        </w:tc>
        <w:tc>
          <w:tcPr>
            <w:tcW w:w="1180" w:type="dxa"/>
            <w:vAlign w:val="bottom"/>
            <w:tcBorders>
              <w:top w:val="single" w:sz="8" w:color="auto"/>
            </w:tcBorders>
            <w:shd w:val="clear" w:color="auto" w:fill="CCFFCC"/>
          </w:tcPr>
          <w:p>
            <w:pPr>
              <w:spacing w:after="0"/>
              <w:rPr>
                <w:sz w:val="8"/>
                <w:szCs w:val="8"/>
                <w:color w:val="auto"/>
              </w:rPr>
            </w:pPr>
          </w:p>
        </w:tc>
        <w:tc>
          <w:tcPr>
            <w:tcW w:w="140" w:type="dxa"/>
            <w:vAlign w:val="bottom"/>
            <w:tcBorders>
              <w:top w:val="single" w:sz="8" w:color="CCFFCC"/>
              <w:right w:val="single" w:sz="8" w:color="auto"/>
            </w:tcBorders>
            <w:shd w:val="clear" w:color="auto" w:fill="CCFFCC"/>
          </w:tcPr>
          <w:p>
            <w:pPr>
              <w:spacing w:after="0"/>
              <w:rPr>
                <w:sz w:val="8"/>
                <w:szCs w:val="8"/>
                <w:color w:val="auto"/>
              </w:rPr>
            </w:pPr>
          </w:p>
        </w:tc>
        <w:tc>
          <w:tcPr>
            <w:tcW w:w="120" w:type="dxa"/>
            <w:vAlign w:val="bottom"/>
            <w:tcBorders>
              <w:top w:val="single" w:sz="8" w:color="CCFFCC"/>
            </w:tcBorders>
            <w:shd w:val="clear" w:color="auto" w:fill="CCFFCC"/>
          </w:tcPr>
          <w:p>
            <w:pPr>
              <w:spacing w:after="0"/>
              <w:rPr>
                <w:sz w:val="8"/>
                <w:szCs w:val="8"/>
                <w:color w:val="auto"/>
              </w:rPr>
            </w:pPr>
          </w:p>
        </w:tc>
        <w:tc>
          <w:tcPr>
            <w:tcW w:w="100" w:type="dxa"/>
            <w:vAlign w:val="bottom"/>
            <w:tcBorders>
              <w:top w:val="single" w:sz="8" w:color="auto"/>
            </w:tcBorders>
            <w:shd w:val="clear" w:color="auto" w:fill="CCFFCC"/>
          </w:tcPr>
          <w:p>
            <w:pPr>
              <w:spacing w:after="0"/>
              <w:rPr>
                <w:sz w:val="8"/>
                <w:szCs w:val="8"/>
                <w:color w:val="auto"/>
              </w:rPr>
            </w:pPr>
          </w:p>
        </w:tc>
        <w:tc>
          <w:tcPr>
            <w:tcW w:w="1380" w:type="dxa"/>
            <w:vAlign w:val="bottom"/>
            <w:tcBorders>
              <w:top w:val="single" w:sz="8" w:color="auto"/>
            </w:tcBorders>
            <w:shd w:val="clear" w:color="auto" w:fill="CCFFCC"/>
          </w:tcPr>
          <w:p>
            <w:pPr>
              <w:spacing w:after="0"/>
              <w:rPr>
                <w:sz w:val="8"/>
                <w:szCs w:val="8"/>
                <w:color w:val="auto"/>
              </w:rPr>
            </w:pPr>
          </w:p>
        </w:tc>
        <w:tc>
          <w:tcPr>
            <w:tcW w:w="120" w:type="dxa"/>
            <w:vAlign w:val="bottom"/>
            <w:tcBorders>
              <w:top w:val="single" w:sz="8" w:color="CCFFCC"/>
              <w:right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200" w:type="dxa"/>
            <w:vAlign w:val="bottom"/>
            <w:tcBorders>
              <w:top w:val="single" w:sz="8" w:color="auto"/>
            </w:tcBorders>
            <w:shd w:val="clear" w:color="auto" w:fill="CCFFCC"/>
          </w:tcPr>
          <w:p>
            <w:pPr>
              <w:spacing w:after="0"/>
              <w:rPr>
                <w:sz w:val="8"/>
                <w:szCs w:val="8"/>
                <w:color w:val="auto"/>
              </w:rPr>
            </w:pPr>
          </w:p>
        </w:tc>
        <w:tc>
          <w:tcPr>
            <w:tcW w:w="1040" w:type="dxa"/>
            <w:vAlign w:val="bottom"/>
            <w:tcBorders>
              <w:top w:val="single" w:sz="8" w:color="auto"/>
            </w:tcBorders>
            <w:shd w:val="clear" w:color="auto" w:fill="CCFFCC"/>
          </w:tcPr>
          <w:p>
            <w:pPr>
              <w:spacing w:after="0"/>
              <w:rPr>
                <w:sz w:val="8"/>
                <w:szCs w:val="8"/>
                <w:color w:val="auto"/>
              </w:rPr>
            </w:pPr>
          </w:p>
        </w:tc>
        <w:tc>
          <w:tcPr>
            <w:tcW w:w="120" w:type="dxa"/>
            <w:vAlign w:val="bottom"/>
            <w:tcBorders>
              <w:top w:val="single" w:sz="8" w:color="CCFFCC"/>
              <w:right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60" w:type="dxa"/>
            <w:vAlign w:val="bottom"/>
            <w:tcBorders>
              <w:top w:val="single" w:sz="8" w:color="auto"/>
            </w:tcBorders>
            <w:shd w:val="clear" w:color="auto" w:fill="CCFFCC"/>
          </w:tcPr>
          <w:p>
            <w:pPr>
              <w:spacing w:after="0"/>
              <w:rPr>
                <w:sz w:val="8"/>
                <w:szCs w:val="8"/>
                <w:color w:val="auto"/>
              </w:rPr>
            </w:pPr>
          </w:p>
        </w:tc>
        <w:tc>
          <w:tcPr>
            <w:tcW w:w="1180" w:type="dxa"/>
            <w:vAlign w:val="bottom"/>
            <w:tcBorders>
              <w:top w:val="single" w:sz="8" w:color="auto"/>
            </w:tcBorders>
            <w:shd w:val="clear" w:color="auto" w:fill="CCFFCC"/>
          </w:tcPr>
          <w:p>
            <w:pPr>
              <w:spacing w:after="0"/>
              <w:rPr>
                <w:sz w:val="8"/>
                <w:szCs w:val="8"/>
                <w:color w:val="auto"/>
              </w:rPr>
            </w:pPr>
          </w:p>
        </w:tc>
        <w:tc>
          <w:tcPr>
            <w:tcW w:w="120" w:type="dxa"/>
            <w:vAlign w:val="bottom"/>
            <w:tcBorders>
              <w:top w:val="single" w:sz="8" w:color="CCFFCC"/>
              <w:right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140" w:type="dxa"/>
            <w:vAlign w:val="bottom"/>
            <w:tcBorders>
              <w:top w:val="single" w:sz="8" w:color="auto"/>
            </w:tcBorders>
            <w:shd w:val="clear" w:color="auto" w:fill="CCFFCC"/>
          </w:tcPr>
          <w:p>
            <w:pPr>
              <w:spacing w:after="0"/>
              <w:rPr>
                <w:sz w:val="8"/>
                <w:szCs w:val="8"/>
                <w:color w:val="auto"/>
              </w:rPr>
            </w:pPr>
          </w:p>
        </w:tc>
        <w:tc>
          <w:tcPr>
            <w:tcW w:w="1560" w:type="dxa"/>
            <w:vAlign w:val="bottom"/>
            <w:tcBorders>
              <w:top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3"/>
                <w:szCs w:val="13"/>
                <w:color w:val="auto"/>
              </w:rPr>
              <w:t>fee revenue</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4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3,725,000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2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48,000</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2,940,000</w:t>
            </w:r>
          </w:p>
        </w:tc>
        <w:tc>
          <w:tcPr>
            <w:tcW w:w="120" w:type="dxa"/>
            <w:vAlign w:val="bottom"/>
            <w:tcBorders>
              <w:right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9,429,000</w:t>
            </w:r>
          </w:p>
        </w:tc>
        <w:tc>
          <w:tcPr>
            <w:tcW w:w="120" w:type="dxa"/>
            <w:vAlign w:val="bottom"/>
            <w:tcBorders>
              <w:right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3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48,000</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8,729,000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Expenses</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14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180" w:type="dxa"/>
            <w:vAlign w:val="bottom"/>
            <w:shd w:val="clear" w:color="auto" w:fill="CCFFCC"/>
          </w:tcPr>
          <w:p>
            <w:pPr>
              <w:spacing w:after="0"/>
              <w:rPr>
                <w:sz w:val="11"/>
                <w:szCs w:val="11"/>
                <w:color w:val="auto"/>
              </w:rPr>
            </w:pPr>
          </w:p>
        </w:tc>
        <w:tc>
          <w:tcPr>
            <w:tcW w:w="140" w:type="dxa"/>
            <w:vAlign w:val="bottom"/>
            <w:tcBorders>
              <w:right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180" w:type="dxa"/>
            <w:vAlign w:val="bottom"/>
            <w:shd w:val="clear" w:color="auto" w:fill="CCFFCC"/>
          </w:tcPr>
          <w:p>
            <w:pPr>
              <w:spacing w:after="0"/>
              <w:rPr>
                <w:sz w:val="11"/>
                <w:szCs w:val="11"/>
                <w:color w:val="auto"/>
              </w:rPr>
            </w:pP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tcPr>
          <w:p>
            <w:pPr>
              <w:ind w:left="160"/>
              <w:spacing w:after="0" w:line="135" w:lineRule="exact"/>
              <w:rPr>
                <w:sz w:val="20"/>
                <w:szCs w:val="20"/>
                <w:color w:val="auto"/>
              </w:rPr>
            </w:pPr>
            <w:r>
              <w:rPr>
                <w:rFonts w:ascii="Arial" w:cs="Arial" w:eastAsia="Arial" w:hAnsi="Arial"/>
                <w:sz w:val="13"/>
                <w:szCs w:val="13"/>
                <w:color w:val="auto"/>
              </w:rPr>
              <w:t>Design and marketing costs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Borders>
              <w:right w:val="single" w:sz="8" w:color="auto"/>
            </w:tcBorders>
            <w:gridSpan w:val="2"/>
          </w:tcPr>
          <w:p>
            <w:pPr>
              <w:jc w:val="right"/>
              <w:ind w:right="140"/>
              <w:spacing w:after="0" w:line="135" w:lineRule="exact"/>
              <w:rPr>
                <w:sz w:val="20"/>
                <w:szCs w:val="20"/>
                <w:color w:val="auto"/>
              </w:rPr>
            </w:pPr>
            <w:r>
              <w:rPr>
                <w:rFonts w:ascii="Arial" w:cs="Arial" w:eastAsia="Arial" w:hAnsi="Arial"/>
                <w:sz w:val="13"/>
                <w:szCs w:val="13"/>
                <w:color w:val="auto"/>
              </w:rPr>
              <w:t>1,365,000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right w:val="single" w:sz="8" w:color="auto"/>
            </w:tcBorders>
            <w:gridSpan w:val="2"/>
          </w:tcPr>
          <w:p>
            <w:pPr>
              <w:jc w:val="right"/>
              <w:ind w:right="140"/>
              <w:spacing w:after="0" w:line="135" w:lineRule="exact"/>
              <w:rPr>
                <w:sz w:val="20"/>
                <w:szCs w:val="20"/>
                <w:color w:val="auto"/>
              </w:rPr>
            </w:pPr>
            <w:r>
              <w:rPr>
                <w:rFonts w:ascii="Arial" w:cs="Arial" w:eastAsia="Arial" w:hAnsi="Arial"/>
                <w:sz w:val="13"/>
                <w:szCs w:val="13"/>
                <w:color w:val="auto"/>
              </w:rPr>
              <w:t>25,000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938,000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3,668,000</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25,000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2,786,000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40" w:type="dxa"/>
            <w:vAlign w:val="bottom"/>
            <w:shd w:val="clear" w:color="auto" w:fill="CCFFCC"/>
          </w:tcPr>
          <w:p>
            <w:pPr>
              <w:ind w:left="160"/>
              <w:spacing w:after="0" w:line="121" w:lineRule="exact"/>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200" w:type="dxa"/>
            <w:vAlign w:val="bottom"/>
            <w:shd w:val="clear" w:color="auto" w:fill="CCFFCC"/>
          </w:tcPr>
          <w:p>
            <w:pPr>
              <w:spacing w:after="0"/>
              <w:rPr>
                <w:sz w:val="10"/>
                <w:szCs w:val="10"/>
                <w:color w:val="auto"/>
              </w:rPr>
            </w:pPr>
          </w:p>
        </w:tc>
        <w:tc>
          <w:tcPr>
            <w:tcW w:w="140" w:type="dxa"/>
            <w:vAlign w:val="bottom"/>
            <w:tcBorders>
              <w:right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180" w:type="dxa"/>
            <w:vAlign w:val="bottom"/>
            <w:shd w:val="clear" w:color="auto" w:fill="CCFFCC"/>
          </w:tcPr>
          <w:p>
            <w:pPr>
              <w:spacing w:after="0"/>
              <w:rPr>
                <w:sz w:val="10"/>
                <w:szCs w:val="10"/>
                <w:color w:val="auto"/>
              </w:rPr>
            </w:pPr>
          </w:p>
        </w:tc>
        <w:tc>
          <w:tcPr>
            <w:tcW w:w="140" w:type="dxa"/>
            <w:vAlign w:val="bottom"/>
            <w:tcBorders>
              <w:right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380" w:type="dxa"/>
            <w:vAlign w:val="bottom"/>
            <w:shd w:val="clear" w:color="auto" w:fill="CCFFCC"/>
          </w:tcPr>
          <w:p>
            <w:pPr>
              <w:spacing w:after="0"/>
              <w:rPr>
                <w:sz w:val="10"/>
                <w:szCs w:val="10"/>
                <w:color w:val="auto"/>
              </w:rPr>
            </w:pPr>
          </w:p>
        </w:tc>
        <w:tc>
          <w:tcPr>
            <w:tcW w:w="120" w:type="dxa"/>
            <w:vAlign w:val="bottom"/>
            <w:tcBorders>
              <w:right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20" w:type="dxa"/>
            <w:vAlign w:val="bottom"/>
            <w:tcBorders>
              <w:right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180" w:type="dxa"/>
            <w:vAlign w:val="bottom"/>
            <w:shd w:val="clear" w:color="auto" w:fill="CCFFCC"/>
          </w:tcPr>
          <w:p>
            <w:pPr>
              <w:spacing w:after="0"/>
              <w:rPr>
                <w:sz w:val="10"/>
                <w:szCs w:val="10"/>
                <w:color w:val="auto"/>
              </w:rPr>
            </w:pPr>
          </w:p>
        </w:tc>
        <w:tc>
          <w:tcPr>
            <w:tcW w:w="120" w:type="dxa"/>
            <w:vAlign w:val="bottom"/>
            <w:tcBorders>
              <w:right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FFCC"/>
          </w:tcPr>
          <w:p>
            <w:pPr>
              <w:ind w:left="160"/>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4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2,570,000</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2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792,000</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5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421,000</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5,669,000</w:t>
            </w:r>
          </w:p>
        </w:tc>
        <w:tc>
          <w:tcPr>
            <w:tcW w:w="120" w:type="dxa"/>
            <w:vAlign w:val="bottom"/>
            <w:tcBorders>
              <w:right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3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792,000</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1,384,000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40" w:type="dxa"/>
            <w:vAlign w:val="bottom"/>
          </w:tcPr>
          <w:p>
            <w:pPr>
              <w:ind w:left="160"/>
              <w:spacing w:after="0" w:line="121" w:lineRule="exact"/>
              <w:rPr>
                <w:sz w:val="20"/>
                <w:szCs w:val="20"/>
                <w:color w:val="auto"/>
              </w:rPr>
            </w:pPr>
            <w:r>
              <w:rPr>
                <w:rFonts w:ascii="Arial" w:cs="Arial" w:eastAsia="Arial" w:hAnsi="Arial"/>
                <w:sz w:val="13"/>
                <w:szCs w:val="13"/>
                <w:color w:val="auto"/>
                <w:w w:val="98"/>
              </w:rPr>
              <w:t>Acquisition and due diligence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60"/>
              <w:spacing w:after="0"/>
              <w:rPr>
                <w:sz w:val="20"/>
                <w:szCs w:val="20"/>
                <w:color w:val="auto"/>
              </w:rPr>
            </w:pPr>
            <w:r>
              <w:rPr>
                <w:rFonts w:ascii="Arial" w:cs="Arial" w:eastAsia="Arial" w:hAnsi="Arial"/>
                <w:sz w:val="13"/>
                <w:szCs w:val="13"/>
                <w:color w:val="auto"/>
              </w:rPr>
              <w:t>costs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423,000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423,000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FFCC"/>
          </w:tcPr>
          <w:p>
            <w:pPr>
              <w:ind w:left="160"/>
              <w:spacing w:after="0"/>
              <w:rPr>
                <w:sz w:val="20"/>
                <w:szCs w:val="20"/>
                <w:color w:val="auto"/>
              </w:rPr>
            </w:pPr>
            <w:r>
              <w:rPr>
                <w:rFonts w:ascii="Arial" w:cs="Arial" w:eastAsia="Arial" w:hAnsi="Arial"/>
                <w:sz w:val="13"/>
                <w:szCs w:val="13"/>
                <w:color w:val="auto"/>
                <w:w w:val="96"/>
              </w:rPr>
              <w:t>Depreciation and amortization</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4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216,000</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2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2,000</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5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71,000</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640,000</w:t>
            </w:r>
          </w:p>
        </w:tc>
        <w:tc>
          <w:tcPr>
            <w:tcW w:w="120" w:type="dxa"/>
            <w:vAlign w:val="bottom"/>
            <w:tcBorders>
              <w:right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3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211,000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tcBorders>
              <w:bottom w:val="single" w:sz="8" w:color="CCFFCC"/>
            </w:tcBorders>
          </w:tcPr>
          <w:p>
            <w:pPr>
              <w:ind w:left="320"/>
              <w:spacing w:after="0" w:line="129" w:lineRule="exact"/>
              <w:rPr>
                <w:sz w:val="20"/>
                <w:szCs w:val="20"/>
                <w:color w:val="auto"/>
              </w:rPr>
            </w:pPr>
            <w:r>
              <w:rPr>
                <w:rFonts w:ascii="Arial" w:cs="Arial" w:eastAsia="Arial" w:hAnsi="Arial"/>
                <w:sz w:val="13"/>
                <w:szCs w:val="13"/>
                <w:color w:val="auto"/>
              </w:rPr>
              <w:t>Total expenses</w:t>
            </w:r>
          </w:p>
        </w:tc>
        <w:tc>
          <w:tcPr>
            <w:tcW w:w="100" w:type="dxa"/>
            <w:vAlign w:val="bottom"/>
            <w:tcBorders>
              <w:bottom w:val="single" w:sz="8" w:color="CCFFC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4,151,000</w:t>
            </w:r>
          </w:p>
        </w:tc>
        <w:tc>
          <w:tcPr>
            <w:tcW w:w="140" w:type="dxa"/>
            <w:vAlign w:val="bottom"/>
            <w:tcBorders>
              <w:bottom w:val="single" w:sz="8" w:color="CCFFCC"/>
              <w:right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1,242,000</w:t>
            </w:r>
          </w:p>
        </w:tc>
        <w:tc>
          <w:tcPr>
            <w:tcW w:w="140" w:type="dxa"/>
            <w:vAlign w:val="bottom"/>
            <w:tcBorders>
              <w:bottom w:val="single" w:sz="8" w:color="CCFFCC"/>
              <w:right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1,430,000</w:t>
            </w:r>
          </w:p>
        </w:tc>
        <w:tc>
          <w:tcPr>
            <w:tcW w:w="120" w:type="dxa"/>
            <w:vAlign w:val="bottom"/>
            <w:tcBorders>
              <w:bottom w:val="single" w:sz="8" w:color="CCFFCC"/>
              <w:right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9,977,000</w:t>
            </w:r>
          </w:p>
        </w:tc>
        <w:tc>
          <w:tcPr>
            <w:tcW w:w="120" w:type="dxa"/>
            <w:vAlign w:val="bottom"/>
            <w:tcBorders>
              <w:bottom w:val="single" w:sz="8" w:color="CCFFCC"/>
              <w:right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1,242,000</w:t>
            </w:r>
          </w:p>
        </w:tc>
        <w:tc>
          <w:tcPr>
            <w:tcW w:w="120" w:type="dxa"/>
            <w:vAlign w:val="bottom"/>
            <w:tcBorders>
              <w:bottom w:val="single" w:sz="8" w:color="CCFFCC"/>
              <w:right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4,381,000</w:t>
            </w:r>
          </w:p>
        </w:tc>
        <w:tc>
          <w:tcPr>
            <w:tcW w:w="10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14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180" w:type="dxa"/>
            <w:vAlign w:val="bottom"/>
            <w:shd w:val="clear" w:color="auto" w:fill="CCFFCC"/>
          </w:tcPr>
          <w:p>
            <w:pPr>
              <w:spacing w:after="0"/>
              <w:rPr>
                <w:sz w:val="11"/>
                <w:szCs w:val="11"/>
                <w:color w:val="auto"/>
              </w:rPr>
            </w:pPr>
          </w:p>
        </w:tc>
        <w:tc>
          <w:tcPr>
            <w:tcW w:w="140" w:type="dxa"/>
            <w:vAlign w:val="bottom"/>
            <w:tcBorders>
              <w:right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180" w:type="dxa"/>
            <w:vAlign w:val="bottom"/>
            <w:shd w:val="clear" w:color="auto" w:fill="CCFFCC"/>
          </w:tcPr>
          <w:p>
            <w:pPr>
              <w:spacing w:after="0"/>
              <w:rPr>
                <w:sz w:val="11"/>
                <w:szCs w:val="11"/>
                <w:color w:val="auto"/>
              </w:rPr>
            </w:pP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3"/>
                <w:szCs w:val="13"/>
                <w:color w:val="auto"/>
              </w:rPr>
              <w:t>Operating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(426,000)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(1,194,000)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1,510,000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(548,000)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(1,194,000)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3"/>
                <w:szCs w:val="13"/>
                <w:color w:val="auto"/>
              </w:rPr>
              <w:t>4,348,000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12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right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11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right w:val="single" w:sz="8" w:color="auto"/>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13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right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10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right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118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CCFFCC"/>
              <w:right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56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40" w:type="dxa"/>
            <w:vAlign w:val="bottom"/>
          </w:tcPr>
          <w:p>
            <w:pPr>
              <w:spacing w:after="0" w:line="135" w:lineRule="exact"/>
              <w:rPr>
                <w:sz w:val="20"/>
                <w:szCs w:val="20"/>
                <w:color w:val="auto"/>
              </w:rPr>
            </w:pPr>
            <w:r>
              <w:rPr>
                <w:rFonts w:ascii="Arial" w:cs="Arial" w:eastAsia="Arial" w:hAnsi="Arial"/>
                <w:sz w:val="13"/>
                <w:szCs w:val="13"/>
                <w:color w:val="auto"/>
              </w:rPr>
              <w:t>Other expenses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 - debt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40" w:type="dxa"/>
            <w:vAlign w:val="bottom"/>
            <w:tcBorders>
              <w:right w:val="single" w:sz="8" w:color="auto"/>
            </w:tcBorders>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286,000</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20" w:type="dxa"/>
            <w:vAlign w:val="bottom"/>
            <w:tcBorders>
              <w:right w:val="single" w:sz="8" w:color="auto"/>
            </w:tcBorders>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6,000</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500" w:type="dxa"/>
            <w:vAlign w:val="bottom"/>
            <w:tcBorders>
              <w:right w:val="single" w:sz="8" w:color="auto"/>
            </w:tcBorders>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858,000</w:t>
            </w: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300" w:type="dxa"/>
            <w:vAlign w:val="bottom"/>
            <w:tcBorders>
              <w:right w:val="single" w:sz="8" w:color="auto"/>
            </w:tcBorders>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6,000</w:t>
            </w: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40" w:type="dxa"/>
            <w:vAlign w:val="bottom"/>
          </w:tcPr>
          <w:p>
            <w:pPr>
              <w:ind w:left="160"/>
              <w:spacing w:after="0" w:line="121" w:lineRule="exact"/>
              <w:rPr>
                <w:sz w:val="20"/>
                <w:szCs w:val="20"/>
                <w:color w:val="auto"/>
              </w:rPr>
            </w:pPr>
            <w:r>
              <w:rPr>
                <w:rFonts w:ascii="Arial" w:cs="Arial" w:eastAsia="Arial" w:hAnsi="Arial"/>
                <w:sz w:val="13"/>
                <w:szCs w:val="13"/>
                <w:color w:val="auto"/>
              </w:rPr>
              <w:t>Other interest and finance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tcPr>
          <w:p>
            <w:pPr>
              <w:ind w:left="16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262,000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6,000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778,000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6,000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40" w:type="dxa"/>
            <w:vAlign w:val="bottom"/>
            <w:tcBorders>
              <w:top w:val="single" w:sz="8" w:color="CCFFCC"/>
            </w:tcBorders>
            <w:shd w:val="clear" w:color="auto" w:fill="CCFFCC"/>
          </w:tcPr>
          <w:p>
            <w:pPr>
              <w:ind w:left="320"/>
              <w:spacing w:after="0" w:line="101" w:lineRule="exact"/>
              <w:rPr>
                <w:sz w:val="20"/>
                <w:szCs w:val="20"/>
                <w:color w:val="auto"/>
              </w:rPr>
            </w:pPr>
            <w:r>
              <w:rPr>
                <w:rFonts w:ascii="Arial" w:cs="Arial" w:eastAsia="Arial" w:hAnsi="Arial"/>
                <w:sz w:val="11"/>
                <w:szCs w:val="11"/>
                <w:color w:val="auto"/>
              </w:rPr>
              <w:t>Total interest and finance</w:t>
            </w:r>
          </w:p>
        </w:tc>
        <w:tc>
          <w:tcPr>
            <w:tcW w:w="100" w:type="dxa"/>
            <w:vAlign w:val="bottom"/>
            <w:tcBorders>
              <w:top w:val="single" w:sz="8" w:color="CCFFCC"/>
            </w:tcBorders>
            <w:shd w:val="clear" w:color="auto" w:fill="CCFFCC"/>
          </w:tcPr>
          <w:p>
            <w:pPr>
              <w:spacing w:after="0"/>
              <w:rPr>
                <w:sz w:val="8"/>
                <w:szCs w:val="8"/>
                <w:color w:val="auto"/>
              </w:rPr>
            </w:pPr>
          </w:p>
        </w:tc>
        <w:tc>
          <w:tcPr>
            <w:tcW w:w="80" w:type="dxa"/>
            <w:vAlign w:val="bottom"/>
            <w:tcBorders>
              <w:top w:val="single" w:sz="8" w:color="auto"/>
            </w:tcBorders>
            <w:shd w:val="clear" w:color="auto" w:fill="CCFFCC"/>
          </w:tcPr>
          <w:p>
            <w:pPr>
              <w:spacing w:after="0"/>
              <w:rPr>
                <w:sz w:val="8"/>
                <w:szCs w:val="8"/>
                <w:color w:val="auto"/>
              </w:rPr>
            </w:pPr>
          </w:p>
        </w:tc>
        <w:tc>
          <w:tcPr>
            <w:tcW w:w="1200" w:type="dxa"/>
            <w:vAlign w:val="bottom"/>
            <w:tcBorders>
              <w:top w:val="single" w:sz="8" w:color="auto"/>
            </w:tcBorders>
            <w:shd w:val="clear" w:color="auto" w:fill="CCFFCC"/>
          </w:tcPr>
          <w:p>
            <w:pPr>
              <w:spacing w:after="0"/>
              <w:rPr>
                <w:sz w:val="8"/>
                <w:szCs w:val="8"/>
                <w:color w:val="auto"/>
              </w:rPr>
            </w:pPr>
          </w:p>
        </w:tc>
        <w:tc>
          <w:tcPr>
            <w:tcW w:w="140" w:type="dxa"/>
            <w:vAlign w:val="bottom"/>
            <w:tcBorders>
              <w:top w:val="single" w:sz="8" w:color="CCFFCC"/>
              <w:right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80" w:type="dxa"/>
            <w:vAlign w:val="bottom"/>
            <w:tcBorders>
              <w:top w:val="single" w:sz="8" w:color="auto"/>
            </w:tcBorders>
            <w:shd w:val="clear" w:color="auto" w:fill="CCFFCC"/>
          </w:tcPr>
          <w:p>
            <w:pPr>
              <w:spacing w:after="0"/>
              <w:rPr>
                <w:sz w:val="8"/>
                <w:szCs w:val="8"/>
                <w:color w:val="auto"/>
              </w:rPr>
            </w:pPr>
          </w:p>
        </w:tc>
        <w:tc>
          <w:tcPr>
            <w:tcW w:w="1180" w:type="dxa"/>
            <w:vAlign w:val="bottom"/>
            <w:tcBorders>
              <w:top w:val="single" w:sz="8" w:color="auto"/>
            </w:tcBorders>
            <w:shd w:val="clear" w:color="auto" w:fill="CCFFCC"/>
          </w:tcPr>
          <w:p>
            <w:pPr>
              <w:spacing w:after="0"/>
              <w:rPr>
                <w:sz w:val="8"/>
                <w:szCs w:val="8"/>
                <w:color w:val="auto"/>
              </w:rPr>
            </w:pPr>
          </w:p>
        </w:tc>
        <w:tc>
          <w:tcPr>
            <w:tcW w:w="140" w:type="dxa"/>
            <w:vAlign w:val="bottom"/>
            <w:tcBorders>
              <w:top w:val="single" w:sz="8" w:color="CCFFCC"/>
              <w:right w:val="single" w:sz="8" w:color="auto"/>
            </w:tcBorders>
            <w:shd w:val="clear" w:color="auto" w:fill="CCFFCC"/>
          </w:tcPr>
          <w:p>
            <w:pPr>
              <w:spacing w:after="0"/>
              <w:rPr>
                <w:sz w:val="8"/>
                <w:szCs w:val="8"/>
                <w:color w:val="auto"/>
              </w:rPr>
            </w:pPr>
          </w:p>
        </w:tc>
        <w:tc>
          <w:tcPr>
            <w:tcW w:w="120" w:type="dxa"/>
            <w:vAlign w:val="bottom"/>
            <w:tcBorders>
              <w:top w:val="single" w:sz="8" w:color="CCFFCC"/>
            </w:tcBorders>
            <w:shd w:val="clear" w:color="auto" w:fill="CCFFCC"/>
          </w:tcPr>
          <w:p>
            <w:pPr>
              <w:spacing w:after="0"/>
              <w:rPr>
                <w:sz w:val="8"/>
                <w:szCs w:val="8"/>
                <w:color w:val="auto"/>
              </w:rPr>
            </w:pPr>
          </w:p>
        </w:tc>
        <w:tc>
          <w:tcPr>
            <w:tcW w:w="100" w:type="dxa"/>
            <w:vAlign w:val="bottom"/>
            <w:tcBorders>
              <w:top w:val="single" w:sz="8" w:color="auto"/>
            </w:tcBorders>
            <w:shd w:val="clear" w:color="auto" w:fill="CCFFCC"/>
          </w:tcPr>
          <w:p>
            <w:pPr>
              <w:spacing w:after="0"/>
              <w:rPr>
                <w:sz w:val="8"/>
                <w:szCs w:val="8"/>
                <w:color w:val="auto"/>
              </w:rPr>
            </w:pPr>
          </w:p>
        </w:tc>
        <w:tc>
          <w:tcPr>
            <w:tcW w:w="1380" w:type="dxa"/>
            <w:vAlign w:val="bottom"/>
            <w:tcBorders>
              <w:top w:val="single" w:sz="8" w:color="auto"/>
            </w:tcBorders>
            <w:shd w:val="clear" w:color="auto" w:fill="CCFFCC"/>
          </w:tcPr>
          <w:p>
            <w:pPr>
              <w:spacing w:after="0"/>
              <w:rPr>
                <w:sz w:val="8"/>
                <w:szCs w:val="8"/>
                <w:color w:val="auto"/>
              </w:rPr>
            </w:pPr>
          </w:p>
        </w:tc>
        <w:tc>
          <w:tcPr>
            <w:tcW w:w="120" w:type="dxa"/>
            <w:vAlign w:val="bottom"/>
            <w:tcBorders>
              <w:top w:val="single" w:sz="8" w:color="CCFFCC"/>
              <w:right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200" w:type="dxa"/>
            <w:vAlign w:val="bottom"/>
            <w:tcBorders>
              <w:top w:val="single" w:sz="8" w:color="auto"/>
            </w:tcBorders>
            <w:shd w:val="clear" w:color="auto" w:fill="CCFFCC"/>
          </w:tcPr>
          <w:p>
            <w:pPr>
              <w:spacing w:after="0"/>
              <w:rPr>
                <w:sz w:val="8"/>
                <w:szCs w:val="8"/>
                <w:color w:val="auto"/>
              </w:rPr>
            </w:pPr>
          </w:p>
        </w:tc>
        <w:tc>
          <w:tcPr>
            <w:tcW w:w="1040" w:type="dxa"/>
            <w:vAlign w:val="bottom"/>
            <w:tcBorders>
              <w:top w:val="single" w:sz="8" w:color="auto"/>
            </w:tcBorders>
            <w:shd w:val="clear" w:color="auto" w:fill="CCFFCC"/>
          </w:tcPr>
          <w:p>
            <w:pPr>
              <w:spacing w:after="0"/>
              <w:rPr>
                <w:sz w:val="8"/>
                <w:szCs w:val="8"/>
                <w:color w:val="auto"/>
              </w:rPr>
            </w:pPr>
          </w:p>
        </w:tc>
        <w:tc>
          <w:tcPr>
            <w:tcW w:w="120" w:type="dxa"/>
            <w:vAlign w:val="bottom"/>
            <w:tcBorders>
              <w:top w:val="single" w:sz="8" w:color="CCFFCC"/>
              <w:right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60" w:type="dxa"/>
            <w:vAlign w:val="bottom"/>
            <w:tcBorders>
              <w:top w:val="single" w:sz="8" w:color="auto"/>
            </w:tcBorders>
            <w:shd w:val="clear" w:color="auto" w:fill="CCFFCC"/>
          </w:tcPr>
          <w:p>
            <w:pPr>
              <w:spacing w:after="0"/>
              <w:rPr>
                <w:sz w:val="8"/>
                <w:szCs w:val="8"/>
                <w:color w:val="auto"/>
              </w:rPr>
            </w:pPr>
          </w:p>
        </w:tc>
        <w:tc>
          <w:tcPr>
            <w:tcW w:w="1180" w:type="dxa"/>
            <w:vAlign w:val="bottom"/>
            <w:tcBorders>
              <w:top w:val="single" w:sz="8" w:color="auto"/>
            </w:tcBorders>
            <w:shd w:val="clear" w:color="auto" w:fill="CCFFCC"/>
          </w:tcPr>
          <w:p>
            <w:pPr>
              <w:spacing w:after="0"/>
              <w:rPr>
                <w:sz w:val="8"/>
                <w:szCs w:val="8"/>
                <w:color w:val="auto"/>
              </w:rPr>
            </w:pPr>
          </w:p>
        </w:tc>
        <w:tc>
          <w:tcPr>
            <w:tcW w:w="120" w:type="dxa"/>
            <w:vAlign w:val="bottom"/>
            <w:tcBorders>
              <w:top w:val="single" w:sz="8" w:color="CCFFCC"/>
              <w:right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140" w:type="dxa"/>
            <w:vAlign w:val="bottom"/>
            <w:tcBorders>
              <w:top w:val="single" w:sz="8" w:color="auto"/>
            </w:tcBorders>
            <w:shd w:val="clear" w:color="auto" w:fill="CCFFCC"/>
          </w:tcPr>
          <w:p>
            <w:pPr>
              <w:spacing w:after="0"/>
              <w:rPr>
                <w:sz w:val="8"/>
                <w:szCs w:val="8"/>
                <w:color w:val="auto"/>
              </w:rPr>
            </w:pPr>
          </w:p>
        </w:tc>
        <w:tc>
          <w:tcPr>
            <w:tcW w:w="1560" w:type="dxa"/>
            <w:vAlign w:val="bottom"/>
            <w:tcBorders>
              <w:top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shd w:val="clear" w:color="auto" w:fill="CCFFCC"/>
          </w:tcPr>
          <w:p>
            <w:pPr>
              <w:ind w:left="320"/>
              <w:spacing w:after="0"/>
              <w:rPr>
                <w:sz w:val="20"/>
                <w:szCs w:val="20"/>
                <w:color w:val="auto"/>
              </w:rPr>
            </w:pPr>
            <w:r>
              <w:rPr>
                <w:rFonts w:ascii="Arial" w:cs="Arial" w:eastAsia="Arial" w:hAnsi="Arial"/>
                <w:sz w:val="13"/>
                <w:szCs w:val="13"/>
                <w:color w:val="auto"/>
              </w:rPr>
              <w:t>costs</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4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548,000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2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12,000</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5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1,636,000</w:t>
            </w:r>
          </w:p>
        </w:tc>
        <w:tc>
          <w:tcPr>
            <w:tcW w:w="120" w:type="dxa"/>
            <w:vAlign w:val="bottom"/>
            <w:tcBorders>
              <w:right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3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12,000</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91"/>
              </w:rPr>
              <w:t>Income (loss) before income taxes</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40" w:type="dxa"/>
            <w:vAlign w:val="bottom"/>
            <w:tcBorders>
              <w:right w:val="single" w:sz="8" w:color="auto"/>
            </w:tcBorders>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(974,000)</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20" w:type="dxa"/>
            <w:vAlign w:val="bottom"/>
            <w:tcBorders>
              <w:right w:val="single" w:sz="8" w:color="auto"/>
            </w:tcBorders>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(1,206,000)</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3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1,510,000</w:t>
            </w: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160" w:type="dxa"/>
            <w:vAlign w:val="bottom"/>
            <w:tcBorders>
              <w:right w:val="single" w:sz="8" w:color="auto"/>
            </w:tcBorders>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(2,184,000)</w:t>
            </w: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300" w:type="dxa"/>
            <w:vAlign w:val="bottom"/>
            <w:tcBorders>
              <w:right w:val="single" w:sz="8" w:color="auto"/>
            </w:tcBorders>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(1,206,000)</w:t>
            </w: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4,348,000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3"/>
                <w:szCs w:val="13"/>
                <w:color w:val="auto"/>
              </w:rPr>
              <w:t>Income tax provision (benefit)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40" w:type="dxa"/>
            <w:vAlign w:val="bottom"/>
            <w:tcBorders>
              <w:right w:val="single" w:sz="8" w:color="auto"/>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(502,000)</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2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5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60" w:type="dxa"/>
            <w:vAlign w:val="bottom"/>
            <w:tcBorders>
              <w:right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(520,000)</w:t>
            </w:r>
          </w:p>
        </w:tc>
        <w:tc>
          <w:tcPr>
            <w:tcW w:w="1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3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175,000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3"/>
                <w:szCs w:val="13"/>
                <w:color w:val="auto"/>
              </w:rPr>
              <w:t>Net (loss) income</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gridSpan w:val="2"/>
            <w:shd w:val="clear" w:color="auto" w:fill="CCFFCC"/>
          </w:tcPr>
          <w:p>
            <w:pPr>
              <w:jc w:val="right"/>
              <w:ind w:right="100"/>
              <w:spacing w:after="0" w:line="162" w:lineRule="exact"/>
              <w:rPr>
                <w:sz w:val="20"/>
                <w:szCs w:val="20"/>
                <w:color w:val="auto"/>
              </w:rPr>
            </w:pPr>
            <w:r>
              <w:rPr>
                <w:rFonts w:ascii="Arial" w:cs="Arial" w:eastAsia="Arial" w:hAnsi="Arial"/>
                <w:sz w:val="10"/>
                <w:szCs w:val="10"/>
                <w:color w:val="auto"/>
              </w:rPr>
              <w:t>(472,000</w:t>
            </w:r>
            <w:r>
              <w:rPr>
                <w:rFonts w:ascii="Arial" w:cs="Arial" w:eastAsia="Arial" w:hAnsi="Arial"/>
                <w:sz w:val="18"/>
                <w:szCs w:val="18"/>
                <w:color w:val="auto"/>
                <w:vertAlign w:val="superscript"/>
              </w:rPr>
              <w:t>)</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Borders>
              <w:right w:val="single" w:sz="8" w:color="auto"/>
            </w:tcBorders>
            <w:gridSpan w:val="2"/>
            <w:shd w:val="clear" w:color="auto" w:fill="CCFFCC"/>
          </w:tcPr>
          <w:p>
            <w:pPr>
              <w:jc w:val="right"/>
              <w:ind w:right="80"/>
              <w:spacing w:after="0" w:line="162" w:lineRule="exact"/>
              <w:rPr>
                <w:sz w:val="20"/>
                <w:szCs w:val="20"/>
                <w:color w:val="auto"/>
              </w:rPr>
            </w:pPr>
            <w:r>
              <w:rPr>
                <w:rFonts w:ascii="Arial" w:cs="Arial" w:eastAsia="Arial" w:hAnsi="Arial"/>
                <w:sz w:val="10"/>
                <w:szCs w:val="10"/>
                <w:color w:val="auto"/>
              </w:rPr>
              <w:t>(1,207,000</w:t>
            </w:r>
            <w:r>
              <w:rPr>
                <w:rFonts w:ascii="Arial" w:cs="Arial" w:eastAsia="Arial" w:hAnsi="Arial"/>
                <w:sz w:val="18"/>
                <w:szCs w:val="18"/>
                <w:color w:val="auto"/>
                <w:vertAlign w:val="superscript"/>
              </w:rPr>
              <w:t>)</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1,507,000</w:t>
            </w:r>
          </w:p>
        </w:tc>
        <w:tc>
          <w:tcPr>
            <w:tcW w:w="120" w:type="dxa"/>
            <w:vAlign w:val="bottom"/>
            <w:tcBorders>
              <w:right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jc w:val="right"/>
              <w:ind w:right="86"/>
              <w:spacing w:after="0"/>
              <w:rPr>
                <w:sz w:val="20"/>
                <w:szCs w:val="20"/>
                <w:color w:val="auto"/>
              </w:rPr>
            </w:pPr>
            <w:r>
              <w:rPr>
                <w:rFonts w:ascii="Arial" w:cs="Arial" w:eastAsia="Arial" w:hAnsi="Arial"/>
                <w:sz w:val="9"/>
                <w:szCs w:val="9"/>
                <w:color w:val="auto"/>
                <w:w w:val="78"/>
              </w:rPr>
              <w:t>$</w:t>
            </w:r>
          </w:p>
        </w:tc>
        <w:tc>
          <w:tcPr>
            <w:tcW w:w="1160" w:type="dxa"/>
            <w:vAlign w:val="bottom"/>
            <w:tcBorders>
              <w:right w:val="single" w:sz="8" w:color="auto"/>
            </w:tcBorders>
            <w:gridSpan w:val="2"/>
            <w:shd w:val="clear" w:color="auto" w:fill="CCFFCC"/>
          </w:tcPr>
          <w:p>
            <w:pPr>
              <w:jc w:val="right"/>
              <w:ind w:right="80"/>
              <w:spacing w:after="0" w:line="162" w:lineRule="exact"/>
              <w:rPr>
                <w:sz w:val="20"/>
                <w:szCs w:val="20"/>
                <w:color w:val="auto"/>
              </w:rPr>
            </w:pPr>
            <w:r>
              <w:rPr>
                <w:rFonts w:ascii="Arial" w:cs="Arial" w:eastAsia="Arial" w:hAnsi="Arial"/>
                <w:sz w:val="10"/>
                <w:szCs w:val="10"/>
                <w:color w:val="auto"/>
              </w:rPr>
              <w:t>(1,664,000</w:t>
            </w:r>
            <w:r>
              <w:rPr>
                <w:rFonts w:ascii="Arial" w:cs="Arial" w:eastAsia="Arial" w:hAnsi="Arial"/>
                <w:sz w:val="18"/>
                <w:szCs w:val="18"/>
                <w:color w:val="auto"/>
                <w:vertAlign w:val="superscript"/>
              </w:rPr>
              <w:t>)</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auto"/>
            </w:tcBorders>
            <w:gridSpan w:val="2"/>
            <w:shd w:val="clear" w:color="auto" w:fill="CCFFCC"/>
          </w:tcPr>
          <w:p>
            <w:pPr>
              <w:jc w:val="right"/>
              <w:ind w:right="80"/>
              <w:spacing w:after="0" w:line="162" w:lineRule="exact"/>
              <w:rPr>
                <w:sz w:val="20"/>
                <w:szCs w:val="20"/>
                <w:color w:val="auto"/>
              </w:rPr>
            </w:pPr>
            <w:r>
              <w:rPr>
                <w:rFonts w:ascii="Arial" w:cs="Arial" w:eastAsia="Arial" w:hAnsi="Arial"/>
                <w:sz w:val="10"/>
                <w:szCs w:val="10"/>
                <w:color w:val="auto"/>
              </w:rPr>
              <w:t>(1,207,000</w:t>
            </w:r>
            <w:r>
              <w:rPr>
                <w:rFonts w:ascii="Arial" w:cs="Arial" w:eastAsia="Arial" w:hAnsi="Arial"/>
                <w:sz w:val="18"/>
                <w:szCs w:val="18"/>
                <w:color w:val="auto"/>
                <w:vertAlign w:val="superscript"/>
              </w:rPr>
              <w:t>)</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w:t>
            </w: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4,173,000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right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right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right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right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right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4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(Loss) per share:</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14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180" w:type="dxa"/>
            <w:vAlign w:val="bottom"/>
            <w:shd w:val="clear" w:color="auto" w:fill="CCFFCC"/>
          </w:tcPr>
          <w:p>
            <w:pPr>
              <w:spacing w:after="0"/>
              <w:rPr>
                <w:sz w:val="11"/>
                <w:szCs w:val="11"/>
                <w:color w:val="auto"/>
              </w:rPr>
            </w:pPr>
          </w:p>
        </w:tc>
        <w:tc>
          <w:tcPr>
            <w:tcW w:w="140" w:type="dxa"/>
            <w:vAlign w:val="bottom"/>
            <w:tcBorders>
              <w:right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180" w:type="dxa"/>
            <w:vAlign w:val="bottom"/>
            <w:shd w:val="clear" w:color="auto" w:fill="CCFFCC"/>
          </w:tcPr>
          <w:p>
            <w:pPr>
              <w:spacing w:after="0"/>
              <w:rPr>
                <w:sz w:val="11"/>
                <w:szCs w:val="11"/>
                <w:color w:val="auto"/>
              </w:rPr>
            </w:pPr>
          </w:p>
        </w:tc>
        <w:tc>
          <w:tcPr>
            <w:tcW w:w="120" w:type="dxa"/>
            <w:vAlign w:val="bottom"/>
            <w:tcBorders>
              <w:right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Arial" w:cs="Arial" w:eastAsia="Arial" w:hAnsi="Arial"/>
                <w:sz w:val="13"/>
                <w:szCs w:val="13"/>
                <w:color w:val="auto"/>
              </w:rPr>
              <w:t>Basic and diluted</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gridSpan w:val="2"/>
          </w:tcPr>
          <w:p>
            <w:pPr>
              <w:jc w:val="right"/>
              <w:ind w:right="100"/>
              <w:spacing w:after="0" w:line="162" w:lineRule="exact"/>
              <w:rPr>
                <w:sz w:val="20"/>
                <w:szCs w:val="20"/>
                <w:color w:val="auto"/>
              </w:rPr>
            </w:pPr>
            <w:r>
              <w:rPr>
                <w:rFonts w:ascii="Arial" w:cs="Arial" w:eastAsia="Arial" w:hAnsi="Arial"/>
                <w:sz w:val="10"/>
                <w:szCs w:val="10"/>
                <w:color w:val="auto"/>
              </w:rPr>
              <w:t>(0.06</w:t>
            </w:r>
            <w:r>
              <w:rPr>
                <w:rFonts w:ascii="Arial" w:cs="Arial" w:eastAsia="Arial" w:hAnsi="Arial"/>
                <w:sz w:val="18"/>
                <w:szCs w:val="18"/>
                <w:color w:val="auto"/>
                <w:vertAlign w:val="superscript"/>
              </w:rPr>
              <w:t>)</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Borders>
              <w:right w:val="single" w:sz="8" w:color="auto"/>
            </w:tcBorders>
            <w:gridSpan w:val="2"/>
          </w:tcPr>
          <w:p>
            <w:pPr>
              <w:jc w:val="right"/>
              <w:ind w:right="80"/>
              <w:spacing w:after="0" w:line="162" w:lineRule="exact"/>
              <w:rPr>
                <w:sz w:val="20"/>
                <w:szCs w:val="20"/>
                <w:color w:val="auto"/>
              </w:rPr>
            </w:pPr>
            <w:r>
              <w:rPr>
                <w:rFonts w:ascii="Arial" w:cs="Arial" w:eastAsia="Arial" w:hAnsi="Arial"/>
                <w:sz w:val="10"/>
                <w:szCs w:val="10"/>
                <w:color w:val="auto"/>
              </w:rPr>
              <w:t>(0.21</w:t>
            </w:r>
            <w:r>
              <w:rPr>
                <w:rFonts w:ascii="Arial" w:cs="Arial" w:eastAsia="Arial" w:hAnsi="Arial"/>
                <w:sz w:val="18"/>
                <w:szCs w:val="18"/>
                <w:color w:val="auto"/>
                <w:vertAlign w:val="superscript"/>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86"/>
              <w:spacing w:after="0"/>
              <w:rPr>
                <w:sz w:val="20"/>
                <w:szCs w:val="20"/>
                <w:color w:val="auto"/>
              </w:rPr>
            </w:pPr>
            <w:r>
              <w:rPr>
                <w:rFonts w:ascii="Arial" w:cs="Arial" w:eastAsia="Arial" w:hAnsi="Arial"/>
                <w:sz w:val="9"/>
                <w:szCs w:val="9"/>
                <w:color w:val="auto"/>
                <w:w w:val="78"/>
              </w:rPr>
              <w:t>$</w:t>
            </w:r>
          </w:p>
        </w:tc>
        <w:tc>
          <w:tcPr>
            <w:tcW w:w="1160" w:type="dxa"/>
            <w:vAlign w:val="bottom"/>
            <w:tcBorders>
              <w:right w:val="single" w:sz="8" w:color="auto"/>
            </w:tcBorders>
            <w:gridSpan w:val="2"/>
          </w:tcPr>
          <w:p>
            <w:pPr>
              <w:jc w:val="right"/>
              <w:ind w:right="80"/>
              <w:spacing w:after="0" w:line="162" w:lineRule="exact"/>
              <w:rPr>
                <w:sz w:val="20"/>
                <w:szCs w:val="20"/>
                <w:color w:val="auto"/>
              </w:rPr>
            </w:pPr>
            <w:r>
              <w:rPr>
                <w:rFonts w:ascii="Arial" w:cs="Arial" w:eastAsia="Arial" w:hAnsi="Arial"/>
                <w:sz w:val="10"/>
                <w:szCs w:val="10"/>
                <w:color w:val="auto"/>
              </w:rPr>
              <w:t>(0.25</w:t>
            </w:r>
            <w:r>
              <w:rPr>
                <w:rFonts w:ascii="Arial" w:cs="Arial" w:eastAsia="Arial" w:hAnsi="Arial"/>
                <w:sz w:val="18"/>
                <w:szCs w:val="18"/>
                <w:color w:val="auto"/>
                <w:vertAlign w:val="superscript"/>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auto"/>
            </w:tcBorders>
            <w:gridSpan w:val="2"/>
          </w:tcPr>
          <w:p>
            <w:pPr>
              <w:jc w:val="right"/>
              <w:ind w:right="80"/>
              <w:spacing w:after="0" w:line="162" w:lineRule="exact"/>
              <w:rPr>
                <w:sz w:val="20"/>
                <w:szCs w:val="20"/>
                <w:color w:val="auto"/>
              </w:rPr>
            </w:pPr>
            <w:r>
              <w:rPr>
                <w:rFonts w:ascii="Arial" w:cs="Arial" w:eastAsia="Arial" w:hAnsi="Arial"/>
                <w:sz w:val="10"/>
                <w:szCs w:val="10"/>
                <w:color w:val="auto"/>
              </w:rPr>
              <w:t>(0.21</w:t>
            </w:r>
            <w:r>
              <w:rPr>
                <w:rFonts w:ascii="Arial" w:cs="Arial" w:eastAsia="Arial" w:hAnsi="Arial"/>
                <w:sz w:val="18"/>
                <w:szCs w:val="18"/>
                <w:color w:val="auto"/>
                <w:vertAlign w:val="superscript"/>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84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120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right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1180" w:type="dxa"/>
            <w:vAlign w:val="bottom"/>
            <w:tcBorders>
              <w:top w:val="single" w:sz="8" w:color="auto"/>
            </w:tcBorders>
            <w:shd w:val="clear" w:color="auto" w:fill="CCFFCC"/>
          </w:tcPr>
          <w:p>
            <w:pPr>
              <w:spacing w:after="0"/>
              <w:rPr>
                <w:sz w:val="10"/>
                <w:szCs w:val="10"/>
                <w:color w:val="auto"/>
              </w:rPr>
            </w:pPr>
          </w:p>
        </w:tc>
        <w:tc>
          <w:tcPr>
            <w:tcW w:w="140" w:type="dxa"/>
            <w:vAlign w:val="bottom"/>
            <w:tcBorders>
              <w:top w:val="single" w:sz="8" w:color="CCFFCC"/>
              <w:right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38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right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spacing w:after="0"/>
              <w:rPr>
                <w:sz w:val="10"/>
                <w:szCs w:val="10"/>
                <w:color w:val="auto"/>
              </w:rPr>
            </w:pPr>
          </w:p>
        </w:tc>
        <w:tc>
          <w:tcPr>
            <w:tcW w:w="104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right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auto"/>
            </w:tcBorders>
            <w:shd w:val="clear" w:color="auto" w:fill="CCFFCC"/>
          </w:tcPr>
          <w:p>
            <w:pPr>
              <w:spacing w:after="0"/>
              <w:rPr>
                <w:sz w:val="10"/>
                <w:szCs w:val="10"/>
                <w:color w:val="auto"/>
              </w:rPr>
            </w:pPr>
          </w:p>
        </w:tc>
        <w:tc>
          <w:tcPr>
            <w:tcW w:w="118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right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CCFFCC"/>
            </w:tcBorders>
            <w:shd w:val="clear" w:color="auto" w:fill="CCFFCC"/>
          </w:tcPr>
          <w:p>
            <w:pPr>
              <w:spacing w:after="0"/>
              <w:rPr>
                <w:sz w:val="10"/>
                <w:szCs w:val="10"/>
                <w:color w:val="auto"/>
              </w:rPr>
            </w:pPr>
          </w:p>
        </w:tc>
        <w:tc>
          <w:tcPr>
            <w:tcW w:w="156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840" w:type="dxa"/>
            <w:vAlign w:val="bottom"/>
          </w:tcPr>
          <w:p>
            <w:pPr>
              <w:spacing w:after="0" w:line="117" w:lineRule="exact"/>
              <w:rPr>
                <w:sz w:val="20"/>
                <w:szCs w:val="20"/>
                <w:color w:val="auto"/>
              </w:rPr>
            </w:pPr>
            <w:r>
              <w:rPr>
                <w:rFonts w:ascii="Arial" w:cs="Arial" w:eastAsia="Arial" w:hAnsi="Arial"/>
                <w:sz w:val="13"/>
                <w:szCs w:val="13"/>
                <w:b w:val="1"/>
                <w:bCs w:val="1"/>
                <w:color w:val="auto"/>
              </w:rPr>
              <w:t>Weighted average number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spacing w:after="0"/>
              <w:rPr>
                <w:sz w:val="20"/>
                <w:szCs w:val="20"/>
                <w:color w:val="auto"/>
              </w:rPr>
            </w:pPr>
            <w:r>
              <w:rPr>
                <w:rFonts w:ascii="Arial" w:cs="Arial" w:eastAsia="Arial" w:hAnsi="Arial"/>
                <w:sz w:val="13"/>
                <w:szCs w:val="13"/>
                <w:b w:val="1"/>
                <w:bCs w:val="1"/>
                <w:color w:val="auto"/>
              </w:rPr>
              <w:t>common shares outstanding: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FFCC"/>
          </w:tcPr>
          <w:p>
            <w:pPr>
              <w:spacing w:after="0"/>
              <w:rPr>
                <w:sz w:val="20"/>
                <w:szCs w:val="20"/>
                <w:color w:val="auto"/>
              </w:rPr>
            </w:pPr>
            <w:r>
              <w:rPr>
                <w:rFonts w:ascii="Arial" w:cs="Arial" w:eastAsia="Arial" w:hAnsi="Arial"/>
                <w:sz w:val="13"/>
                <w:szCs w:val="13"/>
                <w:color w:val="auto"/>
              </w:rPr>
              <w:t>Basic and diluted</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4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7,517,151</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2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5,743,319</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380" w:type="dxa"/>
            <w:vAlign w:val="bottom"/>
            <w:shd w:val="clear" w:color="auto" w:fill="CCFFCC"/>
          </w:tcPr>
          <w:p>
            <w:pPr>
              <w:spacing w:after="0"/>
              <w:rPr>
                <w:sz w:val="14"/>
                <w:szCs w:val="14"/>
                <w:color w:val="auto"/>
              </w:rPr>
            </w:pPr>
          </w:p>
        </w:tc>
        <w:tc>
          <w:tcPr>
            <w:tcW w:w="120" w:type="dxa"/>
            <w:vAlign w:val="bottom"/>
            <w:tcBorders>
              <w:right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6,772,244</w:t>
            </w:r>
          </w:p>
        </w:tc>
        <w:tc>
          <w:tcPr>
            <w:tcW w:w="120" w:type="dxa"/>
            <w:vAlign w:val="bottom"/>
            <w:tcBorders>
              <w:right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3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5,743,319</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5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5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040" w:type="dxa"/>
            <w:vAlign w:val="bottom"/>
            <w:gridSpan w:val="5"/>
          </w:tcPr>
          <w:p>
            <w:pPr>
              <w:ind w:left="80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 - in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Capital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Balances, January 1, 2012</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5,810,444</w:t>
            </w:r>
          </w:p>
        </w:tc>
        <w:tc>
          <w:tcPr>
            <w:tcW w:w="2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17,904,000</w:t>
            </w:r>
          </w:p>
        </w:tc>
        <w:tc>
          <w:tcPr>
            <w:tcW w:w="18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FFCC"/>
          </w:tcPr>
          <w:p>
            <w:pPr>
              <w:ind w:left="360"/>
              <w:spacing w:after="0"/>
              <w:rPr>
                <w:sz w:val="20"/>
                <w:szCs w:val="20"/>
                <w:color w:val="auto"/>
              </w:rPr>
            </w:pPr>
            <w:r>
              <w:rPr>
                <w:rFonts w:ascii="Arial" w:cs="Arial" w:eastAsia="Arial" w:hAnsi="Arial"/>
                <w:sz w:val="18"/>
                <w:szCs w:val="18"/>
                <w:color w:val="auto"/>
                <w:w w:val="82"/>
              </w:rPr>
              <w:t>(1,292,000)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16,618,000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Warrants issued in connection with licensing</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agreement</w:t>
            </w:r>
          </w:p>
        </w:tc>
        <w:tc>
          <w:tcPr>
            <w:tcW w:w="12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23,000</w:t>
            </w: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Direct costs relating to equity placement.</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(3,000)</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Compensation expense in connection with stock</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options and warrants to directors and management</w:t>
            </w:r>
          </w:p>
        </w:tc>
        <w:tc>
          <w:tcPr>
            <w:tcW w:w="12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85,000</w:t>
            </w: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Shares issued to employees and directors in connection</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with restricted stock grants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1,544,943</w:t>
            </w:r>
          </w:p>
        </w:tc>
        <w:tc>
          <w:tcPr>
            <w:tcW w:w="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4,634,000</w:t>
            </w: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4,635,000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Unamortized portion of restricted stock</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(1,291,000)</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Shares issued on exercise of warrants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162,500</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Forfeiture of prior stock grants</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(2,000)</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loss for the nine months ended September 30,</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2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w w:val="97"/>
              </w:rPr>
              <w:t>(1,664,000)</w:t>
            </w:r>
          </w:p>
        </w:tc>
        <w:tc>
          <w:tcPr>
            <w:tcW w:w="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(1,664,000)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Balances, September 30, 2012</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7,517,137</w:t>
            </w:r>
          </w:p>
        </w:tc>
        <w:tc>
          <w:tcPr>
            <w:tcW w:w="240" w:type="dxa"/>
            <w:vAlign w:val="bottom"/>
            <w:shd w:val="clear" w:color="auto" w:fill="CCFFCC"/>
          </w:tcPr>
          <w:p>
            <w:pPr>
              <w:spacing w:after="0"/>
              <w:rPr>
                <w:sz w:val="21"/>
                <w:szCs w:val="21"/>
                <w:color w:val="auto"/>
              </w:rPr>
            </w:pPr>
          </w:p>
        </w:tc>
        <w:tc>
          <w:tcPr>
            <w:tcW w:w="220" w:type="dxa"/>
            <w:vAlign w:val="bottom"/>
            <w:shd w:val="clear" w:color="auto" w:fill="CCFFCC"/>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7,000</w:t>
            </w:r>
          </w:p>
        </w:tc>
        <w:tc>
          <w:tcPr>
            <w:tcW w:w="260" w:type="dxa"/>
            <w:vAlign w:val="bottom"/>
            <w:shd w:val="clear" w:color="auto" w:fill="CCFFCC"/>
          </w:tcPr>
          <w:p>
            <w:pPr>
              <w:spacing w:after="0"/>
              <w:rPr>
                <w:sz w:val="21"/>
                <w:szCs w:val="21"/>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21,351,000</w:t>
            </w:r>
          </w:p>
        </w:tc>
        <w:tc>
          <w:tcPr>
            <w:tcW w:w="180" w:type="dxa"/>
            <w:vAlign w:val="bottom"/>
            <w:shd w:val="clear" w:color="auto" w:fill="CCFFCC"/>
          </w:tcPr>
          <w:p>
            <w:pPr>
              <w:spacing w:after="0"/>
              <w:rPr>
                <w:sz w:val="21"/>
                <w:szCs w:val="21"/>
                <w:color w:val="auto"/>
              </w:rPr>
            </w:pP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w w:val="97"/>
              </w:rPr>
              <w:t>(2,956,000)</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18,402,000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560" w:type="dxa"/>
            <w:vAlign w:val="bottom"/>
            <w:gridSpan w:val="9"/>
          </w:tcPr>
          <w:p>
            <w:pPr>
              <w:jc w:val="right"/>
              <w:ind w:right="40"/>
              <w:spacing w:after="0"/>
              <w:rPr>
                <w:sz w:val="20"/>
                <w:szCs w:val="20"/>
                <w:color w:val="auto"/>
              </w:rPr>
            </w:pPr>
            <w:r>
              <w:rPr>
                <w:rFonts w:ascii="Arial" w:cs="Arial" w:eastAsia="Arial" w:hAnsi="Arial"/>
                <w:sz w:val="18"/>
                <w:szCs w:val="18"/>
                <w:color w:val="auto"/>
              </w:rPr>
              <w:t>See Notes to Unaudited Condensed Consolidated Interim Financial Statements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w w:val="99"/>
              </w:rPr>
              <w:t>5</w:t>
            </w: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5" w:name="page6"/>
    <w:bookmarkEnd w:id="5"/>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For the Nine</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For the period</w:t>
            </w:r>
          </w:p>
        </w:tc>
        <w:tc>
          <w:tcPr>
            <w:tcW w:w="120" w:type="dxa"/>
            <w:vAlign w:val="bottom"/>
          </w:tcPr>
          <w:p>
            <w:pPr>
              <w:spacing w:after="0"/>
              <w:rPr>
                <w:sz w:val="18"/>
                <w:szCs w:val="18"/>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Months Ended</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 29, 2011 to</w:t>
            </w:r>
          </w:p>
        </w:tc>
        <w:tc>
          <w:tcPr>
            <w:tcW w:w="120" w:type="dxa"/>
            <w:vAlign w:val="bottom"/>
          </w:tcPr>
          <w:p>
            <w:pPr>
              <w:spacing w:after="0"/>
              <w:rPr>
                <w:sz w:val="18"/>
                <w:szCs w:val="18"/>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Jan. 1, 2011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Sept. 30, 2012</w:t>
            </w:r>
          </w:p>
        </w:tc>
        <w:tc>
          <w:tcPr>
            <w:tcW w:w="10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Sept. 30, 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Sept. 28, 2011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80"/>
              <w:spacing w:after="0"/>
              <w:rPr>
                <w:sz w:val="20"/>
                <w:szCs w:val="20"/>
                <w:color w:val="auto"/>
              </w:rPr>
            </w:pPr>
            <w:r>
              <w:rPr>
                <w:rFonts w:ascii="Arial" w:cs="Arial" w:eastAsia="Arial" w:hAnsi="Arial"/>
                <w:sz w:val="18"/>
                <w:szCs w:val="18"/>
                <w:color w:val="auto"/>
              </w:rPr>
              <w:t>Net income (loss)</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(1,664,000)</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(1,207,000)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60"/>
              <w:spacing w:after="0"/>
              <w:rPr>
                <w:sz w:val="20"/>
                <w:szCs w:val="20"/>
                <w:color w:val="auto"/>
              </w:rPr>
            </w:pPr>
            <w:r>
              <w:rPr>
                <w:rFonts w:ascii="Arial" w:cs="Arial" w:eastAsia="Arial" w:hAnsi="Arial"/>
                <w:sz w:val="18"/>
                <w:szCs w:val="18"/>
                <w:color w:val="auto"/>
              </w:rPr>
              <w:t>Adjustments to reconcile net income (loss) to net cash provided by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80"/>
              <w:spacing w:after="0"/>
              <w:rPr>
                <w:sz w:val="20"/>
                <w:szCs w:val="20"/>
                <w:color w:val="auto"/>
              </w:rPr>
            </w:pPr>
            <w:r>
              <w:rPr>
                <w:rFonts w:ascii="Arial" w:cs="Arial" w:eastAsia="Arial" w:hAnsi="Arial"/>
                <w:sz w:val="18"/>
                <w:szCs w:val="18"/>
                <w:color w:val="auto"/>
              </w:rPr>
              <w:t>(used in) operating activities: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640,000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Amortization of deferred finance costs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93,000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3,479,000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747,000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Amortization of seller note discount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401,000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Amortization of senior note discount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176,000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(548,000)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(1,151,000)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(172,000)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406,000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Accounts payables and accrued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66,000</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(649,000)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Royalty advances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131,000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1,517,000</w:t>
            </w:r>
          </w:p>
        </w:tc>
        <w:tc>
          <w:tcPr>
            <w:tcW w:w="3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(905,000</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2,332,000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tcPr>
          <w:p>
            <w:pPr>
              <w:ind w:left="160"/>
              <w:spacing w:after="0" w:line="201" w:lineRule="exact"/>
              <w:rPr>
                <w:sz w:val="20"/>
                <w:szCs w:val="20"/>
                <w:color w:val="auto"/>
              </w:rPr>
            </w:pPr>
            <w:r>
              <w:rPr>
                <w:rFonts w:ascii="Arial" w:cs="Arial" w:eastAsia="Arial" w:hAnsi="Arial"/>
                <w:sz w:val="18"/>
                <w:szCs w:val="18"/>
                <w:color w:val="auto"/>
              </w:rPr>
              <w:t>Acquisition of Isaac Mizrahi Trademarks and related intangible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300"/>
              <w:spacing w:after="0"/>
              <w:rPr>
                <w:sz w:val="20"/>
                <w:szCs w:val="20"/>
                <w:color w:val="auto"/>
              </w:rPr>
            </w:pPr>
            <w:r>
              <w:rPr>
                <w:rFonts w:ascii="Arial" w:cs="Arial" w:eastAsia="Arial" w:hAnsi="Arial"/>
                <w:sz w:val="18"/>
                <w:szCs w:val="18"/>
                <w:color w:val="auto"/>
              </w:rPr>
              <w:t>property, and tangible property and equipment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(10,174,000)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 of assumed obligation of Seller</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long-term security deposit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Reduction of restricted cash</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(110,000</w:t>
            </w:r>
          </w:p>
        </w:tc>
        <w:tc>
          <w:tcPr>
            <w:tcW w:w="340" w:type="dxa"/>
            <w:vAlign w:val="bottom"/>
            <w:tcBorders>
              <w:top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(11,849,000</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Member distributions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Proceeds from term loan</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13,500,000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Proceeds from sale of common stock and warrants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4,305,000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Payment of expenses related to equity and recapitalization</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(463,000)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(Payment) Refund of deferred finance costs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Repayment of lease obligation</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34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16,882,000</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(2,147,000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1,413,000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4,128,000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2,718,000</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4,131,000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4,128,000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231,000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3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Warrants issued to Licensee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3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16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1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Forfeiture of employee stock grants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Restricted stock grants to employees and directors</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4,635,000</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160" w:type="dxa"/>
            <w:vAlign w:val="bottom"/>
            <w:tcBorders>
              <w:top w:val="single" w:sz="8" w:color="CCFFCC"/>
              <w:bottom w:val="single" w:sz="8" w:color="CCFFCC"/>
            </w:tcBorders>
            <w:shd w:val="clear" w:color="auto" w:fill="CCFFCC"/>
          </w:tcPr>
          <w:p>
            <w:pPr>
              <w:spacing w:after="0"/>
              <w:rPr>
                <w:sz w:val="17"/>
                <w:szCs w:val="17"/>
                <w:color w:val="auto"/>
              </w:rPr>
            </w:pP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1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Arial" w:cs="Arial" w:eastAsia="Arial" w:hAnsi="Arial"/>
                <w:sz w:val="18"/>
                <w:szCs w:val="18"/>
                <w:color w:val="auto"/>
              </w:rPr>
              <w:t>Retrospective accounting adjustment increasing deferred tax liability and goodwill</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1,739,000</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00" w:type="dxa"/>
            <w:vAlign w:val="bottom"/>
            <w:tcBorders>
              <w:top w:val="single" w:sz="8" w:color="CCFFCC"/>
            </w:tcBorders>
            <w:shd w:val="clear" w:color="auto" w:fill="CCFFCC"/>
          </w:tcPr>
          <w:p>
            <w:pPr>
              <w:spacing w:after="0" w:line="156" w:lineRule="exact"/>
              <w:rPr>
                <w:sz w:val="20"/>
                <w:szCs w:val="20"/>
                <w:color w:val="auto"/>
              </w:rPr>
            </w:pPr>
            <w:r>
              <w:rPr>
                <w:rFonts w:ascii="Arial" w:cs="Arial" w:eastAsia="Arial" w:hAnsi="Arial"/>
                <w:sz w:val="18"/>
                <w:szCs w:val="18"/>
                <w:color w:val="auto"/>
                <w:w w:val="92"/>
              </w:rPr>
              <w:t>Value of common stock issued to Sellers as partial consideration in the acquisition of Isaac</w:t>
            </w:r>
          </w:p>
        </w:tc>
        <w:tc>
          <w:tcPr>
            <w:tcW w:w="14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1180" w:type="dxa"/>
            <w:vAlign w:val="bottom"/>
            <w:tcBorders>
              <w:top w:val="single" w:sz="8" w:color="CCFFCC"/>
            </w:tcBorders>
            <w:shd w:val="clear" w:color="auto" w:fill="CCFFCC"/>
          </w:tcPr>
          <w:p>
            <w:pPr>
              <w:spacing w:after="0"/>
              <w:rPr>
                <w:sz w:val="13"/>
                <w:szCs w:val="13"/>
                <w:color w:val="auto"/>
              </w:rPr>
            </w:pPr>
          </w:p>
        </w:tc>
        <w:tc>
          <w:tcPr>
            <w:tcW w:w="34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auto"/>
            </w:tcBorders>
            <w:shd w:val="clear" w:color="auto" w:fill="CCFFCC"/>
          </w:tcPr>
          <w:p>
            <w:pPr>
              <w:spacing w:after="0"/>
              <w:rPr>
                <w:sz w:val="13"/>
                <w:szCs w:val="13"/>
                <w:color w:val="auto"/>
              </w:rPr>
            </w:pPr>
          </w:p>
        </w:tc>
        <w:tc>
          <w:tcPr>
            <w:tcW w:w="1160" w:type="dxa"/>
            <w:vAlign w:val="bottom"/>
            <w:tcBorders>
              <w:top w:val="single" w:sz="8" w:color="auto"/>
            </w:tcBorders>
            <w:shd w:val="clear" w:color="auto" w:fill="CCFFCC"/>
          </w:tcPr>
          <w:p>
            <w:pPr>
              <w:spacing w:after="0"/>
              <w:rPr>
                <w:sz w:val="13"/>
                <w:szCs w:val="13"/>
                <w:color w:val="auto"/>
              </w:rPr>
            </w:pPr>
          </w:p>
        </w:tc>
        <w:tc>
          <w:tcPr>
            <w:tcW w:w="200" w:type="dxa"/>
            <w:vAlign w:val="bottom"/>
            <w:tcBorders>
              <w:top w:val="single" w:sz="8" w:color="CCFFCC"/>
            </w:tcBorders>
            <w:shd w:val="clear" w:color="auto" w:fill="CCFFCC"/>
          </w:tcPr>
          <w:p>
            <w:pPr>
              <w:spacing w:after="0"/>
              <w:rPr>
                <w:sz w:val="13"/>
                <w:szCs w:val="13"/>
                <w:color w:val="auto"/>
              </w:rPr>
            </w:pPr>
          </w:p>
        </w:tc>
        <w:tc>
          <w:tcPr>
            <w:tcW w:w="12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116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shd w:val="clear" w:color="auto" w:fill="CCFFCC"/>
          </w:tcPr>
          <w:p>
            <w:pPr>
              <w:spacing w:after="0"/>
              <w:rPr>
                <w:sz w:val="20"/>
                <w:szCs w:val="20"/>
                <w:color w:val="auto"/>
              </w:rPr>
            </w:pPr>
            <w:r>
              <w:rPr>
                <w:rFonts w:ascii="Arial" w:cs="Arial" w:eastAsia="Arial" w:hAnsi="Arial"/>
                <w:sz w:val="18"/>
                <w:szCs w:val="18"/>
                <w:color w:val="auto"/>
              </w:rPr>
              <w:t>Mizrahi Business</w:t>
            </w:r>
          </w:p>
        </w:tc>
        <w:tc>
          <w:tcPr>
            <w:tcW w:w="1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9,215,000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FFCC"/>
              <w:bottom w:val="single" w:sz="8" w:color="CCFFCC"/>
            </w:tcBorders>
            <w:vMerge w:val="restart"/>
          </w:tcPr>
          <w:p>
            <w:pPr>
              <w:spacing w:after="0" w:line="195" w:lineRule="exact"/>
              <w:rPr>
                <w:sz w:val="20"/>
                <w:szCs w:val="20"/>
                <w:color w:val="auto"/>
              </w:rPr>
            </w:pPr>
            <w:r>
              <w:rPr>
                <w:rFonts w:ascii="Arial" w:cs="Arial" w:eastAsia="Arial" w:hAnsi="Arial"/>
                <w:sz w:val="18"/>
                <w:szCs w:val="18"/>
                <w:color w:val="auto"/>
                <w:w w:val="93"/>
              </w:rPr>
              <w:t>Value of common stock issued to Earthbound as partial consideration in the acquisition of</w:t>
            </w: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6720" w:type="dxa"/>
            <w:vAlign w:val="bottom"/>
            <w:gridSpan w:val="2"/>
          </w:tcPr>
          <w:p>
            <w:pPr>
              <w:spacing w:after="0"/>
              <w:rPr>
                <w:sz w:val="20"/>
                <w:szCs w:val="20"/>
                <w:color w:val="auto"/>
              </w:rPr>
            </w:pPr>
            <w:r>
              <w:rPr>
                <w:rFonts w:ascii="Arial" w:cs="Arial" w:eastAsia="Arial" w:hAnsi="Arial"/>
                <w:sz w:val="18"/>
                <w:szCs w:val="18"/>
                <w:color w:val="auto"/>
              </w:rPr>
              <w:t>Isaac Mizrahi Business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3,155,000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00" w:type="dxa"/>
            <w:vAlign w:val="bottom"/>
            <w:tcBorders>
              <w:top w:val="single" w:sz="8" w:color="CCFFCC"/>
            </w:tcBorders>
            <w:shd w:val="clear" w:color="auto" w:fill="CCFFCC"/>
          </w:tcPr>
          <w:p>
            <w:pPr>
              <w:spacing w:after="0" w:line="156" w:lineRule="exact"/>
              <w:rPr>
                <w:sz w:val="20"/>
                <w:szCs w:val="20"/>
                <w:color w:val="auto"/>
              </w:rPr>
            </w:pPr>
            <w:r>
              <w:rPr>
                <w:rFonts w:ascii="Arial" w:cs="Arial" w:eastAsia="Arial" w:hAnsi="Arial"/>
                <w:sz w:val="18"/>
                <w:szCs w:val="18"/>
                <w:color w:val="auto"/>
              </w:rPr>
              <w:t>Issuance of Seller Notes as partial consideration in the acquisition of Isaac Mizrahi</w:t>
            </w:r>
          </w:p>
        </w:tc>
        <w:tc>
          <w:tcPr>
            <w:tcW w:w="14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1180" w:type="dxa"/>
            <w:vAlign w:val="bottom"/>
            <w:tcBorders>
              <w:top w:val="single" w:sz="8" w:color="CCFFCC"/>
            </w:tcBorders>
            <w:shd w:val="clear" w:color="auto" w:fill="CCFFCC"/>
          </w:tcPr>
          <w:p>
            <w:pPr>
              <w:spacing w:after="0"/>
              <w:rPr>
                <w:sz w:val="13"/>
                <w:szCs w:val="13"/>
                <w:color w:val="auto"/>
              </w:rPr>
            </w:pPr>
          </w:p>
        </w:tc>
        <w:tc>
          <w:tcPr>
            <w:tcW w:w="34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auto"/>
            </w:tcBorders>
            <w:shd w:val="clear" w:color="auto" w:fill="CCFFCC"/>
          </w:tcPr>
          <w:p>
            <w:pPr>
              <w:spacing w:after="0"/>
              <w:rPr>
                <w:sz w:val="13"/>
                <w:szCs w:val="13"/>
                <w:color w:val="auto"/>
              </w:rPr>
            </w:pPr>
          </w:p>
        </w:tc>
        <w:tc>
          <w:tcPr>
            <w:tcW w:w="1160" w:type="dxa"/>
            <w:vAlign w:val="bottom"/>
            <w:tcBorders>
              <w:top w:val="single" w:sz="8" w:color="auto"/>
            </w:tcBorders>
            <w:shd w:val="clear" w:color="auto" w:fill="CCFFCC"/>
          </w:tcPr>
          <w:p>
            <w:pPr>
              <w:spacing w:after="0"/>
              <w:rPr>
                <w:sz w:val="13"/>
                <w:szCs w:val="13"/>
                <w:color w:val="auto"/>
              </w:rPr>
            </w:pPr>
          </w:p>
        </w:tc>
        <w:tc>
          <w:tcPr>
            <w:tcW w:w="200" w:type="dxa"/>
            <w:vAlign w:val="bottom"/>
            <w:tcBorders>
              <w:top w:val="single" w:sz="8" w:color="CCFFCC"/>
            </w:tcBorders>
            <w:shd w:val="clear" w:color="auto" w:fill="CCFFCC"/>
          </w:tcPr>
          <w:p>
            <w:pPr>
              <w:spacing w:after="0"/>
              <w:rPr>
                <w:sz w:val="13"/>
                <w:szCs w:val="13"/>
                <w:color w:val="auto"/>
              </w:rPr>
            </w:pPr>
          </w:p>
        </w:tc>
        <w:tc>
          <w:tcPr>
            <w:tcW w:w="12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116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shd w:val="clear" w:color="auto" w:fill="CCFFCC"/>
          </w:tcPr>
          <w:p>
            <w:pPr>
              <w:spacing w:after="0"/>
              <w:rPr>
                <w:sz w:val="20"/>
                <w:szCs w:val="20"/>
                <w:color w:val="auto"/>
              </w:rPr>
            </w:pPr>
            <w:r>
              <w:rPr>
                <w:rFonts w:ascii="Arial" w:cs="Arial" w:eastAsia="Arial" w:hAnsi="Arial"/>
                <w:sz w:val="18"/>
                <w:szCs w:val="18"/>
                <w:color w:val="auto"/>
              </w:rPr>
              <w:t>Business (net of debt discount - see Note 5)</w:t>
            </w:r>
          </w:p>
        </w:tc>
        <w:tc>
          <w:tcPr>
            <w:tcW w:w="1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5,637,000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FFCC"/>
              <w:bottom w:val="single" w:sz="8" w:color="CCFFCC"/>
            </w:tcBorders>
            <w:vMerge w:val="restart"/>
          </w:tcPr>
          <w:p>
            <w:pPr>
              <w:spacing w:after="0" w:line="195" w:lineRule="exact"/>
              <w:rPr>
                <w:sz w:val="20"/>
                <w:szCs w:val="20"/>
                <w:color w:val="auto"/>
              </w:rPr>
            </w:pPr>
            <w:r>
              <w:rPr>
                <w:rFonts w:ascii="Arial" w:cs="Arial" w:eastAsia="Arial" w:hAnsi="Arial"/>
                <w:sz w:val="18"/>
                <w:szCs w:val="18"/>
                <w:color w:val="auto"/>
                <w:w w:val="98"/>
              </w:rPr>
              <w:t>Value of Warrants to purchase 364,428 of common stock for $.01 per share issued to</w:t>
            </w: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6720" w:type="dxa"/>
            <w:vAlign w:val="bottom"/>
            <w:gridSpan w:val="2"/>
          </w:tcPr>
          <w:p>
            <w:pPr>
              <w:spacing w:after="0"/>
              <w:rPr>
                <w:sz w:val="20"/>
                <w:szCs w:val="20"/>
                <w:color w:val="auto"/>
              </w:rPr>
            </w:pPr>
            <w:r>
              <w:rPr>
                <w:rFonts w:ascii="Arial" w:cs="Arial" w:eastAsia="Arial" w:hAnsi="Arial"/>
                <w:sz w:val="18"/>
                <w:szCs w:val="18"/>
                <w:color w:val="auto"/>
              </w:rPr>
              <w:t>Noteholders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1,214,000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Contingent equity pay-out relating to acquisition of Isaac Mizrahi Business</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180" w:type="dxa"/>
            <w:vAlign w:val="bottom"/>
            <w:tcBorders>
              <w:top w:val="single" w:sz="8" w:color="CCFFCC"/>
              <w:bottom w:val="single" w:sz="8" w:color="CCFFCC"/>
            </w:tcBorders>
            <w:shd w:val="clear" w:color="auto" w:fill="CCFFCC"/>
          </w:tcPr>
          <w:p>
            <w:pPr>
              <w:spacing w:after="0"/>
              <w:rPr>
                <w:sz w:val="17"/>
                <w:szCs w:val="17"/>
                <w:color w:val="auto"/>
              </w:rPr>
            </w:pP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15,000,000</w:t>
            </w: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1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Arial" w:cs="Arial" w:eastAsia="Arial" w:hAnsi="Arial"/>
                <w:sz w:val="18"/>
                <w:szCs w:val="18"/>
                <w:color w:val="auto"/>
              </w:rPr>
              <w:t>Contingent obligations relating to acquisition of Isaac Mizrahi Business</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FFCC"/>
            </w:tcBorders>
            <w:vMerge w:val="continue"/>
          </w:tcPr>
          <w:p>
            <w:pPr>
              <w:spacing w:after="0"/>
              <w:rPr>
                <w:sz w:val="20"/>
                <w:szCs w:val="20"/>
                <w:color w:val="auto"/>
              </w:rPr>
            </w:pPr>
          </w:p>
        </w:tc>
        <w:tc>
          <w:tcPr>
            <w:tcW w:w="14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180" w:type="dxa"/>
            <w:vAlign w:val="bottom"/>
            <w:tcBorders>
              <w:bottom w:val="single" w:sz="8" w:color="CCFFCC"/>
            </w:tcBorders>
          </w:tcPr>
          <w:p>
            <w:pPr>
              <w:spacing w:after="0"/>
              <w:rPr>
                <w:sz w:val="20"/>
                <w:szCs w:val="20"/>
                <w:color w:val="auto"/>
              </w:rPr>
            </w:pPr>
          </w:p>
        </w:tc>
        <w:tc>
          <w:tcPr>
            <w:tcW w:w="34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2,765,000</w:t>
            </w:r>
          </w:p>
        </w:tc>
        <w:tc>
          <w:tcPr>
            <w:tcW w:w="200" w:type="dxa"/>
            <w:vAlign w:val="bottom"/>
            <w:tcBorders>
              <w:bottom w:val="single" w:sz="8" w:color="CCFFCC"/>
            </w:tcBorders>
            <w:vMerge w:val="continue"/>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16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7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77"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w w:val="93"/>
              </w:rPr>
              <w:t>Assumed Other Long Term liabilities as partial consideration of the Isaac Mizrahi Business</w:t>
            </w:r>
          </w:p>
        </w:tc>
        <w:tc>
          <w:tcPr>
            <w:tcW w:w="1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1,132,000</w:t>
            </w:r>
          </w:p>
        </w:tc>
        <w:tc>
          <w:tcPr>
            <w:tcW w:w="16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FFCC"/>
              <w:bottom w:val="single" w:sz="8" w:color="CCFFCC"/>
            </w:tcBorders>
            <w:vMerge w:val="restart"/>
          </w:tcPr>
          <w:p>
            <w:pPr>
              <w:spacing w:after="0" w:line="195" w:lineRule="exact"/>
              <w:rPr>
                <w:sz w:val="20"/>
                <w:szCs w:val="20"/>
                <w:color w:val="auto"/>
              </w:rPr>
            </w:pPr>
            <w:r>
              <w:rPr>
                <w:rFonts w:ascii="Arial" w:cs="Arial" w:eastAsia="Arial" w:hAnsi="Arial"/>
                <w:sz w:val="18"/>
                <w:szCs w:val="18"/>
                <w:color w:val="auto"/>
                <w:w w:val="93"/>
              </w:rPr>
              <w:t>Deferred tax liability relating to the net tax effect of the excess book value over tax basis of</w:t>
            </w:r>
          </w:p>
        </w:tc>
        <w:tc>
          <w:tcPr>
            <w:tcW w:w="12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6740" w:type="dxa"/>
            <w:vAlign w:val="bottom"/>
            <w:gridSpan w:val="2"/>
          </w:tcPr>
          <w:p>
            <w:pPr>
              <w:spacing w:after="0"/>
              <w:rPr>
                <w:sz w:val="20"/>
                <w:szCs w:val="20"/>
                <w:color w:val="auto"/>
              </w:rPr>
            </w:pPr>
            <w:r>
              <w:rPr>
                <w:rFonts w:ascii="Arial" w:cs="Arial" w:eastAsia="Arial" w:hAnsi="Arial"/>
                <w:sz w:val="18"/>
                <w:szCs w:val="18"/>
                <w:color w:val="auto"/>
              </w:rPr>
              <w:t>acquired intangible asset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9,615,000</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Deferred tax liability relating to the net tax effect of the Seller Note discount amount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400" w:type="dxa"/>
            <w:vAlign w:val="bottom"/>
            <w:tcBorders>
              <w:top w:val="single" w:sz="8" w:color="CCFFCC"/>
              <w:bottom w:val="single" w:sz="8" w:color="CCFFCC"/>
            </w:tcBorders>
            <w:shd w:val="clear" w:color="auto" w:fill="CCFFCC"/>
          </w:tcPr>
          <w:p>
            <w:pPr>
              <w:spacing w:after="0"/>
              <w:rPr>
                <w:sz w:val="17"/>
                <w:szCs w:val="17"/>
                <w:color w:val="auto"/>
              </w:rPr>
            </w:pPr>
          </w:p>
        </w:tc>
        <w:tc>
          <w:tcPr>
            <w:tcW w:w="880" w:type="dxa"/>
            <w:vAlign w:val="bottom"/>
            <w:tcBorders>
              <w:top w:val="single" w:sz="8" w:color="CCFFCC"/>
              <w:bottom w:val="single" w:sz="8" w:color="CCFFCC"/>
            </w:tcBorders>
            <w:shd w:val="clear" w:color="auto" w:fill="CCFFCC"/>
          </w:tcPr>
          <w:p>
            <w:pPr>
              <w:spacing w:after="0"/>
              <w:rPr>
                <w:sz w:val="17"/>
                <w:szCs w:val="17"/>
                <w:color w:val="auto"/>
              </w:rPr>
            </w:pP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635,000</w:t>
            </w: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380" w:type="dxa"/>
            <w:vAlign w:val="bottom"/>
            <w:tcBorders>
              <w:top w:val="single" w:sz="8" w:color="CCFFCC"/>
              <w:bottom w:val="single" w:sz="8" w:color="CCFFCC"/>
            </w:tcBorders>
            <w:shd w:val="clear" w:color="auto" w:fill="CCFFCC"/>
          </w:tcPr>
          <w:p>
            <w:pPr>
              <w:spacing w:after="0"/>
              <w:rPr>
                <w:sz w:val="17"/>
                <w:szCs w:val="17"/>
                <w:color w:val="auto"/>
              </w:rPr>
            </w:pPr>
          </w:p>
        </w:tc>
        <w:tc>
          <w:tcPr>
            <w:tcW w:w="88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Value of equipment and software received from Earthbound</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FFCC"/>
            </w:tcBorders>
            <w:vMerge w:val="continue"/>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400" w:type="dxa"/>
            <w:vAlign w:val="bottom"/>
            <w:tcBorders>
              <w:bottom w:val="single" w:sz="8" w:color="CCFFCC"/>
            </w:tcBorders>
          </w:tcPr>
          <w:p>
            <w:pPr>
              <w:spacing w:after="0"/>
              <w:rPr>
                <w:sz w:val="20"/>
                <w:szCs w:val="20"/>
                <w:color w:val="auto"/>
              </w:rPr>
            </w:pPr>
          </w:p>
        </w:tc>
        <w:tc>
          <w:tcPr>
            <w:tcW w:w="880" w:type="dxa"/>
            <w:vAlign w:val="bottom"/>
            <w:tcBorders>
              <w:bottom w:val="single" w:sz="8" w:color="CCFFCC"/>
            </w:tcBorders>
          </w:tcPr>
          <w:p>
            <w:pPr>
              <w:spacing w:after="0"/>
              <w:rPr>
                <w:sz w:val="20"/>
                <w:szCs w:val="20"/>
                <w:color w:val="auto"/>
              </w:rPr>
            </w:pPr>
          </w:p>
        </w:tc>
        <w:tc>
          <w:tcPr>
            <w:tcW w:w="34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71,000</w:t>
            </w:r>
          </w:p>
        </w:tc>
        <w:tc>
          <w:tcPr>
            <w:tcW w:w="160" w:type="dxa"/>
            <w:vAlign w:val="bottom"/>
            <w:tcBorders>
              <w:bottom w:val="single" w:sz="8" w:color="CCFFCC"/>
            </w:tcBorders>
            <w:vMerge w:val="continue"/>
          </w:tcPr>
          <w:p>
            <w:pPr>
              <w:spacing w:after="0"/>
              <w:rPr>
                <w:sz w:val="20"/>
                <w:szCs w:val="20"/>
                <w:color w:val="auto"/>
              </w:rPr>
            </w:pPr>
          </w:p>
        </w:tc>
        <w:tc>
          <w:tcPr>
            <w:tcW w:w="160" w:type="dxa"/>
            <w:vAlign w:val="bottom"/>
            <w:tcBorders>
              <w:bottom w:val="single" w:sz="8" w:color="CCFFCC"/>
            </w:tcBorders>
          </w:tcPr>
          <w:p>
            <w:pPr>
              <w:spacing w:after="0"/>
              <w:rPr>
                <w:sz w:val="20"/>
                <w:szCs w:val="20"/>
                <w:color w:val="auto"/>
              </w:rPr>
            </w:pPr>
          </w:p>
        </w:tc>
        <w:tc>
          <w:tcPr>
            <w:tcW w:w="380" w:type="dxa"/>
            <w:vAlign w:val="bottom"/>
            <w:tcBorders>
              <w:bottom w:val="single" w:sz="8" w:color="CCFFCC"/>
            </w:tcBorders>
          </w:tcPr>
          <w:p>
            <w:pPr>
              <w:spacing w:after="0"/>
              <w:rPr>
                <w:sz w:val="20"/>
                <w:szCs w:val="20"/>
                <w:color w:val="auto"/>
              </w:rPr>
            </w:pPr>
          </w:p>
        </w:tc>
        <w:tc>
          <w:tcPr>
            <w:tcW w:w="88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Assumed capitalized lease obligation</w:t>
            </w:r>
          </w:p>
        </w:tc>
        <w:tc>
          <w:tcPr>
            <w:tcW w:w="120" w:type="dxa"/>
            <w:vAlign w:val="bottom"/>
            <w:tcBorders>
              <w:bottom w:val="single" w:sz="8" w:color="CCFFCC"/>
            </w:tcBorders>
            <w:shd w:val="clear" w:color="auto" w:fill="CCFFCC"/>
          </w:tcPr>
          <w:p>
            <w:pPr>
              <w:spacing w:after="0"/>
              <w:rPr>
                <w:sz w:val="17"/>
                <w:szCs w:val="17"/>
                <w:color w:val="auto"/>
              </w:rPr>
            </w:pPr>
          </w:p>
        </w:tc>
        <w:tc>
          <w:tcPr>
            <w:tcW w:w="40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340" w:type="dxa"/>
            <w:vAlign w:val="bottom"/>
            <w:tcBorders>
              <w:bottom w:val="single" w:sz="8" w:color="CCFFCC"/>
            </w:tcBorders>
            <w:shd w:val="clear" w:color="auto" w:fill="CCFFCC"/>
          </w:tcPr>
          <w:p>
            <w:pPr>
              <w:spacing w:after="0"/>
              <w:rPr>
                <w:sz w:val="17"/>
                <w:szCs w:val="17"/>
                <w:color w:val="auto"/>
              </w:rPr>
            </w:pPr>
          </w:p>
        </w:tc>
        <w:tc>
          <w:tcPr>
            <w:tcW w:w="320" w:type="dxa"/>
            <w:vAlign w:val="bottom"/>
            <w:tcBorders>
              <w:bottom w:val="single" w:sz="8" w:color="auto"/>
            </w:tcBorders>
            <w:shd w:val="clear" w:color="auto" w:fill="CCFFC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24,000</w:t>
            </w:r>
          </w:p>
        </w:tc>
        <w:tc>
          <w:tcPr>
            <w:tcW w:w="1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38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paid during the period for income taxes</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62,000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Cash paid during the period for interest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400" w:type="dxa"/>
            <w:vAlign w:val="bottom"/>
            <w:tcBorders>
              <w:top w:val="single" w:sz="8" w:color="auto"/>
              <w:bottom w:val="single" w:sz="8" w:color="auto"/>
            </w:tcBorders>
            <w:shd w:val="clear" w:color="auto" w:fill="CCFFC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916,000</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129,000</w:t>
            </w: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380" w:type="dxa"/>
            <w:vAlign w:val="bottom"/>
            <w:tcBorders>
              <w:top w:val="single" w:sz="8" w:color="auto"/>
              <w:bottom w:val="single" w:sz="8" w:color="auto"/>
            </w:tcBorders>
            <w:shd w:val="clear" w:color="auto" w:fill="CCFFC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175,000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Interim Financial Statements</w:t>
      </w:r>
    </w:p>
    <w:p>
      <w:pPr>
        <w:spacing w:after="0" w:line="20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BASIS OF PRESENTATION AND REVERSE ACQUISITION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consolidated interim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of Xcel Brands, Inc., (“Xcel”, the "Company", “we”, “us”, or “our”), all adjustments (consisting primarily of normal recurring accruals) considered necessary for a fair presentation have been included. The Condensed Consolidated Balance Sheet as of December 31, 2011 has been derived from audited consolidated financial statements. Operating results for the three months (“Current Quarter”) and nine months (“Current Nine Months”) ended September 30, 2012 are not necessarily indicative of the results that may be expected for a full fiscal year.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29, 2011 (the “Acquisition Date”), the Company, formerly known as Net Fabrics Holdings, Inc. merged with Xcel Brands, Inc. (“Old XCel”) and acquired from IM Ready-Made, LLC (“IM Ready”) certain assets and assumed certain obligations (the “Isaac Mizrahi Business”) whereby the Isaac Mizrahi Business was deemed to be the Predecessor of the Company for financial statement presentation purposes. Accordingly, the accompanying financial statements designate periods preceding the Acquisition Date as relating to the Predecessor and all references to periods on and after September 29, 2011 shall be referred to as Successor.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2011 (“2011”), filed with the Securities and Exchange Commission on March 30, 2012.</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Xcel Brands, Inc. and its wholly-owned subsidiaries. All material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Predecessor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statements covered by the Predecessor have been prepared for the purpose of complying with the rules and regulations of the U.S. Securities and Exchange Commission. The Isaac Mizrahi Business was not a separate legal entity, thus the financial statements are not necessarily indicative of the results of operations that would have occurred if the Isaac Mizrahi Business had been operated as a separate legal entity.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allocations and estimates in the accompanying Predecessor financial statements are based on assumptions that IM Ready and Xcel management (collectively “management”) believe are reasonable, and reasonably approximate the historical costs that the Isaac Mizrahi Business would have incurred as a separate entity. However, these allocations and estimates are not necessarily indicative of the costs and expenses that would have resulted if the Isaac Mizrahi Business had been operated as a separate entity. The allocations of expenses were made to comply with the guidance provided by Staff Accounting Bulletin Topic 1B1, “Allocation of Expenses and Related Disclosure in Financial Statements of Subsidiaries, Divisions or Lesser Business Components of another Entity”.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year. Actual results could be affected by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certain of the Company’s financial instruments, including cash and cash equivalents, accounts receivable, accounts payable, accrued expenses and other current liabilities, the carrying amounts approximate fair value due to the short-term maturities of these instruments. The carrying value of the debt approximates fair value because the fixed interest rate approximates market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Accounts receivable represent amounts that are due to the Company by its licensees and other operating account debtors in the normal course of business. As of September 30, 2012 the Company has $3,342,000 of accounts receivables, net of allowance for doubtful accounts of $17,000, which is deemed sufficient by Management. The accounts receivable balance includes $333,000 of earned revenues that have been accrued but not billed as of September 30, 2012.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Trademarks, Goodwill and Other 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Financial Accounting Standards Board Accounting Codification (“ASC Topic 350”) Intangibles, Goodwill, and Other. Under this standard, goodwill and indefinite lived assets are not amortized. The Company’s definite lived intangible assets are amortized over their estimated useful lives.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Under this standard, the Company annually has the option to first assess qualitatively whether it is more likely than not that there is an impairment. The Company completed its annual qualitative assessment of goodwill at December 31, 2011 and determined that no impairment charges were required.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will analyze and quantify the expected earn-out payments over the applicable pay-out period. Management will assess no less frequently than each reporting period the status of contingent obligations and any expected changes in the fair market value of such contingent obligations. Any change in the expected obligation will result in an expense or income recognized in the period in which it is determined fair market value of the carrying value has changed. There was no change in the contingent obligation for the nine months ended September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consists of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unrecognized tax benefits as of September 30, 2012 and December 31, 2011. The Company’s U.S. Federal and state and local income tax returns are closed prior to fiscal year 2008 and management continually evaluates expiring statues of limitations, audits, proposed settlements, changes in tax law and new authoritative rulings.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applicable, the Company would recognize interest and penalties associated with tax matters as part of the income tax provision, and include accrued interest and penalties with accrued expenses in the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revenue when persuasive evidence of a sale arrangement exists, delivery has occurred and services have been rendered, the sales price is fixed and determinable, and collectability is reasonably assured. The Company has two primary types of revenues: (i) royalties based on the sale of products by its licensees or other contractual partners, and (ii) design and service fees based on services provided. Revenues from royalties are recognized when earned, which include guaranteed minimum royalties, if any, and additional revenues based on a percentage of defined sales by our licensees or other contractual partners for each period. Royalties exceeding the guaranteed minimum amounts are recognized as income during the period that corresponds to the licensees’ or partners’ sales.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Design and service fees are recorded and recognized in accordance with the terms and conditions of each service contract, including the Company meeting its obligations and providing the relevant services under each contract. Generally, we record on a straight line basis, each base fee as stated in each service agreement for the covered period and, if applicable, we recognize additional payments received that relate to a future period as deferred revenue, until service is provided or revenue is otherwise earned.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stock-based compensation in accordance with ASC Topic 718 by recognizing the fair value of stock-based compensation in the condensed consolidated statements of operations. The fair value of the Company’s stock option awards are estimated using the Black-Scholes option valuation model. This model requires the input of highly subjective assumptions and elections including expected stock price volatility and the estimated life of each award. In addition, the calculation of compensation costs requires that the Company estimate the number of awards that will be forfeited during the vesting period. The fair value of the Company’s stock grant awards is valued at the current value of the stock at the time of the grant. The fair value of stock-based awards is amortized over the vesting period of each respective award. For stock-based awards that vest based on performance conditions (e.g. achievement of certain milestones), expense is recognized when it is probable that the condition will be met. Stock-based compensation expense is recognized as a component of Design and Marketing Expenses and General and Administrative in the Condensed Consolidated Statements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cost for restricted stock is measured using the market price of the Company’s common stock at the date the common stock is granted. The compensation cost is recognized over the period between the issue date and the date any restrictions lapse.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earnings per share includes no dilution and is computed by dividing net income available to common stockholders by the weighted average number of common shares outstanding for the period. Diluted earnings per share reflect, in periods in which they have a dilutive effect, the effect of restricted stock-based awards and common shares issuable upon exercise of stock options and warrants. The difference between basic and diluted weighted-average common shares results from the assumption that all dilutive stock options outstanding were exercised and all convertible notes have been converted into common stock. Shares that may be issued for contingent obligations are excluded until all necessary conditions and other criteria are met.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2012, of the total potentially dilutive shares related to stock options and warrants, 921,001 were anti-dilutive and not included in the computation of diluted shares outstanding. For the three months and nine months ended September 30, 2012, basic and diluted weighted average shares are the same. There are no comparative results for the prior year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2012, the FASB issued ASU 2012-02, </w:t>
      </w:r>
      <w:r>
        <w:rPr>
          <w:rFonts w:ascii="Arial" w:cs="Arial" w:eastAsia="Arial" w:hAnsi="Arial"/>
          <w:sz w:val="18"/>
          <w:szCs w:val="18"/>
          <w:i w:val="1"/>
          <w:iCs w:val="1"/>
          <w:color w:val="auto"/>
        </w:rPr>
        <w:t>“Intangibles—Goodwill and Other (Topic 350): Testing Indefinite-Lived Intangible Assets for Impairment.”</w:t>
      </w:r>
      <w:r>
        <w:rPr>
          <w:rFonts w:ascii="Arial" w:cs="Arial" w:eastAsia="Arial" w:hAnsi="Arial"/>
          <w:sz w:val="18"/>
          <w:szCs w:val="18"/>
          <w:color w:val="auto"/>
        </w:rPr>
        <w:t xml:space="preserve"> ASU 2012-02 simplifies the guidance for testing the decline in the realizable value (impairment) of indefinite-lived intangible assets other than goodwill. Examples of intangible assets subject to the guidance include indefinite-lived trademarks, licenses, and distribution rights. The standard applies to all public, private, and not-for-profit organizations. The amendments in this update are effective for annual and interim impairment tests performed for fiscal years beginning after September 15, 2012. The adoption of ASU No. 2012-02 is not expected to have a material impact on the Company’s results of operations or the Company’s consolidated financial position.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effect on the Company’s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Trademarks, 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Trademarks, goodwill and other intangibles, net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4"/>
          </w:tcPr>
          <w:p>
            <w:pPr>
              <w:jc w:val="center"/>
              <w:ind w:left="8"/>
              <w:spacing w:after="0"/>
              <w:rPr>
                <w:sz w:val="20"/>
                <w:szCs w:val="20"/>
                <w:color w:val="auto"/>
              </w:rPr>
            </w:pPr>
            <w:r>
              <w:rPr>
                <w:rFonts w:ascii="Arial" w:cs="Arial" w:eastAsia="Arial" w:hAnsi="Arial"/>
                <w:sz w:val="14"/>
                <w:szCs w:val="14"/>
                <w:color w:val="auto"/>
                <w:w w:val="91"/>
              </w:rPr>
              <w:t>September 30, 2012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color w:val="auto"/>
                <w:w w:val="94"/>
              </w:rPr>
              <w:t>December 31, 2011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Estimated</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color w:val="auto"/>
                <w:w w:val="90"/>
              </w:rPr>
              <w:t>Gross</w:t>
            </w: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5"/>
              </w:rPr>
              <w:t>(Unaudited)</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color w:val="auto"/>
                <w:w w:val="90"/>
              </w:rPr>
              <w:t>Gross</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rPr>
              <w:t>Lives in</w:t>
            </w:r>
          </w:p>
        </w:tc>
        <w:tc>
          <w:tcPr>
            <w:tcW w:w="18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Arial" w:cs="Arial" w:eastAsia="Arial" w:hAnsi="Arial"/>
                <w:sz w:val="14"/>
                <w:szCs w:val="14"/>
                <w:color w:val="auto"/>
                <w:w w:val="94"/>
              </w:rPr>
              <w:t>Carrying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Carrying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Years</w:t>
            </w:r>
          </w:p>
        </w:tc>
        <w:tc>
          <w:tcPr>
            <w:tcW w:w="18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Arial" w:cs="Arial" w:eastAsia="Arial" w:hAnsi="Arial"/>
                <w:sz w:val="14"/>
                <w:szCs w:val="14"/>
                <w:color w:val="auto"/>
                <w:w w:val="95"/>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Indefinite life trademarks</w:t>
            </w:r>
          </w:p>
        </w:tc>
        <w:tc>
          <w:tcPr>
            <w:tcW w:w="1280" w:type="dxa"/>
            <w:vAlign w:val="bottom"/>
            <w:gridSpan w:val="2"/>
            <w:shd w:val="clear" w:color="auto" w:fill="CCFFCC"/>
          </w:tcPr>
          <w:p>
            <w:pPr>
              <w:jc w:val="center"/>
              <w:ind w:right="240"/>
              <w:spacing w:after="0" w:line="149" w:lineRule="exact"/>
              <w:rPr>
                <w:sz w:val="20"/>
                <w:szCs w:val="20"/>
                <w:color w:val="auto"/>
              </w:rPr>
            </w:pPr>
            <w:r>
              <w:rPr>
                <w:rFonts w:ascii="Arial" w:cs="Arial" w:eastAsia="Arial" w:hAnsi="Arial"/>
                <w:sz w:val="14"/>
                <w:szCs w:val="14"/>
                <w:color w:val="auto"/>
                <w:w w:val="98"/>
              </w:rPr>
              <w:t>Indefinite</w:t>
            </w:r>
          </w:p>
        </w:tc>
        <w:tc>
          <w:tcPr>
            <w:tcW w:w="18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44,500,000</w:t>
            </w:r>
          </w:p>
        </w:tc>
        <w:tc>
          <w:tcPr>
            <w:tcW w:w="3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44,500,000</w:t>
            </w:r>
          </w:p>
        </w:tc>
        <w:tc>
          <w:tcPr>
            <w:tcW w:w="26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44,500,000</w:t>
            </w:r>
          </w:p>
        </w:tc>
        <w:tc>
          <w:tcPr>
            <w:tcW w:w="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44,500,000</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Indefinite</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12,835,000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12,835,000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12,835,000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12,835,000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Licensing agreements</w:t>
            </w:r>
          </w:p>
        </w:tc>
        <w:tc>
          <w:tcPr>
            <w:tcW w:w="104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531,000</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1,469,000</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2,000,000</w:t>
            </w: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135,000</w:t>
            </w:r>
          </w:p>
        </w:tc>
        <w:tc>
          <w:tcPr>
            <w:tcW w:w="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1,865,000</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59,335,000</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531,000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58,804,000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59,335,000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135,000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59,200,000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intangible assets for the Current Quarter and the Current Nine Months was $132,000 and $396,000, respectively. The trademarks of Isaac Mizrahi and related goodwill have been determined to have an indefinite useful life and accordingly, consistent with ASC Topic 350, no amortization has been recorded in the Company's unaudited condensed consolidated statements of operations. Instead, each of these intangible assets are tested for impairment, at least annually, on an individual basis as separate single units of accounting, with any related impairment charge recorded to the condensed consolidated statements of operations at the time of determining such impairment.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Isaac Mizrahi Business acquisition, the condensed consolidated balance sheet as of December 31, 2011 has been recast to include retrospective purchase accounting adjustments. The purchase accounting adjustments pertain to measurement period adjustments based on the final computation of the tax basis of the assets acquired in the Isaac Mizrahi Business acquisition, as well as a change in the allocation of revenues among state and local tax jurisdictions.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 on the condensed consolidated balance sheets at December 31, 2011, as a result of the recast, is an increase to goodwill of $1,739,000 to $12.8 million and an increase to the deferred tax liability, related to the acquired intangibles of $1,739,000. There is no effect on the condensed consolidated statements of cash flows or the condensed consolidated statements of operations for the Current Quarter, the Current Nine Months or the period September 29, 2011 to December 31,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Company’s agreement with QVC, Inc. (“QVC”), QVC is required to pay fees based primarily on a percentage of its QVC's net sales of Isaac Mizrahi branded merchandise. QVC royalty revenue represents a significant portion of the Company’s total revenues. Royalties from QVC totaled $1,900,000 and $1,650,000 for the Current Quarter and for the three months ended September 30, 2011 (the “Prior Year Quarter”), respectively, representing 50% and 55% of the Company’s total revenues, respectively. The Prior Year Quarter includes, on an aggregate basis, results of the Predecessor for the period July 1, 2011 through September 28, 2011 (the “Predecessor Prior Year Quarter”) and results of the Successor for the period September 29, 2011 through September 30, 2011 (the “Successor Prior Year Period”). Royalties for the Predecessor Prior Year Quarter and the Successor Prior Year Period were $1,614,000 and $36,000, respectively. Royalties from QVC totaled $5,700,000 and $4,950,000 for the Current Nine Months and for the nine months ended September 30, 2011 (the “Prior Year Nine Months”), respectively, representing 59% and 56% of the Company’s total revenues, respectively. The Prior Year Nine Months includes, on an aggregate basis, results of the Predecessor from the period January 1, 2011 through September 28, 2011 (the “Predecessor Prior Year Nine Months”) and results of the Successor for the period September 29, 2011 through September 30, 2011 (the “Successor Prior Year Period”). Royalties for the Predecessor Prior Year Nine Months and the Successor Prior Year Period were $4,914,000 and $36,000, respectively. As of September 30, 2012 and December 31, 2011, the Company had a receivable from QVC for each year in the amount of $1,900,000, representing 57% and 87% of the Company’s receivables,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Company’s agreement with Liz Claiborne, Inc. (“LC”) (the “LCNY Agreement”) LC is required to pay the Company royalties based primarily on a percentage of royalties LC receives from QVC under a separate license agreement between LC and QVC. Revenues from the LCNY Agreement totaled $458,000 and $313,000 for the Current Quarter and the Prior Year Quarter, respectively, representing 12% and 11% of the Company’s total revenues, respectively. Revenues for the Predecessor Prior Year Quarter and the Successor Prior Year Period were $307,000 and $6,000, respectively. Revenues from LCNY totaled $1,208,000 and $713,000 for the Current Nine Months and for the Prior Year Nine Months, respectively, representing 13% and 8% of the Company’s total revenues, respectively. Revenues for the Predecessor Prior Year Nine Months and the Successor Prior Year Period were $707,000 and $6,000, respectively. As of September 30, 2012 and December 31, 2011, the Company had a receivable from LCNY in the amount of $961,000 and $377,000, representing 29% and 17% of the Company’s receivables,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LC/QVC Design fees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design agreement with QVC for the term of the LCNY Agreement (the “Design Agreement”), QVC is required to pay certain design fees to the Company related to the Liz Claiborne New York brand. Revenues from the Design Agreement totaled $275,000 and $275,000 for the Current Quarter and for the Prior Year Quarter, respectively, representing 7% and 9% of the Company’s total revenues, respectively. Revenues from the Design Agreement for the Predecessor Prior Year Quarter and the Successor Prior Year Period were $269,000 and $6,000, respectively. Revenues from the Design Agreement totaled $825,000 for each of the Current Nine Months and for the Prior Year Nine Months, representing 9% and 9% of the Company’s total revenues, respectively. Revenues for the Predecessor Prior Year Nine Months and the Successor Prior Year Period were $818,000 and $6,000,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5. Long-Term Debt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40" w:type="dxa"/>
            <w:vAlign w:val="bottom"/>
            <w:gridSpan w:val="2"/>
          </w:tcPr>
          <w:p>
            <w:pPr>
              <w:spacing w:after="0"/>
              <w:rPr>
                <w:sz w:val="20"/>
                <w:szCs w:val="20"/>
                <w:color w:val="auto"/>
              </w:rPr>
            </w:pPr>
            <w:r>
              <w:rPr>
                <w:rFonts w:ascii="Arial" w:cs="Arial" w:eastAsia="Arial" w:hAnsi="Arial"/>
                <w:sz w:val="18"/>
                <w:szCs w:val="18"/>
                <w:color w:val="auto"/>
              </w:rPr>
              <w:t>The Company’s net carrying amount of long-term debt is comprised of the following:</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5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0"/>
        </w:trPr>
        <w:tc>
          <w:tcPr>
            <w:tcW w:w="5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Term Loan</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12,520,000</w:t>
            </w:r>
          </w:p>
        </w:tc>
        <w:tc>
          <w:tcPr>
            <w:tcW w:w="400" w:type="dxa"/>
            <w:vAlign w:val="bottom"/>
            <w:gridSpan w:val="2"/>
            <w:shd w:val="clear" w:color="auto" w:fill="CCFFCC"/>
          </w:tcPr>
          <w:p>
            <w:pPr>
              <w:jc w:val="right"/>
              <w:ind w:right="3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12,344,000</w:t>
            </w:r>
          </w:p>
        </w:tc>
        <w:tc>
          <w:tcPr>
            <w:tcW w:w="10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Seller Note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6,166,000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5,765,000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Installment debt obligation</w:t>
            </w: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1,163,000</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1,158,000</w:t>
            </w:r>
          </w:p>
        </w:tc>
        <w:tc>
          <w:tcPr>
            <w:tcW w:w="100" w:type="dxa"/>
            <w:vAlign w:val="bottom"/>
            <w:shd w:val="clear" w:color="auto" w:fill="CCFFC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6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Contingent obligation – due to Seller</w:t>
            </w:r>
          </w:p>
        </w:tc>
        <w:tc>
          <w:tcPr>
            <w:tcW w:w="106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17,766,000</w:t>
            </w:r>
          </w:p>
        </w:tc>
        <w:tc>
          <w:tcPr>
            <w:tcW w:w="2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17,765,000</w:t>
            </w:r>
          </w:p>
        </w:tc>
        <w:tc>
          <w:tcPr>
            <w:tcW w:w="100" w:type="dxa"/>
            <w:vAlign w:val="bottom"/>
            <w:tcBorders>
              <w:bottom w:val="single" w:sz="8" w:color="CCFFCC"/>
            </w:tcBorders>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6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37,615,000</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37,032,000</w:t>
            </w:r>
          </w:p>
        </w:tc>
        <w:tc>
          <w:tcPr>
            <w:tcW w:w="100" w:type="dxa"/>
            <w:vAlign w:val="bottom"/>
            <w:shd w:val="clear" w:color="auto" w:fill="CCFFC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6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Current portion</w:t>
            </w:r>
          </w:p>
        </w:tc>
        <w:tc>
          <w:tcPr>
            <w:tcW w:w="106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1,374,000</w:t>
            </w:r>
          </w:p>
        </w:tc>
        <w:tc>
          <w:tcPr>
            <w:tcW w:w="2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FFC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long term liabilities</w:t>
            </w:r>
          </w:p>
        </w:tc>
        <w:tc>
          <w:tcPr>
            <w:tcW w:w="10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36,241,000</w:t>
            </w:r>
          </w:p>
        </w:tc>
        <w:tc>
          <w:tcPr>
            <w:tcW w:w="2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36,988,000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29, 2011, IM Brands, LLC (“IM Brands”) a wholly-owned subsidiary of the Company, entered into a five-year senior secured facility (the “Loan”) with Midmarket Capital Partners, LLC (“MidMarket”) and Noteholders in the aggregate principal amount of $13,500,000. The Loan is secured by all of the assets of IM Brands and the Company’s membership interests in IM Brands.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amount of the Loan is payable quarterly as follows: 0% until January 5, 2013, 2.5% on January 5, 2013 through October 5, 2013; 3.75% on January 5, 2014 through October 5, 2014; 6.25% on January 5, 2015 through October 5, 2015; 12.5% on January 5, 2016 through the maturity date, which is the date that is 5 years after the closing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Annual scheduled principal obligations are as follows: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8060" w:type="dxa"/>
            <w:vAlign w:val="bottom"/>
            <w:gridSpan w:val="2"/>
          </w:tcPr>
          <w:p>
            <w:pPr>
              <w:spacing w:after="0"/>
              <w:rPr>
                <w:sz w:val="20"/>
                <w:szCs w:val="20"/>
                <w:color w:val="auto"/>
              </w:rPr>
            </w:pPr>
            <w:r>
              <w:rPr>
                <w:rFonts w:ascii="Arial" w:cs="Arial" w:eastAsia="Arial" w:hAnsi="Arial"/>
                <w:sz w:val="18"/>
                <w:szCs w:val="18"/>
                <w:color w:val="auto"/>
              </w:rPr>
              <w:t>Years Ending December 31,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79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2012</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1,350,000</w:t>
            </w:r>
          </w:p>
        </w:tc>
        <w:tc>
          <w:tcPr>
            <w:tcW w:w="60" w:type="dxa"/>
            <w:vAlign w:val="bottom"/>
          </w:tcPr>
          <w:p>
            <w:pPr>
              <w:spacing w:after="0"/>
              <w:rPr>
                <w:sz w:val="18"/>
                <w:szCs w:val="18"/>
                <w:color w:val="auto"/>
              </w:rPr>
            </w:pPr>
          </w:p>
        </w:tc>
      </w:tr>
      <w:tr>
        <w:trPr>
          <w:trHeight w:val="216"/>
        </w:trPr>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2,025,000</w:t>
            </w:r>
          </w:p>
        </w:tc>
        <w:tc>
          <w:tcPr>
            <w:tcW w:w="60" w:type="dxa"/>
            <w:vAlign w:val="bottom"/>
            <w:shd w:val="clear" w:color="auto" w:fill="CCFFCC"/>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3,375,000</w:t>
            </w:r>
          </w:p>
        </w:tc>
        <w:tc>
          <w:tcPr>
            <w:tcW w:w="60" w:type="dxa"/>
            <w:vAlign w:val="bottom"/>
          </w:tcPr>
          <w:p>
            <w:pPr>
              <w:spacing w:after="0"/>
              <w:rPr>
                <w:sz w:val="18"/>
                <w:szCs w:val="18"/>
                <w:color w:val="auto"/>
              </w:rPr>
            </w:pPr>
          </w:p>
        </w:tc>
      </w:tr>
      <w:tr>
        <w:trPr>
          <w:trHeight w:val="230"/>
        </w:trPr>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6,750,000</w:t>
            </w:r>
          </w:p>
        </w:tc>
        <w:tc>
          <w:tcPr>
            <w:tcW w:w="60" w:type="dxa"/>
            <w:vAlign w:val="bottom"/>
            <w:shd w:val="clear" w:color="auto" w:fill="CCFFCC"/>
          </w:tcPr>
          <w:p>
            <w:pPr>
              <w:spacing w:after="0"/>
              <w:rPr>
                <w:sz w:val="19"/>
                <w:szCs w:val="19"/>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13,500,000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preceding table does not include Excess Cash Flow Sweep payments (detailed below). The interest rate on the loan is a fixed rate of 8.5%, payable in cash.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Optional Prepayment </w:t>
      </w:r>
      <w:r>
        <w:rPr>
          <w:rFonts w:ascii="Arial" w:cs="Arial" w:eastAsia="Arial" w:hAnsi="Arial"/>
          <w:sz w:val="18"/>
          <w:szCs w:val="18"/>
          <w:color w:val="auto"/>
        </w:rPr>
        <w:t>. IM Brands may prepay the Loan in whole or in part in increments of $500,000, provided that IM Brands pays the following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prepayment: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Period</w:t>
            </w:r>
          </w:p>
        </w:tc>
        <w:tc>
          <w:tcPr>
            <w:tcW w:w="4420" w:type="dxa"/>
            <w:vAlign w:val="bottom"/>
          </w:tcPr>
          <w:p>
            <w:pPr>
              <w:jc w:val="right"/>
              <w:ind w:right="50"/>
              <w:spacing w:after="0"/>
              <w:rPr>
                <w:sz w:val="20"/>
                <w:szCs w:val="20"/>
                <w:color w:val="auto"/>
              </w:rPr>
            </w:pPr>
            <w:r>
              <w:rPr>
                <w:rFonts w:ascii="Arial" w:cs="Arial" w:eastAsia="Arial" w:hAnsi="Arial"/>
                <w:sz w:val="18"/>
                <w:szCs w:val="18"/>
                <w:color w:val="auto"/>
              </w:rPr>
              <w:t>Applicable Premium</w:t>
            </w:r>
          </w:p>
        </w:tc>
      </w:tr>
      <w:tr>
        <w:trPr>
          <w:trHeight w:val="216"/>
        </w:trPr>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First year following the Closing</w:t>
            </w:r>
          </w:p>
        </w:tc>
        <w:tc>
          <w:tcPr>
            <w:tcW w:w="4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Second year following the Closing</w:t>
            </w:r>
          </w:p>
        </w:tc>
        <w:tc>
          <w:tcPr>
            <w:tcW w:w="4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Third year following the Closing</w:t>
            </w:r>
          </w:p>
        </w:tc>
        <w:tc>
          <w:tcPr>
            <w:tcW w:w="4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Fourth year following the Closing</w:t>
            </w:r>
          </w:p>
        </w:tc>
        <w:tc>
          <w:tcPr>
            <w:tcW w:w="44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i w:val="1"/>
          <w:iCs w:val="1"/>
          <w:color w:val="auto"/>
        </w:rPr>
        <w:t>Mandatory Prepayments.</w:t>
      </w:r>
      <w:r>
        <w:rPr>
          <w:sz w:val="20"/>
          <w:szCs w:val="20"/>
          <w:color w:val="auto"/>
        </w:rPr>
        <w:tab/>
      </w:r>
      <w:r>
        <w:rPr>
          <w:rFonts w:ascii="Arial" w:cs="Arial" w:eastAsia="Arial" w:hAnsi="Arial"/>
          <w:sz w:val="16"/>
          <w:szCs w:val="16"/>
          <w:color w:val="auto"/>
        </w:rPr>
        <w:t>IM Brands is required to prepay the Loan under the following conditions: (1) if certain indebtedness is incurred by the Company;</w:t>
      </w:r>
    </w:p>
    <w:p>
      <w:pPr>
        <w:spacing w:after="0" w:line="23" w:lineRule="exact"/>
        <w:rPr>
          <w:sz w:val="20"/>
          <w:szCs w:val="20"/>
          <w:color w:val="auto"/>
        </w:rPr>
      </w:pPr>
    </w:p>
    <w:p>
      <w:pPr>
        <w:ind w:firstLine="8"/>
        <w:spacing w:after="0" w:line="261"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IM Brands undertakes certain asset sales or sales of capital stock, with limited exceptions; or (3) if there is a payment of the benefits of a life insurance policy for Isaac Mizrahi held by the Company.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Excess Cash Flow Sweep. </w:t>
      </w:r>
      <w:r>
        <w:rPr>
          <w:rFonts w:ascii="Arial" w:cs="Arial" w:eastAsia="Arial" w:hAnsi="Arial"/>
          <w:sz w:val="16"/>
          <w:szCs w:val="16"/>
          <w:color w:val="auto"/>
        </w:rPr>
        <w:t>In addition to the Mandatory Prepayments described above, if for any fiscal year ending on or subsequent to December 31, 2012,</w:t>
      </w:r>
      <w:r>
        <w:rPr>
          <w:rFonts w:ascii="Arial" w:cs="Arial" w:eastAsia="Arial" w:hAnsi="Arial"/>
          <w:sz w:val="16"/>
          <w:szCs w:val="16"/>
          <w:i w:val="1"/>
          <w:iCs w:val="1"/>
          <w:color w:val="auto"/>
        </w:rPr>
        <w:t xml:space="preserve"> </w:t>
      </w:r>
      <w:r>
        <w:rPr>
          <w:rFonts w:ascii="Arial" w:cs="Arial" w:eastAsia="Arial" w:hAnsi="Arial"/>
          <w:sz w:val="16"/>
          <w:szCs w:val="16"/>
          <w:color w:val="auto"/>
        </w:rPr>
        <w:t>there is excess cash flow (as defined in the Loan Agreement) for such year, then on the payment date following the end of such year, IM Brands is required to make a principal payment on the Loan equal to the lesser of (i) 50% of the excess cash flow or (ii) the positive result of the unencumbered cash and cash equivalents of the Company minus the greater of (x) the Excess Liquidity, (as defined in the Loan Agreement) required to be maintained by IM Brands and</w:t>
      </w:r>
    </w:p>
    <w:p>
      <w:pPr>
        <w:spacing w:after="0" w:line="2" w:lineRule="exact"/>
        <w:rPr>
          <w:sz w:val="20"/>
          <w:szCs w:val="20"/>
          <w:color w:val="auto"/>
        </w:rPr>
      </w:pPr>
    </w:p>
    <w:p>
      <w:pPr>
        <w:ind w:firstLine="8"/>
        <w:spacing w:after="0" w:line="261"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$3,000,000. For the period ended September 30, 2012, there was no Excess Cash Flow Sweep payment due, however the condensed consolidated balance sheet includes $200,000 in current liabilities as current portion of long term debt payable in April 2013.</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Lender Warrants. </w:t>
      </w:r>
      <w:r>
        <w:rPr>
          <w:rFonts w:ascii="Arial" w:cs="Arial" w:eastAsia="Arial" w:hAnsi="Arial"/>
          <w:sz w:val="16"/>
          <w:szCs w:val="16"/>
          <w:color w:val="auto"/>
        </w:rPr>
        <w:t>At the closing of the Loan, the Company issued to the Noteholders seven-year warrants (the “Lender Warrants”) to purchase 364,428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Common Stock, representing 5% of the Common Stock outstanding as of the Closing Date on a fully diluted basis. The warrants have an exercise price of $0.01 and contain a cashless exercise provision. The Company granted to the holders of the Lender Warrants piggy-back registration rights with respect to the shares of Common Stock issuable upon exercise of the Lender Warrants. The carrying value of the Term Loan has been reduced by the fair value of the warrants, equal to $3.33 per share. The Company used the Black Scholes Method to determine valuation. The amount of the original loan discount is $1,214,000, resulting in an initial net loan balance of $12,286,000. The original loan discount is being amortized over the five-year term of the loan. The Company recognized $59,000 and $176,000 of amortized interest expense included in the Unaudited Condensed Consolidated Statements of Operations for the Current Quarter ended and the Current Nine Months ended, respectively. The Term Loan balance as of September 30, 2012 is $12,520,000.</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Financial Covenants</w:t>
      </w:r>
      <w:r>
        <w:rPr>
          <w:rFonts w:ascii="Arial" w:cs="Arial" w:eastAsia="Arial" w:hAnsi="Arial"/>
          <w:sz w:val="18"/>
          <w:szCs w:val="18"/>
          <w:color w:val="auto"/>
        </w:rPr>
        <w:t>. Provided that as the Loan remains unpaid or unsatisfied, IM Brands shall not, and shall not permit any of its subsidiaries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w:t>
      </w:r>
    </w:p>
    <w:p>
      <w:pPr>
        <w:spacing w:after="0" w:line="170" w:lineRule="exact"/>
        <w:rPr>
          <w:sz w:val="20"/>
          <w:szCs w:val="20"/>
          <w:color w:val="auto"/>
        </w:rPr>
      </w:pPr>
    </w:p>
    <w:p>
      <w:pPr>
        <w:ind w:left="660" w:right="1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Permit Excess Liquidity (as defined in the Loan Agreement) to be less than the amount set forth below during each applicable period set forth below:</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1360" w:type="dxa"/>
            <w:vAlign w:val="bottom"/>
            <w:gridSpan w:val="4"/>
          </w:tcPr>
          <w:p>
            <w:pPr>
              <w:ind w:left="80"/>
              <w:spacing w:after="0"/>
              <w:rPr>
                <w:sz w:val="20"/>
                <w:szCs w:val="20"/>
                <w:color w:val="auto"/>
              </w:rPr>
            </w:pPr>
            <w:r>
              <w:rPr>
                <w:rFonts w:ascii="Arial" w:cs="Arial" w:eastAsia="Arial" w:hAnsi="Arial"/>
                <w:sz w:val="18"/>
                <w:szCs w:val="18"/>
                <w:color w:val="auto"/>
                <w:w w:val="97"/>
              </w:rPr>
              <w:t>Excess Liquidity</w:t>
            </w:r>
          </w:p>
        </w:tc>
      </w:tr>
      <w:tr>
        <w:trPr>
          <w:trHeight w:val="210"/>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29, 2011 through December 31, 2011</w:t>
            </w: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January 1, 2012 through March 31, 2012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April 1, 2012 through June 30, 2012</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July 1, 2012 through September 30, 2012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October 1, 2012 through June 30, 2013</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July 1, 2013 through September 30, 2013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October 1, 2013 through March 31, 2014</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April 1, 2014 through June 30, 2014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July 1, 2014 and thereafter</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u w:val="single" w:color="auto"/>
          <w:color w:val="auto"/>
        </w:rPr>
        <w:t>Capital Expenditures</w:t>
      </w:r>
      <w:r>
        <w:rPr>
          <w:rFonts w:ascii="Arial" w:cs="Arial" w:eastAsia="Arial" w:hAnsi="Arial"/>
          <w:sz w:val="18"/>
          <w:szCs w:val="18"/>
          <w:color w:val="auto"/>
        </w:rPr>
        <w:t>. Permit the aggregate amount of Capital Expenditures to exceed $400,000 (whether or not financed) per year.</w:t>
      </w:r>
    </w:p>
    <w:p>
      <w:pPr>
        <w:spacing w:after="0" w:line="225" w:lineRule="exact"/>
        <w:rPr>
          <w:sz w:val="20"/>
          <w:szCs w:val="20"/>
          <w:color w:val="auto"/>
        </w:rPr>
      </w:pPr>
    </w:p>
    <w:p>
      <w:pPr>
        <w:ind w:left="660" w:right="24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Permit the Consolidated Fixed Charge Coverage Ratio (as defined in the Loan Agreement) as of the end of each of the fiscal quarters ending on the dates (or for the periods) set forth for the period of four fiscal quarters ending on such dates (or for the periods) below to be less than the ratio set forth below opposite such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color w:val="auto"/>
                <w:w w:val="92"/>
              </w:rPr>
              <w:t>Minimum Fixed Charge</w:t>
            </w:r>
          </w:p>
        </w:tc>
        <w:tc>
          <w:tcPr>
            <w:tcW w:w="1140" w:type="dxa"/>
            <w:vAlign w:val="bottom"/>
          </w:tcPr>
          <w:p>
            <w:pPr>
              <w:spacing w:after="0"/>
              <w:rPr>
                <w:sz w:val="19"/>
                <w:szCs w:val="19"/>
                <w:color w:val="auto"/>
              </w:rPr>
            </w:pPr>
          </w:p>
        </w:tc>
      </w:tr>
      <w:tr>
        <w:trPr>
          <w:trHeight w:val="230"/>
        </w:trPr>
        <w:tc>
          <w:tcPr>
            <w:tcW w:w="8460" w:type="dxa"/>
            <w:vAlign w:val="bottom"/>
            <w:gridSpan w:val="2"/>
          </w:tcPr>
          <w:p>
            <w:pPr>
              <w:ind w:left="1140"/>
              <w:spacing w:after="0"/>
              <w:rPr>
                <w:sz w:val="20"/>
                <w:szCs w:val="20"/>
                <w:color w:val="auto"/>
              </w:rPr>
            </w:pPr>
            <w:r>
              <w:rPr>
                <w:rFonts w:ascii="Arial" w:cs="Arial" w:eastAsia="Arial" w:hAnsi="Arial"/>
                <w:sz w:val="18"/>
                <w:szCs w:val="18"/>
                <w:color w:val="auto"/>
              </w:rPr>
              <w:t>Trailing Four Fiscal Quarters Ending</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Coverage Ratio</w:t>
            </w: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73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80" w:type="dxa"/>
            <w:vAlign w:val="bottom"/>
            <w:tcBorders>
              <w:top w:val="single" w:sz="8" w:color="CCFFCC"/>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1.90 to 1.00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March 31, 2013 and June 30, 2013</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1.60 to 1.00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w w:val="91"/>
              </w:rPr>
              <w:t>September 30, 2013, December 31, 2013, March 31, 2014, June 30, 2014 and September 30, 2014</w:t>
            </w:r>
          </w:p>
        </w:tc>
        <w:tc>
          <w:tcPr>
            <w:tcW w:w="18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1.50 to 1.00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December 31, 2014 and March 31, 2015</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1.30 to 1.00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June 30, 2015 and thereafter</w:t>
            </w:r>
          </w:p>
        </w:tc>
        <w:tc>
          <w:tcPr>
            <w:tcW w:w="18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1.15 to 1.00</w:t>
            </w:r>
          </w:p>
        </w:tc>
        <w:tc>
          <w:tcPr>
            <w:tcW w:w="1140" w:type="dxa"/>
            <w:vAlign w:val="bottom"/>
          </w:tcPr>
          <w:p>
            <w:pPr>
              <w:spacing w:after="0"/>
              <w:rPr>
                <w:sz w:val="18"/>
                <w:szCs w:val="18"/>
                <w:color w:val="auto"/>
              </w:rPr>
            </w:pPr>
          </w:p>
        </w:tc>
      </w:tr>
      <w:tr>
        <w:trPr>
          <w:trHeight w:val="648"/>
        </w:trPr>
        <w:tc>
          <w:tcPr>
            <w:tcW w:w="8460" w:type="dxa"/>
            <w:vAlign w:val="bottom"/>
            <w:tcBorders>
              <w:bottom w:val="single" w:sz="8" w:color="auto"/>
            </w:tcBorders>
            <w:gridSpan w:val="2"/>
          </w:tcPr>
          <w:p>
            <w:pPr>
              <w:jc w:val="right"/>
              <w:ind w:right="2570"/>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3" w:name="page14"/>
    <w:bookmarkEnd w:id="13"/>
    <w:p>
      <w:pPr>
        <w:jc w:val="both"/>
        <w:ind w:left="660" w:right="140" w:hanging="319"/>
        <w:spacing w:after="0" w:line="264" w:lineRule="auto"/>
        <w:tabs>
          <w:tab w:leader="none" w:pos="6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Permit the Consolidated Total Leverage Ratio (as defined in the Loan Agreement) as of the end of each of the fiscal quarters ending on the dates (or for the periods) set forth for the period of four fiscal quarters ending on such dates (or for the periods) below to be greater than the ratio set forth below opposite such period:</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Maximum</w:t>
            </w: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Consolidated</w:t>
            </w: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Trailing Four Fiscal Quarters Ending</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Leverage Ratio</w:t>
            </w:r>
          </w:p>
        </w:tc>
      </w:tr>
      <w:tr>
        <w:trPr>
          <w:trHeight w:val="210"/>
        </w:trPr>
        <w:tc>
          <w:tcPr>
            <w:tcW w:w="20" w:type="dxa"/>
            <w:vAlign w:val="bottom"/>
          </w:tcPr>
          <w:p>
            <w:pPr>
              <w:spacing w:after="0"/>
              <w:rPr>
                <w:sz w:val="18"/>
                <w:szCs w:val="18"/>
                <w:color w:val="auto"/>
              </w:rPr>
            </w:pPr>
          </w:p>
        </w:tc>
        <w:tc>
          <w:tcPr>
            <w:tcW w:w="7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8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ind w:left="600"/>
              <w:spacing w:after="0"/>
              <w:rPr>
                <w:sz w:val="20"/>
                <w:szCs w:val="20"/>
                <w:color w:val="auto"/>
              </w:rPr>
            </w:pPr>
            <w:r>
              <w:rPr>
                <w:rFonts w:ascii="Arial" w:cs="Arial" w:eastAsia="Arial" w:hAnsi="Arial"/>
                <w:sz w:val="18"/>
                <w:szCs w:val="18"/>
                <w:color w:val="auto"/>
                <w:w w:val="88"/>
              </w:rPr>
              <w:t>3.50 to 1.00</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1540" w:type="dxa"/>
            <w:vAlign w:val="bottom"/>
            <w:gridSpan w:val="2"/>
          </w:tcPr>
          <w:p>
            <w:pPr>
              <w:ind w:left="600"/>
              <w:spacing w:after="0"/>
              <w:rPr>
                <w:sz w:val="20"/>
                <w:szCs w:val="20"/>
                <w:color w:val="auto"/>
              </w:rPr>
            </w:pPr>
            <w:r>
              <w:rPr>
                <w:rFonts w:ascii="Arial" w:cs="Arial" w:eastAsia="Arial" w:hAnsi="Arial"/>
                <w:sz w:val="18"/>
                <w:szCs w:val="18"/>
                <w:color w:val="auto"/>
                <w:w w:val="96"/>
              </w:rPr>
              <w:t>3.30 to 1.00</w:t>
            </w: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June 30, 2013 and September 30, 2013</w:t>
            </w:r>
          </w:p>
        </w:tc>
        <w:tc>
          <w:tcPr>
            <w:tcW w:w="154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w w:val="96"/>
              </w:rPr>
              <w:t>3.00 to 1.00</w:t>
            </w: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1540" w:type="dxa"/>
            <w:vAlign w:val="bottom"/>
            <w:gridSpan w:val="2"/>
          </w:tcPr>
          <w:p>
            <w:pPr>
              <w:ind w:left="600"/>
              <w:spacing w:after="0"/>
              <w:rPr>
                <w:sz w:val="20"/>
                <w:szCs w:val="20"/>
                <w:color w:val="auto"/>
              </w:rPr>
            </w:pPr>
            <w:r>
              <w:rPr>
                <w:rFonts w:ascii="Arial" w:cs="Arial" w:eastAsia="Arial" w:hAnsi="Arial"/>
                <w:sz w:val="18"/>
                <w:szCs w:val="18"/>
                <w:color w:val="auto"/>
                <w:w w:val="96"/>
              </w:rPr>
              <w:t>2.75 to 1.00</w:t>
            </w: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March 31, 2014</w:t>
            </w:r>
          </w:p>
        </w:tc>
        <w:tc>
          <w:tcPr>
            <w:tcW w:w="154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w w:val="96"/>
              </w:rPr>
              <w:t>2.25 to 1.00</w:t>
            </w:r>
          </w:p>
        </w:tc>
      </w:tr>
      <w:tr>
        <w:trPr>
          <w:trHeight w:val="230"/>
        </w:trPr>
        <w:tc>
          <w:tcPr>
            <w:tcW w:w="2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June 30, 2014 and thereafter</w:t>
            </w:r>
          </w:p>
        </w:tc>
        <w:tc>
          <w:tcPr>
            <w:tcW w:w="1540" w:type="dxa"/>
            <w:vAlign w:val="bottom"/>
            <w:gridSpan w:val="2"/>
          </w:tcPr>
          <w:p>
            <w:pPr>
              <w:ind w:left="600"/>
              <w:spacing w:after="0"/>
              <w:rPr>
                <w:sz w:val="20"/>
                <w:szCs w:val="20"/>
                <w:color w:val="auto"/>
              </w:rPr>
            </w:pPr>
            <w:r>
              <w:rPr>
                <w:rFonts w:ascii="Arial" w:cs="Arial" w:eastAsia="Arial" w:hAnsi="Arial"/>
                <w:sz w:val="18"/>
                <w:szCs w:val="18"/>
                <w:color w:val="auto"/>
                <w:w w:val="96"/>
              </w:rPr>
              <w:t>2.00 to 1.00</w:t>
            </w:r>
          </w:p>
        </w:tc>
      </w:tr>
    </w:tbl>
    <w:p>
      <w:pPr>
        <w:spacing w:after="0" w:line="187" w:lineRule="exact"/>
        <w:rPr>
          <w:sz w:val="20"/>
          <w:szCs w:val="20"/>
          <w:color w:val="auto"/>
        </w:rPr>
      </w:pPr>
    </w:p>
    <w:p>
      <w:pPr>
        <w:ind w:left="660" w:right="18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Minimum Consolidated EBITDA</w:t>
      </w:r>
      <w:r>
        <w:rPr>
          <w:rFonts w:ascii="Arial" w:cs="Arial" w:eastAsia="Arial" w:hAnsi="Arial"/>
          <w:sz w:val="18"/>
          <w:szCs w:val="18"/>
          <w:color w:val="auto"/>
        </w:rPr>
        <w:t xml:space="preserve">. Permit Consolidated EBITDA (as defined in the Loan Agreement) as of the end of each of the fiscal quarters ending on the dates set forth for the period of four fiscal quarters ending on such dates below to be less than the amount set forth opposite such quarter in the table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fiscal quarters ended on December 31, 2011, March 31, 2012 and June 30, 2012, such periods shall be one fiscal quarter, two fiscal quarters and three fiscal quarters, respectively:</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1720" w:type="dxa"/>
            <w:vAlign w:val="bottom"/>
            <w:gridSpan w:val="3"/>
          </w:tcPr>
          <w:p>
            <w:pPr>
              <w:spacing w:after="0"/>
              <w:rPr>
                <w:sz w:val="20"/>
                <w:szCs w:val="20"/>
                <w:color w:val="auto"/>
              </w:rPr>
            </w:pPr>
            <w:r>
              <w:rPr>
                <w:rFonts w:ascii="Arial" w:cs="Arial" w:eastAsia="Arial" w:hAnsi="Arial"/>
                <w:sz w:val="18"/>
                <w:szCs w:val="18"/>
                <w:color w:val="auto"/>
                <w:w w:val="97"/>
              </w:rPr>
              <w:t>Consolidated EBITDA</w:t>
            </w:r>
          </w:p>
        </w:tc>
      </w:tr>
      <w:tr>
        <w:trPr>
          <w:trHeight w:val="210"/>
        </w:trPr>
        <w:tc>
          <w:tcPr>
            <w:tcW w:w="67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December 31, 2011</w:t>
            </w:r>
          </w:p>
        </w:tc>
        <w:tc>
          <w:tcPr>
            <w:tcW w:w="8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March 31, 2012</w:t>
            </w:r>
          </w:p>
        </w:tc>
        <w:tc>
          <w:tcPr>
            <w:tcW w:w="5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1,250,000</w:t>
            </w:r>
          </w:p>
        </w:tc>
      </w:tr>
      <w:tr>
        <w:trPr>
          <w:trHeight w:val="216"/>
        </w:trPr>
        <w:tc>
          <w:tcPr>
            <w:tcW w:w="6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June 30, 2012</w:t>
            </w:r>
          </w:p>
        </w:tc>
        <w:tc>
          <w:tcPr>
            <w:tcW w:w="5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2,500,000</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5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4,000,000</w:t>
            </w:r>
          </w:p>
        </w:tc>
      </w:tr>
      <w:tr>
        <w:trPr>
          <w:trHeight w:val="216"/>
        </w:trPr>
        <w:tc>
          <w:tcPr>
            <w:tcW w:w="6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December 31, 2012 and March 31, 2013</w:t>
            </w:r>
          </w:p>
        </w:tc>
        <w:tc>
          <w:tcPr>
            <w:tcW w:w="5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4,250,000</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5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4,500,000</w:t>
            </w:r>
          </w:p>
        </w:tc>
      </w:tr>
      <w:tr>
        <w:trPr>
          <w:trHeight w:val="216"/>
        </w:trPr>
        <w:tc>
          <w:tcPr>
            <w:tcW w:w="6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September 30, 2013</w:t>
            </w:r>
          </w:p>
        </w:tc>
        <w:tc>
          <w:tcPr>
            <w:tcW w:w="5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4,750,000</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December 31, 2013 and thereafter</w:t>
            </w:r>
          </w:p>
        </w:tc>
        <w:tc>
          <w:tcPr>
            <w:tcW w:w="5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5,000,000</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VI  </w:t>
      </w:r>
      <w:r>
        <w:rPr>
          <w:rFonts w:ascii="Arial" w:cs="Arial" w:eastAsia="Arial" w:hAnsi="Arial"/>
          <w:sz w:val="18"/>
          <w:szCs w:val="18"/>
          <w:u w:val="single" w:color="auto"/>
          <w:color w:val="auto"/>
        </w:rPr>
        <w:t>Dividend Restrictions</w:t>
      </w:r>
      <w:r>
        <w:rPr>
          <w:rFonts w:ascii="Arial" w:cs="Arial" w:eastAsia="Arial" w:hAnsi="Arial"/>
          <w:sz w:val="18"/>
          <w:szCs w:val="18"/>
          <w:color w:val="auto"/>
        </w:rPr>
        <w:t>. Permit any cash dividends or any other equity distributions.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VII </w:t>
      </w:r>
      <w:r>
        <w:rPr>
          <w:rFonts w:ascii="Arial" w:cs="Arial" w:eastAsia="Arial" w:hAnsi="Arial"/>
          <w:sz w:val="18"/>
          <w:szCs w:val="18"/>
          <w:u w:val="single" w:color="auto"/>
          <w:color w:val="auto"/>
        </w:rPr>
        <w:t>Restricted Cash Payments</w:t>
      </w:r>
      <w:r>
        <w:rPr>
          <w:rFonts w:ascii="Arial" w:cs="Arial" w:eastAsia="Arial" w:hAnsi="Arial"/>
          <w:sz w:val="18"/>
          <w:szCs w:val="18"/>
          <w:color w:val="auto"/>
        </w:rPr>
        <w:t>. Permit any cash payments for the Seller Note or any contingent earn-out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the Company and IM Brands were in full compliance with all of the covenants under the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Seller Note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Purchase Agreement, at the closing, the Company delivered to IM Ready an unsecured promissory note (the “Seller Note”) in the principal amount of $7,377,000. The stated interest rate of the Seller Note is 0.25%. Management has determined that this rate is below the Company’s expected borrowing rate, which is 9.25%. Therefore, the Company has discounted the Seller Note by $1,740,000 using a 9.0%, imputed annual interest rate, resulting in an initial value of $5,637,000. In addition, the Company pre-paid $123,000 of interest on the Seller Note on the Closing Date. The Company recognized $137,000 and $401,000 of amortized interest expense included in the Unaudited Condensed Consolidated Statements of Operations for the Current Quarter and the Current Nine Months, respectively. The Seller Note balance at September 30, 2012 is $6,166,000.</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Seller Note initially matures three years from the Closing Date (the “Maturity Date”) subject to extension as described below (the date to which the maturity date of the Seller Note is extended is referred to as the “Subsequent Maturity Date”). We have the right to pay the Seller Note at the Maturity Date in cash or, subject to the following conditions, in shares of Common Stock. If we elect to repay the outstanding principal amount of the Seller Note on the Maturity Date by issuing shares of Common Stock, the number of shares issuable will be obtained by dividing the principal amount of the Seller Note then outstanding by the greater of (i) the fair value of the Common Stock on the Maturity Date and (ii) $4.50 subject to certain adjustments; provided, however, that if the fair value of the Common Stock is less than $4.50 as adjusted, IM Ready will have the option to extend the maturity of the Seller Note to the Subsequent Maturity Date, September 29, 2016. If the maturity date of the Seller Note is so extended, IM Ready will have the option to convert the Seller Note into Common Shares based on the greater of (i) the fair value of the Common Stock on the Subsequent Maturity Date and (ii) $4.50, subject to certain adjustments. If the maturity date of the Seller Note is extended, we will also have the option to repay the outstanding principal amount of the Seller Note on the Subsequent Maturity Date in cash or by issuing the number of shares of Common Stock obtained by dividing the principal amount of the Note outstanding on the Subsequent Maturity Date by the fair value of the Common Stock on the Maturity Date. In addition, at any time the Seller Note is outstanding, we have the right to convert the Note, in whole or in part, into the number of shares of Common Stock obtained by dividing the principal amount to be converted by the fair value of the Common Stock at the time of the conversion, so long as the fair value of our Common Stock is at least $4.50.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u w:val="single" w:color="auto"/>
          <w:color w:val="auto"/>
        </w:rPr>
        <w:t>Long Term Installment Obligations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Acquisition Date, Earthbound, LLC (“Earthbound”) had certain rights and provided certain services to IM Ready related to the Isaac Mizrahi Business. Effective as of the Acquisition Date, IM Ready and Earthbound entered into the Services Agreement pursuant to which Earthbound provided transitional services to IM Ready prior to the Acquisition Date and for which Earthbound received from IM Ready $600,000 in cash on the Acquisition Date and IM Ready agreed to pay to Earthbound an additional payment of $1,500,000 (the “Future Payment”), with such amount payable over the next five years. The Company assumed the obligations related to the Future Payment from IM Ready upon its acquisition of the Isaac Mizrahi Business. The five-year unsecured obligation is non-interest bearing and the Company has discounted the amount of the installment obligation by a 9.25% imputed annual interest rate, resulting in an initial fair value of $1,132,000. The Company recognized $26,000 and $80,000 of amortized interest expense included in the Unaudited Condensed Consolidated Statements of Operations for the Current Quarter and the Current Nine Months, respectively. The balance of the Installment Obligation at September 30, 2012 is $1,163,000.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Payments commenced March 2012. Annual gross remaining payments are as follows: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8740" w:type="dxa"/>
            <w:vAlign w:val="bottom"/>
            <w:gridSpan w:val="3"/>
          </w:tcPr>
          <w:p>
            <w:pPr>
              <w:ind w:left="1140"/>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7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2012</w:t>
            </w: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CCFFCC"/>
            </w:tcBorders>
            <w:gridSpan w:val="2"/>
            <w:shd w:val="clear" w:color="auto" w:fill="CCFFCC"/>
          </w:tcPr>
          <w:p>
            <w:pPr>
              <w:jc w:val="right"/>
              <w:ind w:right="29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shd w:val="clear" w:color="auto" w:fill="CCFFCC"/>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750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FFCC"/>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1,425,000</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 – due to Seller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was no change in the contingent obligation for the nine months ended September 30, 2012.</w:t>
      </w:r>
    </w:p>
    <w:p>
      <w:pPr>
        <w:spacing w:after="0" w:line="221" w:lineRule="exact"/>
        <w:rPr>
          <w:sz w:val="20"/>
          <w:szCs w:val="20"/>
          <w:color w:val="auto"/>
        </w:rPr>
      </w:pPr>
    </w:p>
    <w:p>
      <w:pPr>
        <w:ind w:left="980" w:hanging="630"/>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2,500,000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 On October 17, 2011, the Company issued to the board 250,000 options. 33.33% vest immediately, 33.33% vest on the first anniversary of the grant and the 33.34% vest on the second anniversary of the grant.</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21, 2011 the Company issued to employees (non-management) 17,125 stock options and 17,125 restricted stock grants. The employee stock options and restricted stock grants vest 50% on the first anniversary of the grant and 50% vest on the second anniversary of the grant. Of these awards, 750 options and 750 restricted stock grants were forfeited, and reverted to, and are eligible for re-grant under the Plan.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17, 2012, the Company issued to management an aggregate of 1,100,000 restricted stock grants. The vesting date of 1,025,000 shares of restricted stock is November 15, 2012, provided, however, that each such grantee may extend the vesting date by six-month increments in his or her sole discretion. The vesting date of 37,500 shares of restricted stock is May 15, 2013, provided however, the executive may extend the vesting date by six-month increments in his sole discretion. The vesting date of 37,500 shares of restricted stock is May 15, 2014, provided however, the executive may extend the vesting date by six-month increments in his sole discretion.</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Also, on April 17, 2012, the Company granted 50,000 shares of restricted stock to a non-executive employee. The vesting date of the 50,000 shares of restricted stock is November 15, 2012, provided however, the employee may extend the vesting date by nine-month increments in her sole discretion.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 2012, the Company granted options to purchase an aggregate of 105,500 shares of Common Stock (the “Options”) to non-executive employees of the Company. The exercise price per share of the Options is $3.00 per share, and 50% of the Options will vest on each of the first and second anniversaries of the grant date.</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June 1, 2012, the Company issued to non-management directors 138,335 restricted stock grants. The vesting date of 138,335 shares of restricted stock is December 1, 2012, provided, however, that each such grantee may extend the vesting date by six-month increments in his sole discretion.</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1, 2012, the Company issued to management 242,775 restricted stock grants. The vesting date of 242,775 shares of restricted stock is December 1, 2012, provided, however, that each such grantee may extend the vesting date by six-month increments in his sole discretion.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both"/>
        <w:spacing w:after="0" w:line="308" w:lineRule="auto"/>
        <w:rPr>
          <w:sz w:val="20"/>
          <w:szCs w:val="20"/>
          <w:color w:val="auto"/>
        </w:rPr>
      </w:pPr>
      <w:r>
        <w:rPr>
          <w:rFonts w:ascii="Arial" w:cs="Arial" w:eastAsia="Arial" w:hAnsi="Arial"/>
          <w:sz w:val="17"/>
          <w:szCs w:val="17"/>
          <w:color w:val="auto"/>
        </w:rPr>
        <w:t>Also, on June 1, 2012, the Company granted 13,833 shares of restricted stock to a non-executive employee. The vesting date of the 13,833 shares of restricted stock is December 1, 2012, provided however, the employee may extend the vesting date by six-month increments in her sole discretion.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None of the above vesting dates subject to an extension provision have been extended by any of the recipients.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Licensee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terms and conditions of a certain license agreement effective October 1, 2011, the Company issued warrants to purchase 75,000 shares of common stock to a licensee having a fair value of $23,000. The Warrants are exercisable in whole or in part, at an exercise price of $5.50 per share (“Exercise Price”). The Warrants may be exercised at any time upon the election of the holder, beginning on January 23, 2012, the date of issuance, and ending on the fifth anniversary of the date of issuance. Upon the expiration of the Warrant exercise period, the Warrants will expire and become void and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The Company's employee stock options have characteristics significantly different from those of traded options.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for these options and warrants for all years was estimated at the date of grant using a Black-Scholes option-pricing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5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3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Expected Life (Term)</w:t>
            </w:r>
          </w:p>
        </w:tc>
        <w:tc>
          <w:tcPr>
            <w:tcW w:w="5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 – 5.75 years</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380" w:type="dxa"/>
            <w:vAlign w:val="bottom"/>
          </w:tcPr>
          <w:p>
            <w:pPr>
              <w:jc w:val="right"/>
              <w:spacing w:after="0"/>
              <w:rPr>
                <w:sz w:val="20"/>
                <w:szCs w:val="20"/>
                <w:color w:val="auto"/>
              </w:rPr>
            </w:pPr>
            <w:r>
              <w:rPr>
                <w:rFonts w:ascii="Arial" w:cs="Arial" w:eastAsia="Arial" w:hAnsi="Arial"/>
                <w:sz w:val="18"/>
                <w:szCs w:val="18"/>
                <w:color w:val="auto"/>
              </w:rPr>
              <w:t>0.42% - 0.98%</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that the Company granted under its plans expire at various times, either five, seven or ten years from the date of grant, depending on the particular grant.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Options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3"/>
            <w:vMerge w:val="restart"/>
          </w:tcPr>
          <w:p>
            <w:pPr>
              <w:jc w:val="center"/>
              <w:ind w:right="340"/>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2012</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267,125</w:t>
            </w:r>
          </w:p>
        </w:tc>
        <w:tc>
          <w:tcPr>
            <w:tcW w:w="24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105,500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Outstanding at September 30, 2012</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371,875</w:t>
            </w:r>
          </w:p>
        </w:tc>
        <w:tc>
          <w:tcPr>
            <w:tcW w:w="220" w:type="dxa"/>
            <w:vAlign w:val="bottom"/>
            <w:tcBorders>
              <w:bottom w:val="single" w:sz="8" w:color="CCFFCC"/>
            </w:tcBorders>
          </w:tcPr>
          <w:p>
            <w:pPr>
              <w:spacing w:after="0"/>
              <w:rPr>
                <w:sz w:val="22"/>
                <w:szCs w:val="22"/>
                <w:color w:val="auto"/>
              </w:rPr>
            </w:pPr>
          </w:p>
        </w:tc>
        <w:tc>
          <w:tcPr>
            <w:tcW w:w="2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September 30, 2012</w:t>
            </w:r>
          </w:p>
        </w:tc>
        <w:tc>
          <w:tcPr>
            <w:tcW w:w="12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82,500</w:t>
            </w:r>
          </w:p>
        </w:tc>
        <w:tc>
          <w:tcPr>
            <w:tcW w:w="22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5.00</w:t>
            </w:r>
          </w:p>
        </w:tc>
        <w:tc>
          <w:tcPr>
            <w:tcW w:w="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spacing w:after="0"/>
              <w:rPr>
                <w:sz w:val="20"/>
                <w:szCs w:val="20"/>
                <w:color w:val="auto"/>
              </w:rPr>
            </w:pPr>
            <w:r>
              <w:rPr>
                <w:rFonts w:ascii="Arial" w:cs="Arial" w:eastAsia="Arial" w:hAnsi="Arial"/>
                <w:sz w:val="18"/>
                <w:szCs w:val="18"/>
                <w:color w:val="auto"/>
              </w:rPr>
              <w:t>Shares expected to vest after September 30, 2012</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0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289,375</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preceding table does not include options to purchase 576 shares of Common Stock for $728 per share issued under the Company’s former equity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issue any equity awards under this plan.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stock option grants in connection with the licensing agreement for the Current Quarter and the Current Nine Months was $23,000 and $51,000, respectively. There was no compensation expense prior to the Successor period. An additional amount of $124,000 is expected to be expensed over a period of 19-months.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Warrants</w:t>
            </w:r>
          </w:p>
        </w:tc>
        <w:tc>
          <w:tcPr>
            <w:tcW w:w="2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Weighted-Average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2012</w:t>
            </w:r>
          </w:p>
        </w:tc>
        <w:tc>
          <w:tcPr>
            <w:tcW w:w="42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1,219,543</w:t>
            </w:r>
          </w:p>
        </w:tc>
        <w:tc>
          <w:tcPr>
            <w:tcW w:w="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4280" w:type="dxa"/>
            <w:vAlign w:val="bottom"/>
            <w:gridSpan w:val="3"/>
          </w:tcPr>
          <w:p>
            <w:pPr>
              <w:jc w:val="right"/>
              <w:ind w:right="14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42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Exercised</w:t>
            </w:r>
          </w:p>
        </w:tc>
        <w:tc>
          <w:tcPr>
            <w:tcW w:w="4280" w:type="dxa"/>
            <w:vAlign w:val="bottom"/>
            <w:gridSpan w:val="3"/>
          </w:tcPr>
          <w:p>
            <w:pPr>
              <w:jc w:val="right"/>
              <w:ind w:right="80"/>
              <w:spacing w:after="0"/>
              <w:rPr>
                <w:sz w:val="20"/>
                <w:szCs w:val="20"/>
                <w:color w:val="auto"/>
              </w:rPr>
            </w:pPr>
            <w:r>
              <w:rPr>
                <w:rFonts w:ascii="Arial" w:cs="Arial" w:eastAsia="Arial" w:hAnsi="Arial"/>
                <w:sz w:val="18"/>
                <w:szCs w:val="18"/>
                <w:color w:val="auto"/>
              </w:rPr>
              <w:t>(162,500)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42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Outstanding at September 30, 2012</w:t>
            </w:r>
          </w:p>
        </w:tc>
        <w:tc>
          <w:tcPr>
            <w:tcW w:w="2920" w:type="dxa"/>
            <w:vAlign w:val="bottom"/>
            <w:tcBorders>
              <w:bottom w:val="single" w:sz="8" w:color="CCFFCC"/>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1,132,043</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FFCC"/>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September 30, 2012</w:t>
            </w:r>
          </w:p>
        </w:tc>
        <w:tc>
          <w:tcPr>
            <w:tcW w:w="292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1,082,043</w:t>
            </w: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auto"/>
            </w:tcBorders>
            <w:shd w:val="clear" w:color="auto" w:fill="CCFFC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2.35</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rPr>
              <w:t>Shares expected to vest after September 30, 2012</w:t>
            </w:r>
          </w:p>
        </w:tc>
        <w:tc>
          <w:tcPr>
            <w:tcW w:w="29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50,000</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5.00</w:t>
            </w:r>
          </w:p>
        </w:tc>
        <w:tc>
          <w:tcPr>
            <w:tcW w:w="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920" w:type="dxa"/>
            <w:vAlign w:val="bottom"/>
            <w:vMerge w:val="restart"/>
          </w:tcPr>
          <w:p>
            <w:pPr>
              <w:jc w:val="right"/>
              <w:ind w:right="1630"/>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724"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The Company values warrants issued to non-employees at the commitment date at the fair value of the instruments issued, a measure which is more readily available than the fair value of services rendered, using the Black-Scholes model. The fair value of the instruments issued is expensed over the contractual period with the exception of warrants issued to the Company’s licensee, whereby these warrants reduce license revenue recognized by the Company related to such licensee over the initial 5-year term of the licensee agreement. The stock-based compensation recorded for the Current Quarter and the Current Nine Months is $11,000 and $33,000, respectively. An additional amount of $44,000 is expected to be expensed evenly over a period of 12 months. In addition, licensing revenues were reduced for the Current Quarter and the Current Nine Months by $1,000 and $3,000, respectively. An additional amount of $19,000 is expected to off-set license revenues evenly over a period of 48-months. There was no compensation expense or reduction of licensed revenues prior to the Successor period.</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issued warrants to purchase 430,500 shares of common stock to investors as part of an equity offering in a private placement on September 29, 2011 (see the Company’s 8-K/A filed with the Securities and Exchange Commission on January 12, 2012 for details). Each warrant provides the holder with the right to purchase one share of common stock for $.01 per share. During the nine months ended September 30, 2012, 162,500 shares were exercised. As of September 30, 2012 there were warrants to purchase 218,000 shares of common stock outstanding, which expire on September 29,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cost for restricted stock is measured as the excess, if any, of the market price of the Company’s stock at the date the common stock is issued over the amount the employee must pay to acquire the stock (which is generally zero). The compensation cost, net of projected forfeitures, is recognized over the period between the issue date and the date any restrictions lapse, with compensation cost for grants with a vesting schedule recognized on a straight-line basis over the requisite service period. The restrictions do not affect voting and dividend rights.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Grant Date -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60" w:type="dxa"/>
            <w:vAlign w:val="bottom"/>
            <w:gridSpan w:val="2"/>
          </w:tcPr>
          <w:p>
            <w:pPr>
              <w:jc w:val="right"/>
              <w:ind w:right="520"/>
              <w:spacing w:after="0"/>
              <w:rPr>
                <w:sz w:val="20"/>
                <w:szCs w:val="20"/>
                <w:color w:val="auto"/>
              </w:rPr>
            </w:pPr>
            <w:r>
              <w:rPr>
                <w:rFonts w:ascii="Arial" w:cs="Arial" w:eastAsia="Arial" w:hAnsi="Arial"/>
                <w:sz w:val="18"/>
                <w:szCs w:val="18"/>
                <w:color w:val="auto"/>
              </w:rPr>
              <w:t>Restricted 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2012</w:t>
            </w:r>
          </w:p>
        </w:tc>
        <w:tc>
          <w:tcPr>
            <w:tcW w:w="2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17,125</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1,544,943</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Vested</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2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Outstanding at September 30, 2012</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1,561,318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Compensation expense related to restricted stock grants for the Current Quarter and Current Nine Months was $2,008,000 and $3,393,000, respectively. There was no compensation expense prior to the Successor period. An additional amount of $1,290,000 is recorded as unamortized restricted stock and netted against additional paid-in capital on the condensed consolidated balance sheet at September 30, 2012 of which $1,120,000 is expected to be expensed the remainder of this year and an additional amount of $170,000 is expected to be expensed by May 15,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2012, there were 566,807 shares of common stock available for issuance under the Company’s 2011 Equity Incentive Plan (the “Plan”). See Note 9, Subsequent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2012, there were 2,071,301 shares of common stock reserved for issuance under the Plan and outstanding warrants and stock options not covered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components of net deferred tax liability of the Company consist of the following:</w:t>
      </w:r>
    </w:p>
    <w:p>
      <w:pPr>
        <w:spacing w:after="0" w:line="200" w:lineRule="exact"/>
        <w:rPr>
          <w:sz w:val="20"/>
          <w:szCs w:val="20"/>
          <w:color w:val="auto"/>
        </w:rPr>
      </w:pPr>
    </w:p>
    <w:p>
      <w:pPr>
        <w:spacing w:after="0" w:line="287" w:lineRule="exact"/>
        <w:rPr>
          <w:sz w:val="20"/>
          <w:szCs w:val="20"/>
          <w:color w:val="auto"/>
        </w:rPr>
      </w:pPr>
    </w:p>
    <w:p>
      <w:pPr>
        <w:ind w:left="1140"/>
        <w:spacing w:after="0"/>
        <w:rPr>
          <w:sz w:val="20"/>
          <w:szCs w:val="20"/>
          <w:color w:val="auto"/>
        </w:rPr>
      </w:pPr>
      <w:r>
        <w:rPr>
          <w:rFonts w:ascii="Arial" w:cs="Arial" w:eastAsia="Arial" w:hAnsi="Arial"/>
          <w:sz w:val="18"/>
          <w:szCs w:val="18"/>
          <w:b w:val="1"/>
          <w:bCs w:val="1"/>
          <w:u w:val="single" w:color="auto"/>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579755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Long term deferred revenue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Accrued compensation and other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u w:val="single" w:color="auto"/>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and equipment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Basis difference arising from discounted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Basis difference arising from intangible assets of acquisition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deferred tax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September 30, 2012</w:t>
      </w:r>
    </w:p>
    <w:p>
      <w:pPr>
        <w:spacing w:after="0" w:line="239" w:lineRule="exact"/>
        <w:rPr>
          <w:sz w:val="20"/>
          <w:szCs w:val="20"/>
          <w:color w:val="auto"/>
        </w:rPr>
      </w:pPr>
    </w:p>
    <w:p>
      <w:pPr>
        <w:ind w:left="1340" w:hanging="1340"/>
        <w:spacing w:after="0"/>
        <w:tabs>
          <w:tab w:leader="none" w:pos="1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134,000</w:t>
      </w:r>
    </w:p>
    <w:p>
      <w:pPr>
        <w:spacing w:after="0" w:line="46" w:lineRule="exact"/>
        <w:rPr>
          <w:rFonts w:ascii="Arial" w:cs="Arial" w:eastAsia="Arial" w:hAnsi="Arial"/>
          <w:sz w:val="16"/>
          <w:szCs w:val="16"/>
          <w:color w:val="auto"/>
        </w:rPr>
      </w:pPr>
    </w:p>
    <w:p>
      <w:pPr>
        <w:ind w:left="1340"/>
        <w:spacing w:after="0"/>
        <w:rPr>
          <w:rFonts w:ascii="Arial" w:cs="Arial" w:eastAsia="Arial" w:hAnsi="Arial"/>
          <w:sz w:val="16"/>
          <w:szCs w:val="16"/>
          <w:color w:val="auto"/>
        </w:rPr>
      </w:pPr>
      <w:r>
        <w:rPr>
          <w:rFonts w:ascii="Arial" w:cs="Arial" w:eastAsia="Arial" w:hAnsi="Arial"/>
          <w:sz w:val="16"/>
          <w:szCs w:val="16"/>
          <w:color w:val="auto"/>
        </w:rPr>
        <w:t>950,000</w:t>
      </w:r>
    </w:p>
    <w:p>
      <w:pPr>
        <w:spacing w:after="0" w:line="32"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6"/>
          <w:szCs w:val="16"/>
          <w:color w:val="auto"/>
        </w:rPr>
        <w:t>81,000</w:t>
      </w:r>
    </w:p>
    <w:p>
      <w:pPr>
        <w:spacing w:after="0" w:line="4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1,165,000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1217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13,000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490,000</w:t>
      </w:r>
    </w:p>
    <w:p>
      <w:pPr>
        <w:spacing w:after="0" w:line="32"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11,684,000</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12,187,000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12179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p>
      <w:pPr>
        <w:ind w:left="1120" w:hanging="1120"/>
        <w:spacing w:after="0"/>
        <w:tabs>
          <w:tab w:leader="none" w:pos="11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11,022,000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12179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793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53975</wp:posOffset>
            </wp:positionV>
            <wp:extent cx="12179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560" w:space="720"/>
            <w:col w:w="3140"/>
          </w:cols>
          <w:pgMar w:left="240" w:top="877" w:right="239" w:bottom="1440" w:gutter="0" w:footer="0" w:header="0"/>
        </w:sectPr>
      </w:pP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Note 3, Trademarks, Goodwill and Other Intangibles, for details relating to the purchase accounting adjustments pertaining to measurement period adjustments based on the final computation of the tax basis of the assets acquired in the Isaac Mizrahi Business acquisition, as well as a change in the allocation of revenue among state and local tax jurisdictions.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on the condensed consolidated balance sheet at December 31, 2011, as a result of the recast, is an increase to the deferred tax liability, related to the acquired intangibles of $1,739,000. There is no effect on the condensed consolidated statements of cash flow or the condensed consolidated statements of operations for the period September 29, 2011 to December 31, 2011.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effective income tax rate for the Current Quarter and Current Nine Months has been adjusted for differences between previous estimates and actual results.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unused Federal net operating loss (“NOL”) carryforward from December 31, 2011 of $277,000. As of September 30, 2012 the Company expects to have taxable income before a NOL deduction in excess of this amount. Therefore the related deferred tax asset has been reduced accordingly.</w:t>
      </w:r>
    </w:p>
    <w:p>
      <w:pPr>
        <w:spacing w:after="0" w:line="120" w:lineRule="exact"/>
        <w:rPr>
          <w:sz w:val="20"/>
          <w:szCs w:val="20"/>
          <w:color w:val="auto"/>
        </w:rPr>
      </w:pPr>
    </w:p>
    <w:p>
      <w:pPr>
        <w:ind w:right="8660" w:firstLine="332"/>
        <w:spacing w:after="0" w:line="503" w:lineRule="auto"/>
        <w:tabs>
          <w:tab w:leader="none" w:pos="64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Todd Slater</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12, 2011, Old XCel entered into a one-year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will receive a commission equal to fifteen percent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shall amortize the expense in accordance with the revenue earned from the respective licensing agreements in which this payment was based upon.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Mr. Slater earned $10,599 and $18,133 in fees, separate from the buy-out payment above, during the Current Quarter and Current Nine Months,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2, 2011, Old XCel entered into a licensing agent agreement with Adam Dweck (“AD”) who is an Executive Vice President of Earthbound pursuant to which he is entitled to a five percent (5%) commission on any royalties we receive under any new license agreements that he procures for us during the initial term of such license agreements. We are obligated to grant to AD 5-year warrants to purchase 12,500 shares of common stock at an exercise price of $5.00 per share, subject to AD generating $0.5 million of accumulated royalties and an additional 5-year warrants to purchase 12,500 shares of common stock at an exercise price of $5.00 per share, subject to AD generating $1.0 million of accumulated royalties. Additionally, AD shall be entitled to receive 5-year warrants to purchase 25,000 shares of common stock priced at the fair value at the time of issuance, subject to AD generating $2.0 million of accumulated royalties. AD is the son of Jack Dweck, who is a 5% stockholder of the Company and will become a Director of the Company on November 21, 2012. AD earned $3,340 and $8,482 in fees for the Current Quarter and Current Nine Months, respectively. Through September 30, 2012, AD has not earned any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Jones Texas, LLC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Ed Jones, a principal shareholder and chief executive officer of Jones Texas, LLC was appointed to the Company’s Board of Directors following the Acquisition Date, which appointment became effective on October 17, 2011. Jones Texas, LLC procured a license for the Company which the Company agreed to remit 15% of the license revenues for the initial term of the license. Jones Texas, LLC earned $750 and $2,250 in fees for the Current Quarter and Current Nine Months,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Ready-Made, LLC</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Company and IM Ready-Made, LLC had transactions between each other relating to the transitions of the Isaac Mizrahi Business from IM Ready to the Company. In addition, IM Ready received payments in the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quarter 2011 and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calendar quarter 2012 that related to periods after the Predecessor period. As of September 30, 2012, IM Ready owes the Company approximately $68,000 which is recorded in ‘other current assets’ on the unaudited condensed consolidated balance sheets. IM Ready has agreed to reimburse the Company in full by December 31, 2012, including paying interest to the Company beginning from April 1, 2012 at a rate equal to the Seller Note interest rate of approximately 0.25% per annum.</w:t>
      </w:r>
    </w:p>
    <w:p>
      <w:pPr>
        <w:spacing w:after="0" w:line="19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of Directors and holders of a majority of the outstanding Common Stock have approved an amendment to the Plan to reserve an additional 2,500,000 shares of Common Stock to be issuable under the Plan (for a total of 5,000,000 shares of Common Stock to be so issuable) (the “Amended Plan”) upon the terms and conditions of the Amended Plan with respect to shares of Common Stock issuable upon exercise of options granted under the Amended Plan or grants of restricted stock or other stock-based awards under the Amended Plan, together with such additional number of shares that may be issued pursuant to anti-dilution provisions of the Amended Plan</w:t>
      </w:r>
      <w:r>
        <w:rPr>
          <w:rFonts w:ascii="Arial" w:cs="Arial" w:eastAsia="Arial" w:hAnsi="Arial"/>
          <w:sz w:val="17"/>
          <w:szCs w:val="17"/>
          <w:b w:val="1"/>
          <w:bCs w:val="1"/>
          <w:color w:val="auto"/>
        </w:rPr>
        <w:t>.</w:t>
      </w:r>
      <w:r>
        <w:rPr>
          <w:rFonts w:ascii="Arial" w:cs="Arial" w:eastAsia="Arial" w:hAnsi="Arial"/>
          <w:sz w:val="17"/>
          <w:szCs w:val="17"/>
          <w:color w:val="auto"/>
        </w:rPr>
        <w:t xml:space="preserve"> On November 1, 2012 the Company mailed an information statement describing the action to the Company’s stockholders, and, as a result, the amendment to the Plan will become effective on November 21, 2012.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statements that are not historical 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Risk Section of this Form 10-K. The words “believe”, “anticipate,” “expect”, “confident”, “project”, “provide”, “plan”, “likely”, “future”, “ongoing”, “intend”, “may”, “should”, “would”, “could”, “guidance” and similar expressions identify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2011 IM Brands, LLC (“IM Brands”) (the “Acquisition Date”), the Company merged with Xcel Brands, Inc. (“Old XCel”) and acquired the Isaac Mizrahi Business (collectively, the “Transaction”). The Company engages in the design, licensing, and marketing of the Isaac Mizrahi Brand with a focus on a variety of product categories featuring the Isaac Mizrahi Brand. The Company operates in a “working capital light” business model, licensing the Isaac Mizrahi Brands through its wholly-owned subsidiary IM Brands and generating royalty and design revenues through licensing and other agreements with wholesale manufacturers, sourcing and design companies, and retailers. Prior to our acquisition of the Isaac Mizrahi Business, the business was a division of IM Ready-Made, LLC (“IM Ready”).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Several of our accounting policies involve management judgments and estimates that could be significant. The policies with the greatest potential effect on our consolidated results of operations and financial position include the estimate of contingent obligations to IM Ready, based on our revenue performance. Due to our licensing model, we do not have any inventory risk and have reduced our operating risks, and can reasonably forecast revenues and plan expenditures based upon guaranteed royalty minimums and sales projections provided by our retail licensees.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the condensed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our licensing model, we have entered into various trademark license agreements that provide revenues based on minimum royalties and additional revenues based on a percentage of defined sales. Minimum royalty revenue is recognized on a straight-line basis over each period, as defined, in each license agreement. Royalties exceeding the defined minimum amounts are recognized as income during the period corresponding to the licensee's sales.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Impairment losses are recognized for long-lived assets, including certain intangibles, used in operations when indicators of impairment are present and the undiscounted cash flows estimated to be generated by those assets are not sufficient to recover the assets carrying amount. Impairment losses are measured by comparing the fair value of the assets to their carrying amount.</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accounts for stock-based compensation in accordance with ASC Topic 718 by recognizing the fair value of stock-based compensation in the condensed consolidated statements of operations. The fair value of the Company’s stock option awards are estimated using the Black-Scholes option valuation model and restricted stock awards are valued at the fair value of the Company’s stock at the time of grant. The Black-Scholes model requires the input of highly subjective assumptions and elections including expected stock price volatility and the estimated life of each award. In addition, the calculation of compensation costs requires that the Company estimate the number of awards that will be forfeited during the vesting period. The fair value of stock-based awards is amortized over the vesting period of the awards. Stock-based compensation that relates to contract performance is amortized over the term of the corresponding contract. For stock-based awards that vest based on performance conditions (e.g. achievement of certain milestones), expense is recognized when it is probable that the condition will be met. Stock-based compensation expense is recognized as a component of Design and Marketing Expenses and General and Administrative in the Condensed Consolidated Statements of Operations.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condensed consolidated financial statements and related notes included elsewhere in this Form 10-Q are as of, or for the period July 1, 2012 through September 30, 2012 (the “Current Quarter”); the period January 1, 2012 through September 30, 2012 (the “Current Nine Months”); the period July 1, 2011 through September 30, 2011 (the “Prior Year Quarter”) which includes on an unaudited pro forma basis the aggregate results of the Predecessor for the period July 1, 2011 through September 28, 2011 (the “Predecessor Prior Year Quarter”) and results of the Company for the period September 29, 2011 through September 30, 2011 (the “Successor Prior Year Period”); the period January 1, 2011 through September 30, 2011 (the “Prior Year Nine Months”) which includes on an aggregate basis results of the Predecessor for the period January 1, 2011 through September 28, 2011 (the “Predecessor Prior Year Nine Months”) and results of the Company for the period September 29, 2011 through September 30, 2011 (the “Successor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Three Months Ended September 30, 2012 Compared to the Three Months ended September 30, 2011 Pro-forma.</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Current Quarter results are compared with the Prior Year Quarter (the Predecessor Prior Year Quarter of July 1, 2011 through September 28, 2011 and the Successor Prior Year Period of September 29, 2011 through September 30, 2011) on an unaudited pro-forma basis, as presented in the table below.</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 and Pro-forma Statements of Operations of the Predecessor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4"/>
                <w:szCs w:val="14"/>
                <w:color w:val="auto"/>
              </w:rPr>
            </w:pPr>
          </w:p>
        </w:tc>
        <w:tc>
          <w:tcPr>
            <w:tcW w:w="16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Pro-forma 3 Months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3 Months Ended</w:t>
            </w:r>
          </w:p>
        </w:tc>
        <w:tc>
          <w:tcPr>
            <w:tcW w:w="160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period Sept.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For the period July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Ended Sept. 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399"/>
              <w:spacing w:after="0"/>
              <w:rPr>
                <w:sz w:val="20"/>
                <w:szCs w:val="20"/>
                <w:color w:val="auto"/>
              </w:rPr>
            </w:pPr>
            <w:r>
              <w:rPr>
                <w:rFonts w:ascii="Arial" w:cs="Arial" w:eastAsia="Arial" w:hAnsi="Arial"/>
                <w:sz w:val="14"/>
                <w:szCs w:val="14"/>
                <w:b w:val="1"/>
                <w:bCs w:val="1"/>
                <w:color w:val="auto"/>
                <w:w w:val="99"/>
              </w:rPr>
              <w:t>Adjustments</w:t>
            </w: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29, 2011 to Sept. 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2011 to Sept.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Sept. 30, 2012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329"/>
              <w:spacing w:after="0"/>
              <w:rPr>
                <w:sz w:val="20"/>
                <w:szCs w:val="20"/>
                <w:color w:val="auto"/>
              </w:rPr>
            </w:pPr>
            <w:r>
              <w:rPr>
                <w:rFonts w:ascii="Arial" w:cs="Arial" w:eastAsia="Arial" w:hAnsi="Arial"/>
                <w:sz w:val="14"/>
                <w:szCs w:val="14"/>
                <w:b w:val="1"/>
                <w:bCs w:val="1"/>
                <w:color w:val="auto"/>
              </w:rPr>
              <w:t>2011 (1)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09"/>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2011 (1)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Licensing revenue</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2,854,000</w:t>
            </w:r>
          </w:p>
        </w:tc>
        <w:tc>
          <w:tcPr>
            <w:tcW w:w="20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2,714,000</w:t>
            </w:r>
          </w:p>
        </w:tc>
        <w:tc>
          <w:tcPr>
            <w:tcW w:w="240" w:type="dxa"/>
            <w:vAlign w:val="bottom"/>
            <w:shd w:val="clear" w:color="auto" w:fill="CCFFCC"/>
          </w:tcPr>
          <w:p>
            <w:pPr>
              <w:spacing w:after="0"/>
              <w:rPr>
                <w:sz w:val="12"/>
                <w:szCs w:val="12"/>
                <w:color w:val="auto"/>
              </w:rPr>
            </w:pPr>
          </w:p>
        </w:tc>
        <w:tc>
          <w:tcPr>
            <w:tcW w:w="2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FFCC"/>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42,000</w:t>
            </w:r>
          </w:p>
        </w:tc>
        <w:tc>
          <w:tcPr>
            <w:tcW w:w="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2,672,000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Design and service fee income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960,000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274,000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268,000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Total revenues</w:t>
            </w:r>
          </w:p>
        </w:tc>
        <w:tc>
          <w:tcPr>
            <w:tcW w:w="6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3,814,000</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2,988,000</w:t>
            </w:r>
          </w:p>
        </w:tc>
        <w:tc>
          <w:tcPr>
            <w:tcW w:w="24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48,000</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4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2,940,000</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Pr>
          <w:p>
            <w:pPr>
              <w:ind w:left="160"/>
              <w:spacing w:after="0"/>
              <w:rPr>
                <w:sz w:val="20"/>
                <w:szCs w:val="20"/>
                <w:color w:val="auto"/>
              </w:rPr>
            </w:pPr>
            <w:r>
              <w:rPr>
                <w:rFonts w:ascii="Arial" w:cs="Arial" w:eastAsia="Arial" w:hAnsi="Arial"/>
                <w:sz w:val="14"/>
                <w:szCs w:val="14"/>
                <w:color w:val="auto"/>
              </w:rPr>
              <w:t>Direct licensing costs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89,000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Net licensing, design and service fee revenue</w:t>
            </w:r>
          </w:p>
        </w:tc>
        <w:tc>
          <w:tcPr>
            <w:tcW w:w="6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bottom w:val="single" w:sz="8" w:color="auto"/>
            </w:tcBorders>
            <w:shd w:val="clear" w:color="auto" w:fill="CCFFCC"/>
          </w:tcPr>
          <w:p>
            <w:pPr>
              <w:spacing w:after="0"/>
              <w:rPr>
                <w:sz w:val="12"/>
                <w:szCs w:val="12"/>
                <w:color w:val="auto"/>
              </w:rPr>
            </w:pPr>
          </w:p>
        </w:tc>
        <w:tc>
          <w:tcPr>
            <w:tcW w:w="11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3,725,000</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bottom w:val="single" w:sz="8" w:color="auto"/>
            </w:tcBorders>
            <w:shd w:val="clear" w:color="auto" w:fill="CCFFCC"/>
          </w:tcPr>
          <w:p>
            <w:pPr>
              <w:spacing w:after="0"/>
              <w:rPr>
                <w:sz w:val="12"/>
                <w:szCs w:val="12"/>
                <w:color w:val="auto"/>
              </w:rPr>
            </w:pPr>
          </w:p>
        </w:tc>
        <w:tc>
          <w:tcPr>
            <w:tcW w:w="11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2,988,000</w:t>
            </w:r>
          </w:p>
        </w:tc>
        <w:tc>
          <w:tcPr>
            <w:tcW w:w="24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11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bottom w:val="single" w:sz="8" w:color="auto"/>
            </w:tcBorders>
            <w:shd w:val="clear" w:color="auto" w:fill="CCFFCC"/>
          </w:tcPr>
          <w:p>
            <w:pPr>
              <w:spacing w:after="0"/>
              <w:rPr>
                <w:sz w:val="12"/>
                <w:szCs w:val="12"/>
                <w:color w:val="auto"/>
              </w:rPr>
            </w:pPr>
          </w:p>
        </w:tc>
        <w:tc>
          <w:tcPr>
            <w:tcW w:w="10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48,000</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spacing w:after="0"/>
              <w:rPr>
                <w:sz w:val="12"/>
                <w:szCs w:val="12"/>
                <w:color w:val="auto"/>
              </w:rPr>
            </w:pPr>
          </w:p>
        </w:tc>
        <w:tc>
          <w:tcPr>
            <w:tcW w:w="14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2,940,000</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Expenses</w:t>
            </w: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Design and marketing costs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1,365,000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963,000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General and administrative expenses</w:t>
            </w: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2,570,000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1,213,000</w:t>
            </w:r>
          </w:p>
        </w:tc>
        <w:tc>
          <w:tcPr>
            <w:tcW w:w="2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2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792,000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421,000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216,000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204,000(2)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131,000</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Acquisition and due diligence costs</w:t>
            </w:r>
          </w:p>
        </w:tc>
        <w:tc>
          <w:tcPr>
            <w:tcW w:w="6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w:t>
            </w: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300" w:type="dxa"/>
            <w:vAlign w:val="bottom"/>
            <w:gridSpan w:val="2"/>
            <w:shd w:val="clear" w:color="auto" w:fill="CCFFCC"/>
          </w:tcPr>
          <w:p>
            <w:pPr>
              <w:jc w:val="right"/>
              <w:ind w:right="119"/>
              <w:spacing w:after="0"/>
              <w:rPr>
                <w:sz w:val="20"/>
                <w:szCs w:val="20"/>
                <w:color w:val="auto"/>
              </w:rPr>
            </w:pPr>
            <w:r>
              <w:rPr>
                <w:rFonts w:ascii="Arial" w:cs="Arial" w:eastAsia="Arial" w:hAnsi="Arial"/>
                <w:sz w:val="14"/>
                <w:szCs w:val="14"/>
                <w:color w:val="auto"/>
              </w:rPr>
              <w:t>(423,000)</w:t>
            </w:r>
          </w:p>
        </w:tc>
        <w:tc>
          <w:tcPr>
            <w:tcW w:w="200" w:type="dxa"/>
            <w:vAlign w:val="bottom"/>
            <w:shd w:val="clear" w:color="auto" w:fill="CCFFCC"/>
          </w:tcPr>
          <w:p>
            <w:pPr>
              <w:spacing w:after="0"/>
              <w:rPr>
                <w:sz w:val="14"/>
                <w:szCs w:val="14"/>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423,000</w:t>
            </w: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Borders>
              <w:bottom w:val="single" w:sz="8" w:color="CCFFCC"/>
            </w:tcBorders>
          </w:tcPr>
          <w:p>
            <w:pPr>
              <w:ind w:left="320"/>
              <w:spacing w:after="0" w:line="142" w:lineRule="exact"/>
              <w:rPr>
                <w:sz w:val="20"/>
                <w:szCs w:val="20"/>
                <w:color w:val="auto"/>
              </w:rPr>
            </w:pPr>
            <w:r>
              <w:rPr>
                <w:rFonts w:ascii="Arial" w:cs="Arial" w:eastAsia="Arial" w:hAnsi="Arial"/>
                <w:sz w:val="14"/>
                <w:szCs w:val="14"/>
                <w:color w:val="auto"/>
              </w:rPr>
              <w:t>Total expenses</w:t>
            </w:r>
          </w:p>
        </w:tc>
        <w:tc>
          <w:tcPr>
            <w:tcW w:w="640" w:type="dxa"/>
            <w:vAlign w:val="bottom"/>
            <w:tcBorders>
              <w:bottom w:val="single" w:sz="8" w:color="CCFFC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4,151,000</w:t>
            </w:r>
          </w:p>
        </w:tc>
        <w:tc>
          <w:tcPr>
            <w:tcW w:w="140" w:type="dxa"/>
            <w:vAlign w:val="bottom"/>
            <w:tcBorders>
              <w:bottom w:val="single" w:sz="8" w:color="CCFFCC"/>
            </w:tcBorders>
          </w:tcPr>
          <w:p>
            <w:pPr>
              <w:spacing w:after="0"/>
              <w:rPr>
                <w:sz w:val="12"/>
                <w:szCs w:val="12"/>
                <w:color w:val="auto"/>
              </w:rPr>
            </w:pPr>
          </w:p>
        </w:tc>
        <w:tc>
          <w:tcPr>
            <w:tcW w:w="80" w:type="dxa"/>
            <w:vAlign w:val="bottom"/>
            <w:tcBorders>
              <w:bottom w:val="single" w:sz="8" w:color="CCFFC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2,380,000</w:t>
            </w:r>
          </w:p>
        </w:tc>
        <w:tc>
          <w:tcPr>
            <w:tcW w:w="240" w:type="dxa"/>
            <w:vAlign w:val="bottom"/>
            <w:tcBorders>
              <w:bottom w:val="single" w:sz="8" w:color="CCFFCC"/>
            </w:tcBorders>
          </w:tcPr>
          <w:p>
            <w:pPr>
              <w:spacing w:after="0"/>
              <w:rPr>
                <w:sz w:val="12"/>
                <w:szCs w:val="12"/>
                <w:color w:val="auto"/>
              </w:rPr>
            </w:pPr>
          </w:p>
        </w:tc>
        <w:tc>
          <w:tcPr>
            <w:tcW w:w="4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(292,000</w:t>
            </w:r>
          </w:p>
        </w:tc>
        <w:tc>
          <w:tcPr>
            <w:tcW w:w="200" w:type="dxa"/>
            <w:vAlign w:val="bottom"/>
            <w:tcBorders>
              <w:bottom w:val="single" w:sz="8" w:color="CCFFCC"/>
            </w:tcBorders>
          </w:tcPr>
          <w:p>
            <w:pPr>
              <w:jc w:val="right"/>
              <w:ind w:right="11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1,242,000</w:t>
            </w:r>
          </w:p>
        </w:tc>
        <w:tc>
          <w:tcPr>
            <w:tcW w:w="140" w:type="dxa"/>
            <w:vAlign w:val="bottom"/>
            <w:tcBorders>
              <w:bottom w:val="single" w:sz="8" w:color="CCFFCC"/>
            </w:tcBorders>
          </w:tcPr>
          <w:p>
            <w:pPr>
              <w:spacing w:after="0"/>
              <w:rPr>
                <w:sz w:val="12"/>
                <w:szCs w:val="12"/>
                <w:color w:val="auto"/>
              </w:rPr>
            </w:pPr>
          </w:p>
        </w:tc>
        <w:tc>
          <w:tcPr>
            <w:tcW w:w="80" w:type="dxa"/>
            <w:vAlign w:val="bottom"/>
            <w:tcBorders>
              <w:bottom w:val="single" w:sz="8" w:color="CCFFC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1,430,000</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Operating income (loss)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(426,000)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608,000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59"/>
              <w:spacing w:after="0"/>
              <w:rPr>
                <w:sz w:val="20"/>
                <w:szCs w:val="20"/>
                <w:color w:val="auto"/>
              </w:rPr>
            </w:pPr>
            <w:r>
              <w:rPr>
                <w:rFonts w:ascii="Arial" w:cs="Arial" w:eastAsia="Arial" w:hAnsi="Arial"/>
                <w:sz w:val="14"/>
                <w:szCs w:val="14"/>
                <w:color w:val="auto"/>
              </w:rPr>
              <w:t>292,000</w:t>
            </w:r>
          </w:p>
        </w:tc>
        <w:tc>
          <w:tcPr>
            <w:tcW w:w="2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(1,194,000)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1,510,000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20" w:type="dxa"/>
            <w:vAlign w:val="bottom"/>
            <w:tcBorders>
              <w:top w:val="single" w:sz="8" w:color="CCFFCC"/>
            </w:tcBorders>
            <w:shd w:val="clear" w:color="auto" w:fill="CCFFCC"/>
          </w:tcPr>
          <w:p>
            <w:pPr>
              <w:spacing w:after="0"/>
              <w:rPr>
                <w:sz w:val="12"/>
                <w:szCs w:val="12"/>
                <w:color w:val="auto"/>
              </w:rPr>
            </w:pPr>
          </w:p>
        </w:tc>
        <w:tc>
          <w:tcPr>
            <w:tcW w:w="6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40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expenses - debt</w:t>
            </w: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286,000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287,000(4)</w:t>
            </w: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159"/>
              <w:spacing w:after="0" w:line="149" w:lineRule="exact"/>
              <w:rPr>
                <w:sz w:val="20"/>
                <w:szCs w:val="20"/>
                <w:color w:val="auto"/>
              </w:rPr>
            </w:pPr>
            <w:r>
              <w:rPr>
                <w:rFonts w:ascii="Arial" w:cs="Arial" w:eastAsia="Arial" w:hAnsi="Arial"/>
                <w:sz w:val="14"/>
                <w:szCs w:val="14"/>
                <w:color w:val="auto"/>
              </w:rPr>
              <w:t>281,000</w:t>
            </w:r>
          </w:p>
        </w:tc>
        <w:tc>
          <w:tcPr>
            <w:tcW w:w="200" w:type="dxa"/>
            <w:vAlign w:val="bottom"/>
            <w:shd w:val="clear" w:color="auto" w:fill="CCFFCC"/>
          </w:tcPr>
          <w:p>
            <w:pPr>
              <w:spacing w:after="0"/>
              <w:rPr>
                <w:sz w:val="12"/>
                <w:szCs w:val="12"/>
                <w:color w:val="auto"/>
              </w:rPr>
            </w:pPr>
          </w:p>
        </w:tc>
        <w:tc>
          <w:tcPr>
            <w:tcW w:w="12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6,000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Pr>
          <w:p>
            <w:pPr>
              <w:ind w:left="160"/>
              <w:spacing w:after="0"/>
              <w:rPr>
                <w:sz w:val="20"/>
                <w:szCs w:val="20"/>
                <w:color w:val="auto"/>
              </w:rPr>
            </w:pPr>
            <w:r>
              <w:rPr>
                <w:rFonts w:ascii="Arial" w:cs="Arial" w:eastAsia="Arial" w:hAnsi="Arial"/>
                <w:sz w:val="14"/>
                <w:szCs w:val="14"/>
                <w:color w:val="auto"/>
              </w:rPr>
              <w:t>Other interest and finance charges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262,000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260,000(4)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59"/>
              <w:spacing w:after="0"/>
              <w:rPr>
                <w:sz w:val="20"/>
                <w:szCs w:val="20"/>
                <w:color w:val="auto"/>
              </w:rPr>
            </w:pPr>
            <w:r>
              <w:rPr>
                <w:rFonts w:ascii="Arial" w:cs="Arial" w:eastAsia="Arial" w:hAnsi="Arial"/>
                <w:sz w:val="14"/>
                <w:szCs w:val="14"/>
                <w:color w:val="auto"/>
              </w:rPr>
              <w:t>254,000</w:t>
            </w: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Borders>
              <w:top w:val="single" w:sz="8" w:color="CCFFCC"/>
            </w:tcBorders>
            <w:shd w:val="clear" w:color="auto" w:fill="CCFFCC"/>
          </w:tcPr>
          <w:p>
            <w:pPr>
              <w:ind w:left="320"/>
              <w:spacing w:after="0" w:line="142" w:lineRule="exact"/>
              <w:rPr>
                <w:sz w:val="20"/>
                <w:szCs w:val="20"/>
                <w:color w:val="auto"/>
              </w:rPr>
            </w:pPr>
            <w:r>
              <w:rPr>
                <w:rFonts w:ascii="Arial" w:cs="Arial" w:eastAsia="Arial" w:hAnsi="Arial"/>
                <w:sz w:val="14"/>
                <w:szCs w:val="14"/>
                <w:color w:val="auto"/>
              </w:rPr>
              <w:t>Total other expenses</w:t>
            </w:r>
          </w:p>
        </w:tc>
        <w:tc>
          <w:tcPr>
            <w:tcW w:w="6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bottom w:val="single" w:sz="8" w:color="auto"/>
            </w:tcBorders>
            <w:shd w:val="clear" w:color="auto" w:fill="CCFFCC"/>
          </w:tcPr>
          <w:p>
            <w:pPr>
              <w:spacing w:after="0"/>
              <w:rPr>
                <w:sz w:val="12"/>
                <w:szCs w:val="12"/>
                <w:color w:val="auto"/>
              </w:rPr>
            </w:pPr>
          </w:p>
        </w:tc>
        <w:tc>
          <w:tcPr>
            <w:tcW w:w="11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548,000</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bottom w:val="single" w:sz="8" w:color="auto"/>
            </w:tcBorders>
            <w:shd w:val="clear" w:color="auto" w:fill="CCFFCC"/>
          </w:tcPr>
          <w:p>
            <w:pPr>
              <w:spacing w:after="0"/>
              <w:rPr>
                <w:sz w:val="12"/>
                <w:szCs w:val="12"/>
                <w:color w:val="auto"/>
              </w:rPr>
            </w:pPr>
          </w:p>
        </w:tc>
        <w:tc>
          <w:tcPr>
            <w:tcW w:w="11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547,000</w:t>
            </w:r>
          </w:p>
        </w:tc>
        <w:tc>
          <w:tcPr>
            <w:tcW w:w="24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11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535,000</w:t>
            </w:r>
          </w:p>
        </w:tc>
        <w:tc>
          <w:tcPr>
            <w:tcW w:w="20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bottom w:val="single" w:sz="8" w:color="auto"/>
            </w:tcBorders>
            <w:shd w:val="clear" w:color="auto" w:fill="CCFFCC"/>
          </w:tcPr>
          <w:p>
            <w:pPr>
              <w:spacing w:after="0"/>
              <w:rPr>
                <w:sz w:val="12"/>
                <w:szCs w:val="12"/>
                <w:color w:val="auto"/>
              </w:rPr>
            </w:pPr>
          </w:p>
        </w:tc>
        <w:tc>
          <w:tcPr>
            <w:tcW w:w="10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12,000</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spacing w:after="0"/>
              <w:rPr>
                <w:sz w:val="12"/>
                <w:szCs w:val="12"/>
                <w:color w:val="auto"/>
              </w:rPr>
            </w:pPr>
          </w:p>
        </w:tc>
        <w:tc>
          <w:tcPr>
            <w:tcW w:w="14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(974,000)</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61,000</w:t>
            </w: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119"/>
              <w:spacing w:after="0" w:line="149" w:lineRule="exact"/>
              <w:rPr>
                <w:sz w:val="20"/>
                <w:szCs w:val="20"/>
                <w:color w:val="auto"/>
              </w:rPr>
            </w:pPr>
            <w:r>
              <w:rPr>
                <w:rFonts w:ascii="Arial" w:cs="Arial" w:eastAsia="Arial" w:hAnsi="Arial"/>
                <w:sz w:val="14"/>
                <w:szCs w:val="14"/>
                <w:color w:val="auto"/>
              </w:rPr>
              <w:t>(243,000)</w:t>
            </w:r>
          </w:p>
        </w:tc>
        <w:tc>
          <w:tcPr>
            <w:tcW w:w="200" w:type="dxa"/>
            <w:vAlign w:val="bottom"/>
            <w:shd w:val="clear" w:color="auto" w:fill="CCFFCC"/>
          </w:tcPr>
          <w:p>
            <w:pPr>
              <w:spacing w:after="0"/>
              <w:rPr>
                <w:sz w:val="12"/>
                <w:szCs w:val="12"/>
                <w:color w:val="auto"/>
              </w:rPr>
            </w:pPr>
          </w:p>
        </w:tc>
        <w:tc>
          <w:tcPr>
            <w:tcW w:w="12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(1,206,000)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1,510,000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220" w:type="dxa"/>
            <w:vAlign w:val="bottom"/>
            <w:shd w:val="clear" w:color="auto" w:fill="CCFFCC"/>
          </w:tcPr>
          <w:p>
            <w:pPr>
              <w:spacing w:after="0"/>
              <w:rPr>
                <w:sz w:val="20"/>
                <w:szCs w:val="20"/>
                <w:color w:val="auto"/>
              </w:rPr>
            </w:pPr>
            <w:r>
              <w:rPr>
                <w:rFonts w:ascii="Arial" w:cs="Arial" w:eastAsia="Arial" w:hAnsi="Arial"/>
                <w:sz w:val="14"/>
                <w:szCs w:val="14"/>
                <w:color w:val="auto"/>
              </w:rPr>
              <w:t>Income tax provision (benefit)</w:t>
            </w:r>
          </w:p>
        </w:tc>
        <w:tc>
          <w:tcPr>
            <w:tcW w:w="6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(502,000)</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24,000(5)</w:t>
            </w: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300" w:type="dxa"/>
            <w:vAlign w:val="bottom"/>
            <w:gridSpan w:val="2"/>
            <w:shd w:val="clear" w:color="auto" w:fill="CCFFCC"/>
          </w:tcPr>
          <w:p>
            <w:pPr>
              <w:jc w:val="right"/>
              <w:ind w:right="159"/>
              <w:spacing w:after="0"/>
              <w:rPr>
                <w:sz w:val="20"/>
                <w:szCs w:val="20"/>
                <w:color w:val="auto"/>
              </w:rPr>
            </w:pPr>
            <w:r>
              <w:rPr>
                <w:rFonts w:ascii="Arial" w:cs="Arial" w:eastAsia="Arial" w:hAnsi="Arial"/>
                <w:sz w:val="14"/>
                <w:szCs w:val="14"/>
                <w:color w:val="auto"/>
              </w:rPr>
              <w:t>20,000</w:t>
            </w:r>
          </w:p>
        </w:tc>
        <w:tc>
          <w:tcPr>
            <w:tcW w:w="200" w:type="dxa"/>
            <w:vAlign w:val="bottom"/>
            <w:shd w:val="clear" w:color="auto" w:fill="CCFFCC"/>
          </w:tcPr>
          <w:p>
            <w:pPr>
              <w:spacing w:after="0"/>
              <w:rPr>
                <w:sz w:val="14"/>
                <w:szCs w:val="14"/>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20" w:type="dxa"/>
            <w:vAlign w:val="bottom"/>
            <w:shd w:val="clear" w:color="auto" w:fill="CCFFCC"/>
          </w:tcPr>
          <w:p>
            <w:pPr>
              <w:spacing w:after="0"/>
              <w:rPr>
                <w:sz w:val="20"/>
                <w:szCs w:val="20"/>
                <w:color w:val="auto"/>
              </w:rPr>
            </w:pPr>
            <w:r>
              <w:rPr>
                <w:rFonts w:ascii="Arial" w:cs="Arial" w:eastAsia="Arial" w:hAnsi="Arial"/>
                <w:sz w:val="14"/>
                <w:szCs w:val="14"/>
                <w:color w:val="auto"/>
              </w:rPr>
              <w:t>Net income (loss)</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2"/>
                <w:szCs w:val="12"/>
                <w:color w:val="auto"/>
              </w:rPr>
              <w:t>(472,000</w:t>
            </w:r>
            <w:r>
              <w:rPr>
                <w:rFonts w:ascii="Arial" w:cs="Arial" w:eastAsia="Arial" w:hAnsi="Arial"/>
                <w:sz w:val="20"/>
                <w:szCs w:val="20"/>
                <w:color w:val="auto"/>
                <w:vertAlign w:val="superscript"/>
              </w:rPr>
              <w:t>)</w:t>
            </w:r>
          </w:p>
        </w:tc>
        <w:tc>
          <w:tcPr>
            <w:tcW w:w="2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37,000</w:t>
            </w:r>
          </w:p>
        </w:tc>
        <w:tc>
          <w:tcPr>
            <w:tcW w:w="2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FFCC"/>
          </w:tcPr>
          <w:p>
            <w:pPr>
              <w:jc w:val="right"/>
              <w:ind w:right="119"/>
              <w:spacing w:after="0" w:line="176" w:lineRule="exact"/>
              <w:rPr>
                <w:sz w:val="20"/>
                <w:szCs w:val="20"/>
                <w:color w:val="auto"/>
              </w:rPr>
            </w:pPr>
            <w:r>
              <w:rPr>
                <w:rFonts w:ascii="Arial" w:cs="Arial" w:eastAsia="Arial" w:hAnsi="Arial"/>
                <w:sz w:val="12"/>
                <w:szCs w:val="12"/>
                <w:color w:val="auto"/>
              </w:rPr>
              <w:t>(263,000</w:t>
            </w:r>
            <w:r>
              <w:rPr>
                <w:rFonts w:ascii="Arial" w:cs="Arial" w:eastAsia="Arial" w:hAnsi="Arial"/>
                <w:sz w:val="20"/>
                <w:szCs w:val="20"/>
                <w:color w:val="auto"/>
                <w:vertAlign w:val="superscript"/>
              </w:rPr>
              <w:t>)</w:t>
            </w:r>
          </w:p>
        </w:tc>
        <w:tc>
          <w:tcPr>
            <w:tcW w:w="200" w:type="dxa"/>
            <w:vAlign w:val="bottom"/>
            <w:shd w:val="clear" w:color="auto" w:fill="CCFFCC"/>
          </w:tcPr>
          <w:p>
            <w:pPr>
              <w:jc w:val="right"/>
              <w:ind w:right="49"/>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2"/>
                <w:szCs w:val="12"/>
                <w:color w:val="auto"/>
              </w:rPr>
              <w:t>(1,207,000</w:t>
            </w:r>
            <w:r>
              <w:rPr>
                <w:rFonts w:ascii="Arial" w:cs="Arial" w:eastAsia="Arial" w:hAnsi="Arial"/>
                <w:sz w:val="20"/>
                <w:szCs w:val="20"/>
                <w:color w:val="auto"/>
                <w:vertAlign w:val="superscript"/>
              </w:rPr>
              <w:t>)</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EPS</w:t>
            </w: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ind w:left="160"/>
              <w:spacing w:after="0"/>
              <w:rPr>
                <w:sz w:val="20"/>
                <w:szCs w:val="20"/>
                <w:color w:val="auto"/>
              </w:rPr>
            </w:pPr>
            <w:r>
              <w:rPr>
                <w:rFonts w:ascii="Arial" w:cs="Arial" w:eastAsia="Arial" w:hAnsi="Arial"/>
                <w:sz w:val="14"/>
                <w:szCs w:val="14"/>
                <w:color w:val="auto"/>
              </w:rPr>
              <w:t>Basic</w:t>
            </w:r>
          </w:p>
        </w:tc>
        <w:tc>
          <w:tcPr>
            <w:tcW w:w="6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80"/>
              <w:spacing w:after="0" w:line="176" w:lineRule="exact"/>
              <w:rPr>
                <w:sz w:val="20"/>
                <w:szCs w:val="20"/>
                <w:color w:val="auto"/>
              </w:rPr>
            </w:pPr>
            <w:r>
              <w:rPr>
                <w:rFonts w:ascii="Arial" w:cs="Arial" w:eastAsia="Arial" w:hAnsi="Arial"/>
                <w:sz w:val="12"/>
                <w:szCs w:val="12"/>
                <w:color w:val="auto"/>
              </w:rPr>
              <w:t>(0.06</w:t>
            </w:r>
            <w:r>
              <w:rPr>
                <w:rFonts w:ascii="Arial" w:cs="Arial" w:eastAsia="Arial" w:hAnsi="Arial"/>
                <w:sz w:val="20"/>
                <w:szCs w:val="20"/>
                <w:color w:val="auto"/>
                <w:vertAlign w:val="superscript"/>
              </w:rPr>
              <w:t>)</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FFCC"/>
            </w:tcBorders>
            <w:vMerge w:val="restart"/>
            <w:shd w:val="clear" w:color="auto" w:fill="CCFFCC"/>
          </w:tcPr>
          <w:p>
            <w:pPr>
              <w:ind w:left="160"/>
              <w:spacing w:after="0"/>
              <w:rPr>
                <w:sz w:val="20"/>
                <w:szCs w:val="20"/>
                <w:color w:val="auto"/>
              </w:rPr>
            </w:pPr>
            <w:r>
              <w:rPr>
                <w:rFonts w:ascii="Arial" w:cs="Arial" w:eastAsia="Arial" w:hAnsi="Arial"/>
                <w:sz w:val="14"/>
                <w:szCs w:val="14"/>
                <w:color w:val="auto"/>
              </w:rPr>
              <w:t>Diluted</w:t>
            </w: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vMerge w:val="continue"/>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14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line="156"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240"/>
              <w:spacing w:after="0" w:line="156" w:lineRule="exact"/>
              <w:rPr>
                <w:sz w:val="20"/>
                <w:szCs w:val="20"/>
                <w:color w:val="auto"/>
              </w:rPr>
            </w:pPr>
            <w:r>
              <w:rPr>
                <w:rFonts w:ascii="Arial" w:cs="Arial" w:eastAsia="Arial" w:hAnsi="Arial"/>
                <w:sz w:val="14"/>
                <w:szCs w:val="14"/>
                <w:color w:val="auto"/>
              </w:rPr>
              <w:t>0.01</w:t>
            </w:r>
          </w:p>
        </w:tc>
        <w:tc>
          <w:tcPr>
            <w:tcW w:w="4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10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106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4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6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Weighted average common shares</w:t>
            </w: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4"/>
                <w:szCs w:val="14"/>
                <w:color w:val="auto"/>
              </w:rPr>
              <w:t>Basic</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7,517,151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5,743,319</w:t>
            </w:r>
            <w:r>
              <w:rPr>
                <w:rFonts w:ascii="Arial" w:cs="Arial" w:eastAsia="Arial" w:hAnsi="Arial"/>
                <w:sz w:val="20"/>
                <w:szCs w:val="20"/>
                <w:color w:val="auto"/>
                <w:vertAlign w:val="superscript"/>
              </w:rPr>
              <w:t>(6)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20" w:type="dxa"/>
            <w:vAlign w:val="bottom"/>
            <w:tcBorders>
              <w:top w:val="single" w:sz="8" w:color="CCFFCC"/>
              <w:bottom w:val="single" w:sz="8" w:color="CCFFCC"/>
            </w:tcBorders>
            <w:shd w:val="clear" w:color="auto" w:fill="CCFFCC"/>
          </w:tcPr>
          <w:p>
            <w:pPr>
              <w:ind w:left="160"/>
              <w:spacing w:after="0" w:line="129" w:lineRule="exact"/>
              <w:rPr>
                <w:sz w:val="20"/>
                <w:szCs w:val="20"/>
                <w:color w:val="auto"/>
              </w:rPr>
            </w:pPr>
            <w:r>
              <w:rPr>
                <w:rFonts w:ascii="Arial" w:cs="Arial" w:eastAsia="Arial" w:hAnsi="Arial"/>
                <w:sz w:val="14"/>
                <w:szCs w:val="14"/>
                <w:color w:val="auto"/>
              </w:rPr>
              <w:t>Diluted</w:t>
            </w:r>
          </w:p>
        </w:tc>
        <w:tc>
          <w:tcPr>
            <w:tcW w:w="640" w:type="dxa"/>
            <w:vAlign w:val="bottom"/>
            <w:tcBorders>
              <w:top w:val="single" w:sz="8" w:color="CCFFCC"/>
              <w:bottom w:val="single" w:sz="8" w:color="CCFFCC"/>
            </w:tcBorders>
            <w:shd w:val="clear" w:color="auto" w:fill="CCFFCC"/>
          </w:tcPr>
          <w:p>
            <w:pPr>
              <w:spacing w:after="0"/>
              <w:rPr>
                <w:sz w:val="11"/>
                <w:szCs w:val="11"/>
                <w:color w:val="auto"/>
              </w:rPr>
            </w:pPr>
          </w:p>
        </w:tc>
        <w:tc>
          <w:tcPr>
            <w:tcW w:w="100" w:type="dxa"/>
            <w:vAlign w:val="bottom"/>
            <w:tcBorders>
              <w:top w:val="single" w:sz="8" w:color="auto"/>
              <w:bottom w:val="single" w:sz="8" w:color="CCFFCC"/>
            </w:tcBorders>
            <w:shd w:val="clear" w:color="auto" w:fill="CCFFCC"/>
          </w:tcPr>
          <w:p>
            <w:pPr>
              <w:spacing w:after="0"/>
              <w:rPr>
                <w:sz w:val="11"/>
                <w:szCs w:val="11"/>
                <w:color w:val="auto"/>
              </w:rPr>
            </w:pPr>
          </w:p>
        </w:tc>
        <w:tc>
          <w:tcPr>
            <w:tcW w:w="1140" w:type="dxa"/>
            <w:vAlign w:val="bottom"/>
            <w:tcBorders>
              <w:top w:val="single" w:sz="8" w:color="auto"/>
              <w:bottom w:val="single" w:sz="8" w:color="CCFFCC"/>
            </w:tcBorders>
            <w:shd w:val="clear" w:color="auto" w:fill="CCFFCC"/>
          </w:tcPr>
          <w:p>
            <w:pPr>
              <w:spacing w:after="0"/>
              <w:rPr>
                <w:sz w:val="11"/>
                <w:szCs w:val="11"/>
                <w:color w:val="auto"/>
              </w:rPr>
            </w:pPr>
          </w:p>
        </w:tc>
        <w:tc>
          <w:tcPr>
            <w:tcW w:w="140" w:type="dxa"/>
            <w:vAlign w:val="bottom"/>
            <w:tcBorders>
              <w:top w:val="single" w:sz="8" w:color="CCFFCC"/>
              <w:bottom w:val="single" w:sz="8" w:color="CCFFCC"/>
            </w:tcBorders>
            <w:shd w:val="clear" w:color="auto" w:fill="CCFFCC"/>
          </w:tcPr>
          <w:p>
            <w:pPr>
              <w:spacing w:after="0"/>
              <w:rPr>
                <w:sz w:val="11"/>
                <w:szCs w:val="11"/>
                <w:color w:val="auto"/>
              </w:rPr>
            </w:pPr>
          </w:p>
        </w:tc>
        <w:tc>
          <w:tcPr>
            <w:tcW w:w="80" w:type="dxa"/>
            <w:vAlign w:val="bottom"/>
            <w:tcBorders>
              <w:top w:val="single" w:sz="8" w:color="CCFFCC"/>
              <w:bottom w:val="single" w:sz="8" w:color="CCFFCC"/>
            </w:tcBorders>
            <w:shd w:val="clear" w:color="auto" w:fill="CCFFCC"/>
          </w:tcPr>
          <w:p>
            <w:pPr>
              <w:spacing w:after="0"/>
              <w:rPr>
                <w:sz w:val="11"/>
                <w:szCs w:val="11"/>
                <w:color w:val="auto"/>
              </w:rPr>
            </w:pPr>
          </w:p>
        </w:tc>
        <w:tc>
          <w:tcPr>
            <w:tcW w:w="120" w:type="dxa"/>
            <w:vAlign w:val="bottom"/>
            <w:tcBorders>
              <w:top w:val="single" w:sz="8" w:color="auto"/>
              <w:bottom w:val="single" w:sz="8" w:color="auto"/>
            </w:tcBorders>
            <w:shd w:val="clear" w:color="auto" w:fill="CCFFCC"/>
          </w:tcPr>
          <w:p>
            <w:pPr>
              <w:spacing w:after="0"/>
              <w:rPr>
                <w:sz w:val="11"/>
                <w:szCs w:val="11"/>
                <w:color w:val="auto"/>
              </w:rPr>
            </w:pPr>
          </w:p>
        </w:tc>
        <w:tc>
          <w:tcPr>
            <w:tcW w:w="11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color w:val="auto"/>
              </w:rPr>
              <w:t>6,539,312(7)</w:t>
            </w:r>
          </w:p>
        </w:tc>
        <w:tc>
          <w:tcPr>
            <w:tcW w:w="240" w:type="dxa"/>
            <w:vAlign w:val="bottom"/>
            <w:tcBorders>
              <w:top w:val="single" w:sz="8" w:color="CCFFCC"/>
              <w:bottom w:val="single" w:sz="8" w:color="CCFFCC"/>
            </w:tcBorders>
            <w:shd w:val="clear" w:color="auto" w:fill="CCFFCC"/>
          </w:tcPr>
          <w:p>
            <w:pPr>
              <w:spacing w:after="0"/>
              <w:rPr>
                <w:sz w:val="11"/>
                <w:szCs w:val="11"/>
                <w:color w:val="auto"/>
              </w:rPr>
            </w:pPr>
          </w:p>
        </w:tc>
        <w:tc>
          <w:tcPr>
            <w:tcW w:w="40" w:type="dxa"/>
            <w:vAlign w:val="bottom"/>
            <w:tcBorders>
              <w:top w:val="single" w:sz="8" w:color="CCFFCC"/>
              <w:bottom w:val="single" w:sz="8" w:color="CCFFCC"/>
            </w:tcBorders>
            <w:shd w:val="clear" w:color="auto" w:fill="CCFFCC"/>
          </w:tcPr>
          <w:p>
            <w:pPr>
              <w:spacing w:after="0"/>
              <w:rPr>
                <w:sz w:val="11"/>
                <w:szCs w:val="11"/>
                <w:color w:val="auto"/>
              </w:rPr>
            </w:pPr>
          </w:p>
        </w:tc>
        <w:tc>
          <w:tcPr>
            <w:tcW w:w="160" w:type="dxa"/>
            <w:vAlign w:val="bottom"/>
            <w:tcBorders>
              <w:top w:val="single" w:sz="8" w:color="CCFFCC"/>
              <w:bottom w:val="single" w:sz="8" w:color="CCFFCC"/>
            </w:tcBorders>
            <w:shd w:val="clear" w:color="auto" w:fill="CCFFCC"/>
          </w:tcPr>
          <w:p>
            <w:pPr>
              <w:spacing w:after="0"/>
              <w:rPr>
                <w:sz w:val="11"/>
                <w:szCs w:val="11"/>
                <w:color w:val="auto"/>
              </w:rPr>
            </w:pPr>
          </w:p>
        </w:tc>
        <w:tc>
          <w:tcPr>
            <w:tcW w:w="1100" w:type="dxa"/>
            <w:vAlign w:val="bottom"/>
            <w:tcBorders>
              <w:top w:val="single" w:sz="8" w:color="CCFFCC"/>
              <w:bottom w:val="single" w:sz="8" w:color="CCFFCC"/>
            </w:tcBorders>
            <w:shd w:val="clear" w:color="auto" w:fill="CCFFCC"/>
          </w:tcPr>
          <w:p>
            <w:pPr>
              <w:spacing w:after="0"/>
              <w:rPr>
                <w:sz w:val="11"/>
                <w:szCs w:val="11"/>
                <w:color w:val="auto"/>
              </w:rPr>
            </w:pPr>
          </w:p>
        </w:tc>
        <w:tc>
          <w:tcPr>
            <w:tcW w:w="200" w:type="dxa"/>
            <w:vAlign w:val="bottom"/>
            <w:tcBorders>
              <w:top w:val="single" w:sz="8" w:color="CCFFCC"/>
              <w:bottom w:val="single" w:sz="8" w:color="CCFFCC"/>
            </w:tcBorders>
            <w:shd w:val="clear" w:color="auto" w:fill="CCFFCC"/>
          </w:tcPr>
          <w:p>
            <w:pPr>
              <w:spacing w:after="0"/>
              <w:rPr>
                <w:sz w:val="11"/>
                <w:szCs w:val="11"/>
                <w:color w:val="auto"/>
              </w:rPr>
            </w:pPr>
          </w:p>
        </w:tc>
        <w:tc>
          <w:tcPr>
            <w:tcW w:w="200" w:type="dxa"/>
            <w:vAlign w:val="bottom"/>
            <w:tcBorders>
              <w:top w:val="single" w:sz="8" w:color="CCFFCC"/>
              <w:bottom w:val="single" w:sz="8" w:color="CCFFCC"/>
            </w:tcBorders>
            <w:shd w:val="clear" w:color="auto" w:fill="CCFFCC"/>
          </w:tcPr>
          <w:p>
            <w:pPr>
              <w:spacing w:after="0"/>
              <w:rPr>
                <w:sz w:val="11"/>
                <w:szCs w:val="11"/>
                <w:color w:val="auto"/>
              </w:rPr>
            </w:pPr>
          </w:p>
        </w:tc>
        <w:tc>
          <w:tcPr>
            <w:tcW w:w="1060" w:type="dxa"/>
            <w:vAlign w:val="bottom"/>
            <w:tcBorders>
              <w:top w:val="single" w:sz="8" w:color="CCFFCC"/>
              <w:bottom w:val="single" w:sz="8" w:color="CCFFCC"/>
            </w:tcBorders>
            <w:shd w:val="clear" w:color="auto" w:fill="CCFFCC"/>
          </w:tcPr>
          <w:p>
            <w:pPr>
              <w:spacing w:after="0"/>
              <w:rPr>
                <w:sz w:val="11"/>
                <w:szCs w:val="11"/>
                <w:color w:val="auto"/>
              </w:rPr>
            </w:pPr>
          </w:p>
        </w:tc>
        <w:tc>
          <w:tcPr>
            <w:tcW w:w="140" w:type="dxa"/>
            <w:vAlign w:val="bottom"/>
            <w:tcBorders>
              <w:top w:val="single" w:sz="8" w:color="CCFFCC"/>
              <w:bottom w:val="single" w:sz="8" w:color="CCFFCC"/>
            </w:tcBorders>
            <w:shd w:val="clear" w:color="auto" w:fill="CCFFCC"/>
          </w:tcPr>
          <w:p>
            <w:pPr>
              <w:spacing w:after="0"/>
              <w:rPr>
                <w:sz w:val="11"/>
                <w:szCs w:val="11"/>
                <w:color w:val="auto"/>
              </w:rPr>
            </w:pPr>
          </w:p>
        </w:tc>
        <w:tc>
          <w:tcPr>
            <w:tcW w:w="80" w:type="dxa"/>
            <w:vAlign w:val="bottom"/>
            <w:tcBorders>
              <w:top w:val="single" w:sz="8" w:color="CCFFCC"/>
              <w:bottom w:val="single" w:sz="8" w:color="CCFFCC"/>
            </w:tcBorders>
            <w:shd w:val="clear" w:color="auto" w:fill="CCFFCC"/>
          </w:tcPr>
          <w:p>
            <w:pPr>
              <w:spacing w:after="0"/>
              <w:rPr>
                <w:sz w:val="11"/>
                <w:szCs w:val="11"/>
                <w:color w:val="auto"/>
              </w:rPr>
            </w:pPr>
          </w:p>
        </w:tc>
        <w:tc>
          <w:tcPr>
            <w:tcW w:w="80" w:type="dxa"/>
            <w:vAlign w:val="bottom"/>
            <w:tcBorders>
              <w:top w:val="single" w:sz="8" w:color="CCFFCC"/>
              <w:bottom w:val="single" w:sz="8" w:color="CCFFCC"/>
            </w:tcBorders>
            <w:shd w:val="clear" w:color="auto" w:fill="CCFFCC"/>
          </w:tcPr>
          <w:p>
            <w:pPr>
              <w:spacing w:after="0"/>
              <w:rPr>
                <w:sz w:val="11"/>
                <w:szCs w:val="11"/>
                <w:color w:val="auto"/>
              </w:rPr>
            </w:pPr>
          </w:p>
        </w:tc>
        <w:tc>
          <w:tcPr>
            <w:tcW w:w="1400" w:type="dxa"/>
            <w:vAlign w:val="bottom"/>
            <w:tcBorders>
              <w:top w:val="single" w:sz="8" w:color="CCFFCC"/>
              <w:bottom w:val="single" w:sz="8" w:color="CCFFCC"/>
            </w:tcBorders>
            <w:shd w:val="clear" w:color="auto" w:fill="CCFFCC"/>
          </w:tcPr>
          <w:p>
            <w:pPr>
              <w:spacing w:after="0"/>
              <w:rPr>
                <w:sz w:val="11"/>
                <w:szCs w:val="11"/>
                <w:color w:val="auto"/>
              </w:rPr>
            </w:pPr>
          </w:p>
        </w:tc>
        <w:tc>
          <w:tcPr>
            <w:tcW w:w="100" w:type="dxa"/>
            <w:vAlign w:val="bottom"/>
            <w:tcBorders>
              <w:top w:val="single" w:sz="8" w:color="CCFFCC"/>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Footnotes to the Unaudited Pro-forma Consolidated Statement of Operations</w:t>
      </w:r>
    </w:p>
    <w:p>
      <w:pPr>
        <w:spacing w:after="0" w:line="225" w:lineRule="exact"/>
        <w:rPr>
          <w:sz w:val="20"/>
          <w:szCs w:val="20"/>
          <w:color w:val="auto"/>
        </w:rPr>
      </w:pPr>
    </w:p>
    <w:p>
      <w:pPr>
        <w:ind w:firstLine="656"/>
        <w:spacing w:after="0" w:line="274" w:lineRule="auto"/>
        <w:tabs>
          <w:tab w:leader="none" w:pos="90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Current Quarter results are compared with the Prior Year Quarter (the Predecessor Prior Year Quarter of July 1, 2011 through September 28, 2011 and the Successor Prior Year Period of September 29, 2011 through September 30, 2011) on an unaudited pro-forma basis.</w:t>
      </w: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adjustment assumes the Company amortized intangible assets since January 1, 2011.</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adjustment is designed to eliminate expenses that are not required in the operation of the business and non-recurring in nature.</w:t>
      </w:r>
    </w:p>
    <w:p>
      <w:pPr>
        <w:spacing w:after="0" w:line="20" w:lineRule="exact"/>
        <w:rPr>
          <w:rFonts w:ascii="Arial" w:cs="Arial" w:eastAsia="Arial" w:hAnsi="Arial"/>
          <w:sz w:val="17"/>
          <w:szCs w:val="17"/>
          <w:color w:val="auto"/>
        </w:rPr>
      </w:pPr>
    </w:p>
    <w:p>
      <w:pPr>
        <w:ind w:firstLine="656"/>
        <w:spacing w:after="0" w:line="250" w:lineRule="auto"/>
        <w:tabs>
          <w:tab w:leader="none" w:pos="9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adjustment is designed to state interest expense and other finance costs as if acquisition of the Isaac Mizrahi Business and related financing occurred July 1, 2011.</w:t>
      </w: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 expense is adjusted to reflect an effective 40% income tax rate.</w:t>
      </w:r>
    </w:p>
    <w:p>
      <w:pPr>
        <w:spacing w:after="0" w:line="9" w:lineRule="exact"/>
        <w:rPr>
          <w:rFonts w:ascii="Arial" w:cs="Arial" w:eastAsia="Arial" w:hAnsi="Arial"/>
          <w:sz w:val="18"/>
          <w:szCs w:val="18"/>
          <w:color w:val="auto"/>
        </w:rPr>
      </w:pPr>
    </w:p>
    <w:p>
      <w:pPr>
        <w:ind w:firstLine="656"/>
        <w:spacing w:after="0" w:line="250" w:lineRule="auto"/>
        <w:tabs>
          <w:tab w:leader="none" w:pos="9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number of basic common shares presented on a pro-forma basis for the Prior Year Quarter is equal to the number of shares that were outstanding immediately after the acquisition of the Isaac Mizrahi Business.</w:t>
      </w:r>
    </w:p>
    <w:p>
      <w:pPr>
        <w:jc w:val="both"/>
        <w:ind w:firstLine="656"/>
        <w:spacing w:after="0" w:line="255" w:lineRule="auto"/>
        <w:tabs>
          <w:tab w:leader="none" w:pos="9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number of common shares, on a diluted basis presented on a pro-forma basis for the Prior Year Quarter is equal to the number of shares that were outstanding immediately after the acquisition of the Isaac Mizrahi Business plus options and warrants that could be exercised into additional common shares measured at immediately after the acquisition of the Isaac Mizrahi Business.</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Net Licensing, Design and Service Fee Revenue. </w:t>
      </w:r>
      <w:r>
        <w:rPr>
          <w:rFonts w:ascii="Arial" w:cs="Arial" w:eastAsia="Arial" w:hAnsi="Arial"/>
          <w:sz w:val="16"/>
          <w:szCs w:val="16"/>
          <w:color w:val="auto"/>
        </w:rPr>
        <w:t>Total revenues for the Current Quarter increased by $826,000 to $3,814,000 compared to $2,988,000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Quarter. Revenues for the Predecessor Prior Year Quarter and the Successor Prior Year Period were $2,940,000 and $48,000, respectively. Revenues from the Company’s interactive media business, consisting of Isaac Mizrahi and Liz Claiborne products sold through QVC and the internet increased by $225,000 over the Prior Year Quarter. Other licensing revenues were up by $489,000 over the Prior Year Quarter by virtue of the new licenses that commenced on or after September 30, 2011. Design and service fee income increased to $960,000 compared with the Prior Year Quarter of $274,000. Of the $960,000 of the Current Quarter’s design and service fee income, $675,000 was earned from a contract that totaled $1 million that we expect to meet all of our obligations and recognize all of the revenues by the end of this year. The combined increase stated above of $1,399,000 was partially off-set by $573,000 of licensing revenue recognized in the Prior Year Quarter from amortization of a one-time payment received by the Predecessor prior to 2011, and not recognized by the Company. The Company incurred direct licensing costs of $89,000 during the Current Quarter whereby the Predecessor did not incur these costs in the Prior Year Quarter. This resulted in an increase in net licensing and design and service fee revenue by $737,000.</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Expenses totaled $4,151,000 in the Current Quarter compared to $2,380,000 in the Prior Year Quarter. Design and marketing expenses increased to</w:t>
      </w:r>
      <w:r>
        <w:rPr>
          <w:rFonts w:ascii="Arial" w:cs="Arial" w:eastAsia="Arial" w:hAnsi="Arial"/>
          <w:sz w:val="18"/>
          <w:szCs w:val="18"/>
          <w:i w:val="1"/>
          <w:iCs w:val="1"/>
          <w:color w:val="auto"/>
        </w:rPr>
        <w:t xml:space="preserve"> </w:t>
      </w:r>
      <w:r>
        <w:rPr>
          <w:rFonts w:ascii="Arial" w:cs="Arial" w:eastAsia="Arial" w:hAnsi="Arial"/>
          <w:sz w:val="18"/>
          <w:szCs w:val="18"/>
          <w:color w:val="auto"/>
        </w:rPr>
        <w:t>$1,365,000 from the Prior Year Quarter of $963,000. This increase was primarily related to the increase in compensation expenses, including $156,000 of stock-based compensation, and an increase in the interactive media business volume and expanded licensing business. General and administrative expenses increased by $1,357,000 to $2,570,000 from the Prior Year Quarter of $1,213,000, mostly relating to executive management compensation expense, including an increase of stock- based compensation expense of $1,070,000, and costs associated with being a public company. Depreciation and amortization increased slightly by $12,000.</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Operating income (loss) for the Current Quarter was ($426,000) compared to $608,000 for the Prior Year Quarter primarily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increase in stock-based compensation.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and Finance Costs. </w:t>
      </w:r>
      <w:r>
        <w:rPr>
          <w:rFonts w:ascii="Arial" w:cs="Arial" w:eastAsia="Arial" w:hAnsi="Arial"/>
          <w:sz w:val="18"/>
          <w:szCs w:val="18"/>
          <w:color w:val="auto"/>
        </w:rPr>
        <w:t>Interest and finance costs remained even for the Current Quarter compared to the Prior Year Quarter, although on an actual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the Predecessor had no interest or other finance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income tax rate for the Current Quarter was approximately 52% resulting in a $502,000 income tax benefit.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income tax rate for the Prior Year Quarter was 40% which resulted in $24,000 of income tax expense. The Current Quarter’s deferred tax benefit has been adjusted by 11% to account for differences of previous estimates and actual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Our net income (loss) was ($472,000) in the Current Quarter, compared to net income of $37,000 in the Prior Year Quarter,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factors discussed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The Nine Months ended September 30, 2012 Compared to the Nine Months ended September 30, 2011 Pro-forma.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Nine Months results are compared with the Predecessor Prior Year Nine Months of January 1, 2011 through September 28, 2011 and the Successor Prior Year Period of September 29, 2011 through September 30, 2011 on an unaudited pro-forma basis (the “Prior Year Nine Months”), as presented in the table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 and Pro-forma Statements of Operations of the Predecessor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Pro-forma 9</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9 Months Ended</w:t>
            </w: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jc w:val="right"/>
              <w:ind w:right="69"/>
              <w:spacing w:after="0" w:line="119" w:lineRule="exact"/>
              <w:rPr>
                <w:sz w:val="20"/>
                <w:szCs w:val="20"/>
                <w:color w:val="auto"/>
              </w:rPr>
            </w:pPr>
            <w:r>
              <w:rPr>
                <w:rFonts w:ascii="Arial" w:cs="Arial" w:eastAsia="Arial" w:hAnsi="Arial"/>
                <w:sz w:val="13"/>
                <w:szCs w:val="13"/>
                <w:b w:val="1"/>
                <w:bCs w:val="1"/>
                <w:color w:val="auto"/>
                <w:w w:val="99"/>
              </w:rPr>
              <w:t>For the period Sept.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2"/>
          </w:tcPr>
          <w:p>
            <w:pPr>
              <w:jc w:val="right"/>
              <w:ind w:right="28"/>
              <w:spacing w:after="0" w:line="119" w:lineRule="exact"/>
              <w:rPr>
                <w:sz w:val="20"/>
                <w:szCs w:val="20"/>
                <w:color w:val="auto"/>
              </w:rPr>
            </w:pPr>
            <w:r>
              <w:rPr>
                <w:rFonts w:ascii="Arial" w:cs="Arial" w:eastAsia="Arial" w:hAnsi="Arial"/>
                <w:sz w:val="13"/>
                <w:szCs w:val="13"/>
                <w:b w:val="1"/>
                <w:bCs w:val="1"/>
                <w:color w:val="auto"/>
              </w:rPr>
              <w:t>For the period Jan.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w w:val="99"/>
              </w:rPr>
              <w:t>Adjustments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29, 2011 to Sept.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2011 to Sept.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Sept. 30, 2012</w:t>
            </w:r>
          </w:p>
        </w:tc>
        <w:tc>
          <w:tcPr>
            <w:tcW w:w="1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 30, 2011 (1)</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2011 (1)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Licensing revenue</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7,989,000</w:t>
            </w: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7,953,000</w:t>
            </w: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42,000</w:t>
            </w:r>
          </w:p>
        </w:tc>
        <w:tc>
          <w:tcPr>
            <w:tcW w:w="240" w:type="dxa"/>
            <w:vAlign w:val="bottom"/>
            <w:gridSpan w:val="2"/>
            <w:shd w:val="clear" w:color="auto" w:fill="CCFFCC"/>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7,911,000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Design and service fee income</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1,614,000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4"/>
                <w:szCs w:val="14"/>
                <w:color w:val="auto"/>
              </w:rPr>
              <w:t>824,000</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818,000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Total revenues</w:t>
            </w:r>
          </w:p>
        </w:tc>
        <w:tc>
          <w:tcPr>
            <w:tcW w:w="100" w:type="dxa"/>
            <w:vAlign w:val="bottom"/>
            <w:tcBorders>
              <w:top w:val="single" w:sz="8" w:color="auto"/>
            </w:tcBorders>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9,603,000</w:t>
            </w:r>
          </w:p>
        </w:tc>
        <w:tc>
          <w:tcPr>
            <w:tcW w:w="2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8,777,000</w:t>
            </w:r>
          </w:p>
        </w:tc>
        <w:tc>
          <w:tcPr>
            <w:tcW w:w="3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48,000</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3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8,729,000</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ind w:left="160"/>
              <w:spacing w:after="0"/>
              <w:rPr>
                <w:sz w:val="20"/>
                <w:szCs w:val="20"/>
                <w:color w:val="auto"/>
              </w:rPr>
            </w:pPr>
            <w:r>
              <w:rPr>
                <w:rFonts w:ascii="Arial" w:cs="Arial" w:eastAsia="Arial" w:hAnsi="Arial"/>
                <w:sz w:val="14"/>
                <w:szCs w:val="14"/>
                <w:color w:val="auto"/>
              </w:rPr>
              <w:t>Direct licensing costs</w:t>
            </w:r>
          </w:p>
        </w:tc>
        <w:tc>
          <w:tcPr>
            <w:tcW w:w="10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174,000</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Net licensing, design and service fee revenue</w:t>
            </w:r>
          </w:p>
        </w:tc>
        <w:tc>
          <w:tcPr>
            <w:tcW w:w="100" w:type="dxa"/>
            <w:vAlign w:val="bottom"/>
            <w:tcBorders>
              <w:top w:val="single" w:sz="8" w:color="auto"/>
              <w:bottom w:val="single" w:sz="8" w:color="auto"/>
            </w:tcBorders>
            <w:shd w:val="clear" w:color="auto" w:fill="CCFFCC"/>
          </w:tcPr>
          <w:p>
            <w:pPr>
              <w:spacing w:after="0"/>
              <w:rPr>
                <w:sz w:val="12"/>
                <w:szCs w:val="12"/>
                <w:color w:val="auto"/>
              </w:rPr>
            </w:pPr>
          </w:p>
        </w:tc>
        <w:tc>
          <w:tcPr>
            <w:tcW w:w="11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9,429,000</w:t>
            </w:r>
          </w:p>
        </w:tc>
        <w:tc>
          <w:tcPr>
            <w:tcW w:w="2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bottom w:val="single" w:sz="8" w:color="auto"/>
            </w:tcBorders>
            <w:shd w:val="clear" w:color="auto" w:fill="CCFFCC"/>
          </w:tcPr>
          <w:p>
            <w:pPr>
              <w:spacing w:after="0"/>
              <w:rPr>
                <w:sz w:val="12"/>
                <w:szCs w:val="12"/>
                <w:color w:val="auto"/>
              </w:rPr>
            </w:pPr>
          </w:p>
        </w:tc>
        <w:tc>
          <w:tcPr>
            <w:tcW w:w="11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8,777,000</w:t>
            </w:r>
          </w:p>
        </w:tc>
        <w:tc>
          <w:tcPr>
            <w:tcW w:w="3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bottom w:val="single" w:sz="8" w:color="auto"/>
            </w:tcBorders>
            <w:shd w:val="clear" w:color="auto" w:fill="CCFFCC"/>
          </w:tcPr>
          <w:p>
            <w:pPr>
              <w:spacing w:after="0"/>
              <w:rPr>
                <w:sz w:val="12"/>
                <w:szCs w:val="12"/>
                <w:color w:val="auto"/>
              </w:rPr>
            </w:pPr>
          </w:p>
        </w:tc>
        <w:tc>
          <w:tcPr>
            <w:tcW w:w="11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spacing w:after="0"/>
              <w:rPr>
                <w:sz w:val="12"/>
                <w:szCs w:val="12"/>
                <w:color w:val="auto"/>
              </w:rPr>
            </w:pPr>
          </w:p>
        </w:tc>
        <w:tc>
          <w:tcPr>
            <w:tcW w:w="13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48,000</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13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8,729,000</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Expenses</w:t>
            </w:r>
          </w:p>
        </w:tc>
        <w:tc>
          <w:tcPr>
            <w:tcW w:w="10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Design and marketing costs</w:t>
            </w:r>
          </w:p>
        </w:tc>
        <w:tc>
          <w:tcPr>
            <w:tcW w:w="1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3,668,000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2,811,000</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2,786,000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General and administrative expenses</w:t>
            </w:r>
          </w:p>
        </w:tc>
        <w:tc>
          <w:tcPr>
            <w:tcW w:w="100" w:type="dxa"/>
            <w:vAlign w:val="bottom"/>
            <w:shd w:val="clear" w:color="auto" w:fill="CCFFCC"/>
          </w:tcPr>
          <w:p>
            <w:pPr>
              <w:spacing w:after="0"/>
              <w:rPr>
                <w:sz w:val="12"/>
                <w:szCs w:val="12"/>
                <w:color w:val="auto"/>
              </w:rPr>
            </w:pP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5,669,000</w:t>
            </w: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2,176,000</w:t>
            </w: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792,000</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4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1,384,000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640,000</w:t>
            </w:r>
          </w:p>
        </w:tc>
        <w:tc>
          <w:tcPr>
            <w:tcW w:w="10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608,000(2)</w:t>
            </w:r>
          </w:p>
        </w:tc>
        <w:tc>
          <w:tcPr>
            <w:tcW w:w="140" w:type="dxa"/>
            <w:vAlign w:val="bottom"/>
          </w:tcPr>
          <w:p>
            <w:pPr>
              <w:spacing w:after="0"/>
              <w:rPr>
                <w:sz w:val="12"/>
                <w:szCs w:val="12"/>
                <w:color w:val="auto"/>
              </w:rPr>
            </w:pPr>
          </w:p>
        </w:tc>
        <w:tc>
          <w:tcPr>
            <w:tcW w:w="12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395,000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Acquisition and due diligence costs</w:t>
            </w:r>
          </w:p>
        </w:tc>
        <w:tc>
          <w:tcPr>
            <w:tcW w:w="100" w:type="dxa"/>
            <w:vAlign w:val="bottom"/>
            <w:shd w:val="clear" w:color="auto" w:fill="CCFFCC"/>
          </w:tcPr>
          <w:p>
            <w:pPr>
              <w:spacing w:after="0"/>
              <w:rPr>
                <w:sz w:val="14"/>
                <w:szCs w:val="14"/>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39"/>
              <w:spacing w:after="0"/>
              <w:rPr>
                <w:sz w:val="20"/>
                <w:szCs w:val="20"/>
                <w:color w:val="auto"/>
              </w:rPr>
            </w:pPr>
            <w:r>
              <w:rPr>
                <w:rFonts w:ascii="Arial" w:cs="Arial" w:eastAsia="Arial" w:hAnsi="Arial"/>
                <w:sz w:val="14"/>
                <w:szCs w:val="14"/>
                <w:color w:val="auto"/>
              </w:rPr>
              <w:t>(423,000)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423,000</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bottom w:val="single" w:sz="8" w:color="CCFFCC"/>
            </w:tcBorders>
          </w:tcPr>
          <w:p>
            <w:pPr>
              <w:ind w:left="320"/>
              <w:spacing w:after="0" w:line="142" w:lineRule="exact"/>
              <w:rPr>
                <w:sz w:val="20"/>
                <w:szCs w:val="20"/>
                <w:color w:val="auto"/>
              </w:rPr>
            </w:pPr>
            <w:r>
              <w:rPr>
                <w:rFonts w:ascii="Arial" w:cs="Arial" w:eastAsia="Arial" w:hAnsi="Arial"/>
                <w:sz w:val="14"/>
                <w:szCs w:val="14"/>
                <w:color w:val="auto"/>
              </w:rPr>
              <w:t>Total expenses</w:t>
            </w: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9,977,000</w:t>
            </w:r>
          </w:p>
        </w:tc>
        <w:tc>
          <w:tcPr>
            <w:tcW w:w="200" w:type="dxa"/>
            <w:vAlign w:val="bottom"/>
            <w:tcBorders>
              <w:bottom w:val="single" w:sz="8" w:color="CCFFC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5,595,000</w:t>
            </w:r>
          </w:p>
        </w:tc>
        <w:tc>
          <w:tcPr>
            <w:tcW w:w="340" w:type="dxa"/>
            <w:vAlign w:val="bottom"/>
            <w:tcBorders>
              <w:bottom w:val="single" w:sz="8" w:color="CCFFC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(28,000</w:t>
            </w:r>
          </w:p>
        </w:tc>
        <w:tc>
          <w:tcPr>
            <w:tcW w:w="120" w:type="dxa"/>
            <w:vAlign w:val="bottom"/>
            <w:tcBorders>
              <w:bottom w:val="single" w:sz="8" w:color="CCFFCC"/>
            </w:tcBorders>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FFC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1,242,000</w:t>
            </w:r>
          </w:p>
        </w:tc>
        <w:tc>
          <w:tcPr>
            <w:tcW w:w="140" w:type="dxa"/>
            <w:vAlign w:val="bottom"/>
            <w:tcBorders>
              <w:bottom w:val="single" w:sz="8" w:color="CCFFCC"/>
            </w:tcBorders>
          </w:tcPr>
          <w:p>
            <w:pPr>
              <w:spacing w:after="0"/>
              <w:rPr>
                <w:sz w:val="12"/>
                <w:szCs w:val="12"/>
                <w:color w:val="auto"/>
              </w:rPr>
            </w:pPr>
          </w:p>
        </w:tc>
        <w:tc>
          <w:tcPr>
            <w:tcW w:w="8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4,381,000</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Operating income (loss)</w:t>
            </w:r>
          </w:p>
        </w:tc>
        <w:tc>
          <w:tcPr>
            <w:tcW w:w="10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(548,000)</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3,182,000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4"/>
                <w:szCs w:val="14"/>
                <w:color w:val="auto"/>
              </w:rPr>
              <w:t>28,000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(1,194,000)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4,348,000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3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32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expenses - debt</w:t>
            </w:r>
          </w:p>
        </w:tc>
        <w:tc>
          <w:tcPr>
            <w:tcW w:w="10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858,000</w:t>
            </w:r>
          </w:p>
        </w:tc>
        <w:tc>
          <w:tcPr>
            <w:tcW w:w="100" w:type="dxa"/>
            <w:vAlign w:val="bottom"/>
            <w:shd w:val="clear" w:color="auto" w:fill="CCFFCC"/>
          </w:tcPr>
          <w:p>
            <w:pPr>
              <w:spacing w:after="0"/>
              <w:rPr>
                <w:sz w:val="12"/>
                <w:szCs w:val="12"/>
                <w:color w:val="auto"/>
              </w:rPr>
            </w:pPr>
          </w:p>
        </w:tc>
        <w:tc>
          <w:tcPr>
            <w:tcW w:w="14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861,000(4)</w:t>
            </w:r>
          </w:p>
        </w:tc>
        <w:tc>
          <w:tcPr>
            <w:tcW w:w="14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79"/>
              <w:spacing w:after="0" w:line="149" w:lineRule="exact"/>
              <w:rPr>
                <w:sz w:val="20"/>
                <w:szCs w:val="20"/>
                <w:color w:val="auto"/>
              </w:rPr>
            </w:pPr>
            <w:r>
              <w:rPr>
                <w:rFonts w:ascii="Arial" w:cs="Arial" w:eastAsia="Arial" w:hAnsi="Arial"/>
                <w:sz w:val="14"/>
                <w:szCs w:val="14"/>
                <w:color w:val="auto"/>
              </w:rPr>
              <w:t>855,000</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6,000</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4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ind w:left="160"/>
              <w:spacing w:after="0"/>
              <w:rPr>
                <w:sz w:val="20"/>
                <w:szCs w:val="20"/>
                <w:color w:val="auto"/>
              </w:rPr>
            </w:pPr>
            <w:r>
              <w:rPr>
                <w:rFonts w:ascii="Arial" w:cs="Arial" w:eastAsia="Arial" w:hAnsi="Arial"/>
                <w:sz w:val="14"/>
                <w:szCs w:val="14"/>
                <w:color w:val="auto"/>
              </w:rPr>
              <w:t>Other interest and finance charges</w:t>
            </w:r>
          </w:p>
        </w:tc>
        <w:tc>
          <w:tcPr>
            <w:tcW w:w="10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778,000</w:t>
            </w:r>
          </w:p>
        </w:tc>
        <w:tc>
          <w:tcPr>
            <w:tcW w:w="10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780,000(4)</w:t>
            </w:r>
          </w:p>
        </w:tc>
        <w:tc>
          <w:tcPr>
            <w:tcW w:w="140" w:type="dxa"/>
            <w:vAlign w:val="bottom"/>
          </w:tcPr>
          <w:p>
            <w:pPr>
              <w:spacing w:after="0"/>
              <w:rPr>
                <w:sz w:val="14"/>
                <w:szCs w:val="14"/>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4"/>
                <w:szCs w:val="14"/>
                <w:color w:val="auto"/>
              </w:rPr>
              <w:t>774,000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CCFFCC"/>
            </w:tcBorders>
            <w:shd w:val="clear" w:color="auto" w:fill="CCFFCC"/>
          </w:tcPr>
          <w:p>
            <w:pPr>
              <w:ind w:left="320"/>
              <w:spacing w:after="0" w:line="142" w:lineRule="exact"/>
              <w:rPr>
                <w:sz w:val="20"/>
                <w:szCs w:val="20"/>
                <w:color w:val="auto"/>
              </w:rPr>
            </w:pPr>
            <w:r>
              <w:rPr>
                <w:rFonts w:ascii="Arial" w:cs="Arial" w:eastAsia="Arial" w:hAnsi="Arial"/>
                <w:sz w:val="14"/>
                <w:szCs w:val="14"/>
                <w:color w:val="auto"/>
              </w:rPr>
              <w:t>Total other expenses</w:t>
            </w:r>
          </w:p>
        </w:tc>
        <w:tc>
          <w:tcPr>
            <w:tcW w:w="100" w:type="dxa"/>
            <w:vAlign w:val="bottom"/>
            <w:tcBorders>
              <w:top w:val="single" w:sz="8" w:color="auto"/>
              <w:bottom w:val="single" w:sz="8" w:color="auto"/>
            </w:tcBorders>
            <w:shd w:val="clear" w:color="auto" w:fill="CCFFCC"/>
          </w:tcPr>
          <w:p>
            <w:pPr>
              <w:spacing w:after="0"/>
              <w:rPr>
                <w:sz w:val="12"/>
                <w:szCs w:val="12"/>
                <w:color w:val="auto"/>
              </w:rPr>
            </w:pPr>
          </w:p>
        </w:tc>
        <w:tc>
          <w:tcPr>
            <w:tcW w:w="11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1,636,000</w:t>
            </w:r>
          </w:p>
        </w:tc>
        <w:tc>
          <w:tcPr>
            <w:tcW w:w="2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bottom w:val="single" w:sz="8" w:color="auto"/>
            </w:tcBorders>
            <w:shd w:val="clear" w:color="auto" w:fill="CCFFCC"/>
          </w:tcPr>
          <w:p>
            <w:pPr>
              <w:spacing w:after="0"/>
              <w:rPr>
                <w:sz w:val="12"/>
                <w:szCs w:val="12"/>
                <w:color w:val="auto"/>
              </w:rPr>
            </w:pPr>
          </w:p>
        </w:tc>
        <w:tc>
          <w:tcPr>
            <w:tcW w:w="11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1,641,000</w:t>
            </w:r>
          </w:p>
        </w:tc>
        <w:tc>
          <w:tcPr>
            <w:tcW w:w="3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bottom w:val="single" w:sz="8" w:color="auto"/>
            </w:tcBorders>
            <w:shd w:val="clear" w:color="auto" w:fill="CCFFCC"/>
          </w:tcPr>
          <w:p>
            <w:pPr>
              <w:spacing w:after="0"/>
              <w:rPr>
                <w:sz w:val="12"/>
                <w:szCs w:val="12"/>
                <w:color w:val="auto"/>
              </w:rPr>
            </w:pPr>
          </w:p>
        </w:tc>
        <w:tc>
          <w:tcPr>
            <w:tcW w:w="11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1,629,000</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spacing w:after="0"/>
              <w:rPr>
                <w:sz w:val="12"/>
                <w:szCs w:val="12"/>
                <w:color w:val="auto"/>
              </w:rPr>
            </w:pPr>
          </w:p>
        </w:tc>
        <w:tc>
          <w:tcPr>
            <w:tcW w:w="13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12,000</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13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(2,184,000)</w:t>
            </w: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1,541,000</w:t>
            </w: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39"/>
              <w:spacing w:after="0" w:line="149" w:lineRule="exact"/>
              <w:rPr>
                <w:sz w:val="20"/>
                <w:szCs w:val="20"/>
                <w:color w:val="auto"/>
              </w:rPr>
            </w:pPr>
            <w:r>
              <w:rPr>
                <w:rFonts w:ascii="Arial" w:cs="Arial" w:eastAsia="Arial" w:hAnsi="Arial"/>
                <w:sz w:val="14"/>
                <w:szCs w:val="14"/>
                <w:color w:val="auto"/>
              </w:rPr>
              <w:t>(1,601,000)</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5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(1,206,000)</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4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4,348,000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Income tax provision (benefit)</w:t>
            </w:r>
          </w:p>
        </w:tc>
        <w:tc>
          <w:tcPr>
            <w:tcW w:w="100" w:type="dxa"/>
            <w:vAlign w:val="bottom"/>
            <w:shd w:val="clear" w:color="auto" w:fill="CCFFCC"/>
          </w:tcPr>
          <w:p>
            <w:pPr>
              <w:spacing w:after="0"/>
              <w:rPr>
                <w:sz w:val="14"/>
                <w:szCs w:val="14"/>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(520,000)</w:t>
            </w:r>
          </w:p>
        </w:tc>
        <w:tc>
          <w:tcPr>
            <w:tcW w:w="100" w:type="dxa"/>
            <w:vAlign w:val="bottom"/>
            <w:shd w:val="clear" w:color="auto" w:fill="CCFFCC"/>
          </w:tcPr>
          <w:p>
            <w:pPr>
              <w:spacing w:after="0"/>
              <w:rPr>
                <w:sz w:val="14"/>
                <w:szCs w:val="14"/>
                <w:color w:val="auto"/>
              </w:rPr>
            </w:pP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616,000(5)</w:t>
            </w:r>
          </w:p>
        </w:tc>
        <w:tc>
          <w:tcPr>
            <w:tcW w:w="14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79"/>
              <w:spacing w:after="0"/>
              <w:rPr>
                <w:sz w:val="20"/>
                <w:szCs w:val="20"/>
                <w:color w:val="auto"/>
              </w:rPr>
            </w:pPr>
            <w:r>
              <w:rPr>
                <w:rFonts w:ascii="Arial" w:cs="Arial" w:eastAsia="Arial" w:hAnsi="Arial"/>
                <w:sz w:val="14"/>
                <w:szCs w:val="14"/>
                <w:color w:val="auto"/>
              </w:rPr>
              <w:t>440,000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FFCC"/>
          </w:tcPr>
          <w:p>
            <w:pPr>
              <w:jc w:val="right"/>
              <w:ind w:right="160"/>
              <w:spacing w:after="0" w:line="176" w:lineRule="exact"/>
              <w:rPr>
                <w:sz w:val="20"/>
                <w:szCs w:val="20"/>
                <w:color w:val="auto"/>
              </w:rPr>
            </w:pPr>
            <w:r>
              <w:rPr>
                <w:rFonts w:ascii="Arial" w:cs="Arial" w:eastAsia="Arial" w:hAnsi="Arial"/>
                <w:sz w:val="12"/>
                <w:szCs w:val="12"/>
                <w:color w:val="auto"/>
              </w:rPr>
              <w:t>(1,664,000</w:t>
            </w:r>
            <w:r>
              <w:rPr>
                <w:rFonts w:ascii="Arial" w:cs="Arial" w:eastAsia="Arial" w:hAnsi="Arial"/>
                <w:sz w:val="20"/>
                <w:szCs w:val="20"/>
                <w:color w:val="auto"/>
                <w:vertAlign w:val="superscript"/>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FFCC"/>
          </w:tcPr>
          <w:p>
            <w:pPr>
              <w:jc w:val="right"/>
              <w:ind w:right="340"/>
              <w:spacing w:after="0"/>
              <w:rPr>
                <w:sz w:val="20"/>
                <w:szCs w:val="20"/>
                <w:color w:val="auto"/>
              </w:rPr>
            </w:pPr>
            <w:r>
              <w:rPr>
                <w:rFonts w:ascii="Arial" w:cs="Arial" w:eastAsia="Arial" w:hAnsi="Arial"/>
                <w:sz w:val="14"/>
                <w:szCs w:val="14"/>
                <w:color w:val="auto"/>
              </w:rPr>
              <w:t>925,000</w:t>
            </w:r>
          </w:p>
        </w:tc>
        <w:tc>
          <w:tcPr>
            <w:tcW w:w="140" w:type="dxa"/>
            <w:vAlign w:val="bottom"/>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FFCC"/>
          </w:tcPr>
          <w:p>
            <w:pPr>
              <w:jc w:val="right"/>
              <w:ind w:right="39"/>
              <w:spacing w:after="0" w:line="176" w:lineRule="exact"/>
              <w:rPr>
                <w:sz w:val="20"/>
                <w:szCs w:val="20"/>
                <w:color w:val="auto"/>
              </w:rPr>
            </w:pPr>
            <w:r>
              <w:rPr>
                <w:rFonts w:ascii="Arial" w:cs="Arial" w:eastAsia="Arial" w:hAnsi="Arial"/>
                <w:sz w:val="12"/>
                <w:szCs w:val="12"/>
                <w:color w:val="auto"/>
              </w:rPr>
              <w:t>(2,041,000</w:t>
            </w:r>
            <w:r>
              <w:rPr>
                <w:rFonts w:ascii="Arial" w:cs="Arial" w:eastAsia="Arial" w:hAnsi="Arial"/>
                <w:sz w:val="20"/>
                <w:szCs w:val="20"/>
                <w:color w:val="auto"/>
                <w:vertAlign w:val="superscript"/>
              </w:rPr>
              <w:t>)</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2"/>
                <w:szCs w:val="12"/>
                <w:color w:val="auto"/>
              </w:rPr>
              <w:t>(1,207,000</w:t>
            </w:r>
            <w:r>
              <w:rPr>
                <w:rFonts w:ascii="Arial" w:cs="Arial" w:eastAsia="Arial" w:hAnsi="Arial"/>
                <w:sz w:val="20"/>
                <w:szCs w:val="20"/>
                <w:color w:val="auto"/>
                <w:vertAlign w:val="superscript"/>
              </w:rPr>
              <w:t>)</w:t>
            </w:r>
          </w:p>
        </w:tc>
        <w:tc>
          <w:tcPr>
            <w:tcW w:w="240" w:type="dxa"/>
            <w:vAlign w:val="bottom"/>
            <w:gridSpan w:val="2"/>
            <w:shd w:val="clear" w:color="auto" w:fill="CCFFCC"/>
          </w:tcPr>
          <w:p>
            <w:pPr>
              <w:jc w:val="right"/>
              <w:ind w:right="13"/>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4,173,000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EPS</w:t>
            </w:r>
          </w:p>
        </w:tc>
        <w:tc>
          <w:tcPr>
            <w:tcW w:w="10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ind w:left="16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60"/>
              <w:spacing w:after="0" w:line="176" w:lineRule="exact"/>
              <w:rPr>
                <w:sz w:val="20"/>
                <w:szCs w:val="20"/>
                <w:color w:val="auto"/>
              </w:rPr>
            </w:pPr>
            <w:r>
              <w:rPr>
                <w:rFonts w:ascii="Arial" w:cs="Arial" w:eastAsia="Arial" w:hAnsi="Arial"/>
                <w:sz w:val="12"/>
                <w:szCs w:val="12"/>
                <w:color w:val="auto"/>
              </w:rPr>
              <w:t>(0.25</w:t>
            </w:r>
            <w:r>
              <w:rPr>
                <w:rFonts w:ascii="Arial" w:cs="Arial" w:eastAsia="Arial" w:hAnsi="Arial"/>
                <w:sz w:val="20"/>
                <w:szCs w:val="20"/>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340"/>
              <w:spacing w:after="0"/>
              <w:rPr>
                <w:sz w:val="20"/>
                <w:szCs w:val="20"/>
                <w:color w:val="auto"/>
              </w:rPr>
            </w:pPr>
            <w:r>
              <w:rPr>
                <w:rFonts w:ascii="Arial" w:cs="Arial" w:eastAsia="Arial" w:hAnsi="Arial"/>
                <w:sz w:val="14"/>
                <w:szCs w:val="14"/>
                <w:color w:val="auto"/>
              </w:rPr>
              <w:t>0.16</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FFCC"/>
            </w:tcBorders>
            <w:vMerge w:val="restart"/>
            <w:shd w:val="clear" w:color="auto" w:fill="CCFFCC"/>
          </w:tcPr>
          <w:p>
            <w:pPr>
              <w:ind w:left="160"/>
              <w:spacing w:after="0"/>
              <w:rPr>
                <w:sz w:val="20"/>
                <w:szCs w:val="20"/>
                <w:color w:val="auto"/>
              </w:rPr>
            </w:pPr>
            <w:r>
              <w:rPr>
                <w:rFonts w:ascii="Arial" w:cs="Arial" w:eastAsia="Arial" w:hAnsi="Arial"/>
                <w:sz w:val="14"/>
                <w:szCs w:val="14"/>
                <w:color w:val="auto"/>
              </w:rPr>
              <w:t>Diluted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vMerge w:val="continue"/>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16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100" w:type="dxa"/>
            <w:vAlign w:val="bottom"/>
            <w:shd w:val="clear" w:color="auto" w:fill="CCFFCC"/>
          </w:tcPr>
          <w:p>
            <w:pPr>
              <w:jc w:val="right"/>
              <w:spacing w:after="0" w:line="156" w:lineRule="exact"/>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FFCC"/>
          </w:tcPr>
          <w:p>
            <w:pPr>
              <w:jc w:val="right"/>
              <w:ind w:right="340"/>
              <w:spacing w:after="0" w:line="156" w:lineRule="exact"/>
              <w:rPr>
                <w:sz w:val="20"/>
                <w:szCs w:val="20"/>
                <w:color w:val="auto"/>
              </w:rPr>
            </w:pPr>
            <w:r>
              <w:rPr>
                <w:rFonts w:ascii="Arial" w:cs="Arial" w:eastAsia="Arial" w:hAnsi="Arial"/>
                <w:sz w:val="14"/>
                <w:szCs w:val="14"/>
                <w:color w:val="auto"/>
              </w:rPr>
              <w:t>0.14</w:t>
            </w:r>
          </w:p>
        </w:tc>
        <w:tc>
          <w:tcPr>
            <w:tcW w:w="140" w:type="dxa"/>
            <w:vAlign w:val="bottom"/>
            <w:shd w:val="clear" w:color="auto" w:fill="CCFFCC"/>
          </w:tcPr>
          <w:p>
            <w:pPr>
              <w:spacing w:after="0"/>
              <w:rPr>
                <w:sz w:val="13"/>
                <w:szCs w:val="13"/>
                <w:color w:val="auto"/>
              </w:rPr>
            </w:pPr>
          </w:p>
        </w:tc>
        <w:tc>
          <w:tcPr>
            <w:tcW w:w="1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3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3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Weighted average common shares</w:t>
            </w:r>
          </w:p>
        </w:tc>
        <w:tc>
          <w:tcPr>
            <w:tcW w:w="10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3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6,772,244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line="176" w:lineRule="exact"/>
              <w:rPr>
                <w:sz w:val="20"/>
                <w:szCs w:val="20"/>
                <w:color w:val="auto"/>
              </w:rPr>
            </w:pPr>
            <w:r>
              <w:rPr>
                <w:rFonts w:ascii="Arial" w:cs="Arial" w:eastAsia="Arial" w:hAnsi="Arial"/>
                <w:sz w:val="12"/>
                <w:szCs w:val="12"/>
                <w:color w:val="auto"/>
              </w:rPr>
              <w:t>5,743,319</w:t>
            </w:r>
            <w:r>
              <w:rPr>
                <w:rFonts w:ascii="Arial" w:cs="Arial" w:eastAsia="Arial" w:hAnsi="Arial"/>
                <w:sz w:val="20"/>
                <w:szCs w:val="20"/>
                <w:color w:val="auto"/>
                <w:vertAlign w:val="superscript"/>
              </w:rPr>
              <w:t>(6)</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Borders>
              <w:top w:val="single" w:sz="8" w:color="CCFFCC"/>
              <w:bottom w:val="single" w:sz="8" w:color="CCFFCC"/>
            </w:tcBorders>
            <w:shd w:val="clear" w:color="auto" w:fill="CCFFCC"/>
          </w:tcPr>
          <w:p>
            <w:pPr>
              <w:ind w:left="160"/>
              <w:spacing w:after="0" w:line="129" w:lineRule="exact"/>
              <w:rPr>
                <w:sz w:val="20"/>
                <w:szCs w:val="20"/>
                <w:color w:val="auto"/>
              </w:rPr>
            </w:pPr>
            <w:r>
              <w:rPr>
                <w:rFonts w:ascii="Arial" w:cs="Arial" w:eastAsia="Arial" w:hAnsi="Arial"/>
                <w:sz w:val="14"/>
                <w:szCs w:val="14"/>
                <w:color w:val="auto"/>
              </w:rPr>
              <w:t>Diluted</w:t>
            </w:r>
          </w:p>
        </w:tc>
        <w:tc>
          <w:tcPr>
            <w:tcW w:w="100" w:type="dxa"/>
            <w:vAlign w:val="bottom"/>
            <w:tcBorders>
              <w:top w:val="single" w:sz="8" w:color="auto"/>
              <w:bottom w:val="single" w:sz="8" w:color="CCFFCC"/>
            </w:tcBorders>
            <w:shd w:val="clear" w:color="auto" w:fill="CCFFCC"/>
          </w:tcPr>
          <w:p>
            <w:pPr>
              <w:spacing w:after="0"/>
              <w:rPr>
                <w:sz w:val="11"/>
                <w:szCs w:val="11"/>
                <w:color w:val="auto"/>
              </w:rPr>
            </w:pPr>
          </w:p>
        </w:tc>
        <w:tc>
          <w:tcPr>
            <w:tcW w:w="1160" w:type="dxa"/>
            <w:vAlign w:val="bottom"/>
            <w:tcBorders>
              <w:top w:val="single" w:sz="8" w:color="auto"/>
              <w:bottom w:val="single" w:sz="8" w:color="CCFFCC"/>
            </w:tcBorders>
            <w:shd w:val="clear" w:color="auto" w:fill="CCFFCC"/>
          </w:tcPr>
          <w:p>
            <w:pPr>
              <w:spacing w:after="0"/>
              <w:rPr>
                <w:sz w:val="11"/>
                <w:szCs w:val="11"/>
                <w:color w:val="auto"/>
              </w:rPr>
            </w:pPr>
          </w:p>
        </w:tc>
        <w:tc>
          <w:tcPr>
            <w:tcW w:w="200" w:type="dxa"/>
            <w:vAlign w:val="bottom"/>
            <w:tcBorders>
              <w:top w:val="single" w:sz="8" w:color="CCFFCC"/>
              <w:bottom w:val="single" w:sz="8" w:color="CCFFCC"/>
            </w:tcBorders>
            <w:shd w:val="clear" w:color="auto" w:fill="CCFFCC"/>
          </w:tcPr>
          <w:p>
            <w:pPr>
              <w:spacing w:after="0"/>
              <w:rPr>
                <w:sz w:val="11"/>
                <w:szCs w:val="11"/>
                <w:color w:val="auto"/>
              </w:rPr>
            </w:pPr>
          </w:p>
        </w:tc>
        <w:tc>
          <w:tcPr>
            <w:tcW w:w="100" w:type="dxa"/>
            <w:vAlign w:val="bottom"/>
            <w:tcBorders>
              <w:top w:val="single" w:sz="8" w:color="auto"/>
              <w:bottom w:val="single" w:sz="8" w:color="auto"/>
            </w:tcBorders>
            <w:shd w:val="clear" w:color="auto" w:fill="CCFFCC"/>
          </w:tcPr>
          <w:p>
            <w:pPr>
              <w:spacing w:after="0"/>
              <w:rPr>
                <w:sz w:val="11"/>
                <w:szCs w:val="11"/>
                <w:color w:val="auto"/>
              </w:rPr>
            </w:pPr>
          </w:p>
        </w:tc>
        <w:tc>
          <w:tcPr>
            <w:tcW w:w="114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color w:val="auto"/>
              </w:rPr>
              <w:t>6,539,312(7)</w:t>
            </w:r>
          </w:p>
        </w:tc>
        <w:tc>
          <w:tcPr>
            <w:tcW w:w="340" w:type="dxa"/>
            <w:vAlign w:val="bottom"/>
            <w:tcBorders>
              <w:top w:val="single" w:sz="8" w:color="CCFFCC"/>
              <w:bottom w:val="single" w:sz="8" w:color="CCFFCC"/>
            </w:tcBorders>
            <w:shd w:val="clear" w:color="auto" w:fill="CCFFCC"/>
          </w:tcPr>
          <w:p>
            <w:pPr>
              <w:spacing w:after="0"/>
              <w:rPr>
                <w:sz w:val="11"/>
                <w:szCs w:val="11"/>
                <w:color w:val="auto"/>
              </w:rPr>
            </w:pPr>
          </w:p>
        </w:tc>
        <w:tc>
          <w:tcPr>
            <w:tcW w:w="140" w:type="dxa"/>
            <w:vAlign w:val="bottom"/>
            <w:tcBorders>
              <w:top w:val="single" w:sz="8" w:color="CCFFCC"/>
              <w:bottom w:val="single" w:sz="8" w:color="CCFFCC"/>
            </w:tcBorders>
            <w:shd w:val="clear" w:color="auto" w:fill="CCFFCC"/>
          </w:tcPr>
          <w:p>
            <w:pPr>
              <w:spacing w:after="0"/>
              <w:rPr>
                <w:sz w:val="11"/>
                <w:szCs w:val="11"/>
                <w:color w:val="auto"/>
              </w:rPr>
            </w:pPr>
          </w:p>
        </w:tc>
        <w:tc>
          <w:tcPr>
            <w:tcW w:w="1100" w:type="dxa"/>
            <w:vAlign w:val="bottom"/>
            <w:tcBorders>
              <w:top w:val="single" w:sz="8" w:color="CCFFCC"/>
              <w:bottom w:val="single" w:sz="8" w:color="CCFFCC"/>
            </w:tcBorders>
            <w:shd w:val="clear" w:color="auto" w:fill="CCFFCC"/>
          </w:tcPr>
          <w:p>
            <w:pPr>
              <w:spacing w:after="0"/>
              <w:rPr>
                <w:sz w:val="11"/>
                <w:szCs w:val="11"/>
                <w:color w:val="auto"/>
              </w:rPr>
            </w:pPr>
          </w:p>
        </w:tc>
        <w:tc>
          <w:tcPr>
            <w:tcW w:w="120" w:type="dxa"/>
            <w:vAlign w:val="bottom"/>
            <w:tcBorders>
              <w:top w:val="single" w:sz="8" w:color="CCFFCC"/>
              <w:bottom w:val="single" w:sz="8" w:color="CCFFCC"/>
            </w:tcBorders>
            <w:shd w:val="clear" w:color="auto" w:fill="CCFFCC"/>
          </w:tcPr>
          <w:p>
            <w:pPr>
              <w:spacing w:after="0"/>
              <w:rPr>
                <w:sz w:val="11"/>
                <w:szCs w:val="11"/>
                <w:color w:val="auto"/>
              </w:rPr>
            </w:pPr>
          </w:p>
        </w:tc>
        <w:tc>
          <w:tcPr>
            <w:tcW w:w="100" w:type="dxa"/>
            <w:vAlign w:val="bottom"/>
            <w:tcBorders>
              <w:top w:val="single" w:sz="8" w:color="CCFFCC"/>
              <w:bottom w:val="single" w:sz="8" w:color="CCFFCC"/>
            </w:tcBorders>
            <w:shd w:val="clear" w:color="auto" w:fill="CCFFCC"/>
          </w:tcPr>
          <w:p>
            <w:pPr>
              <w:spacing w:after="0"/>
              <w:rPr>
                <w:sz w:val="11"/>
                <w:szCs w:val="11"/>
                <w:color w:val="auto"/>
              </w:rPr>
            </w:pPr>
          </w:p>
        </w:tc>
        <w:tc>
          <w:tcPr>
            <w:tcW w:w="80" w:type="dxa"/>
            <w:vAlign w:val="bottom"/>
            <w:tcBorders>
              <w:top w:val="single" w:sz="8" w:color="CCFFCC"/>
              <w:bottom w:val="single" w:sz="8" w:color="CCFFCC"/>
            </w:tcBorders>
            <w:shd w:val="clear" w:color="auto" w:fill="CCFFCC"/>
          </w:tcPr>
          <w:p>
            <w:pPr>
              <w:spacing w:after="0"/>
              <w:rPr>
                <w:sz w:val="11"/>
                <w:szCs w:val="11"/>
                <w:color w:val="auto"/>
              </w:rPr>
            </w:pPr>
          </w:p>
        </w:tc>
        <w:tc>
          <w:tcPr>
            <w:tcW w:w="1380" w:type="dxa"/>
            <w:vAlign w:val="bottom"/>
            <w:tcBorders>
              <w:top w:val="single" w:sz="8" w:color="CCFFCC"/>
              <w:bottom w:val="single" w:sz="8" w:color="CCFFCC"/>
            </w:tcBorders>
            <w:shd w:val="clear" w:color="auto" w:fill="CCFFCC"/>
          </w:tcPr>
          <w:p>
            <w:pPr>
              <w:spacing w:after="0"/>
              <w:rPr>
                <w:sz w:val="11"/>
                <w:szCs w:val="11"/>
                <w:color w:val="auto"/>
              </w:rPr>
            </w:pPr>
          </w:p>
        </w:tc>
        <w:tc>
          <w:tcPr>
            <w:tcW w:w="140" w:type="dxa"/>
            <w:vAlign w:val="bottom"/>
            <w:tcBorders>
              <w:top w:val="single" w:sz="8" w:color="CCFFCC"/>
              <w:bottom w:val="single" w:sz="8" w:color="CCFFCC"/>
            </w:tcBorders>
            <w:shd w:val="clear" w:color="auto" w:fill="CCFFCC"/>
          </w:tcPr>
          <w:p>
            <w:pPr>
              <w:spacing w:after="0"/>
              <w:rPr>
                <w:sz w:val="11"/>
                <w:szCs w:val="11"/>
                <w:color w:val="auto"/>
              </w:rPr>
            </w:pPr>
          </w:p>
        </w:tc>
        <w:tc>
          <w:tcPr>
            <w:tcW w:w="80" w:type="dxa"/>
            <w:vAlign w:val="bottom"/>
            <w:tcBorders>
              <w:top w:val="single" w:sz="8" w:color="CCFFCC"/>
              <w:bottom w:val="single" w:sz="8" w:color="CCFFCC"/>
            </w:tcBorders>
            <w:shd w:val="clear" w:color="auto" w:fill="CCFFCC"/>
          </w:tcPr>
          <w:p>
            <w:pPr>
              <w:spacing w:after="0"/>
              <w:rPr>
                <w:sz w:val="11"/>
                <w:szCs w:val="11"/>
                <w:color w:val="auto"/>
              </w:rPr>
            </w:pPr>
          </w:p>
        </w:tc>
        <w:tc>
          <w:tcPr>
            <w:tcW w:w="160" w:type="dxa"/>
            <w:vAlign w:val="bottom"/>
            <w:tcBorders>
              <w:top w:val="single" w:sz="8" w:color="CCFFCC"/>
              <w:bottom w:val="single" w:sz="8" w:color="CCFFCC"/>
            </w:tcBorders>
            <w:shd w:val="clear" w:color="auto" w:fill="CCFFCC"/>
          </w:tcPr>
          <w:p>
            <w:pPr>
              <w:spacing w:after="0"/>
              <w:rPr>
                <w:sz w:val="11"/>
                <w:szCs w:val="11"/>
                <w:color w:val="auto"/>
              </w:rPr>
            </w:pPr>
          </w:p>
        </w:tc>
        <w:tc>
          <w:tcPr>
            <w:tcW w:w="1320" w:type="dxa"/>
            <w:vAlign w:val="bottom"/>
            <w:tcBorders>
              <w:top w:val="single" w:sz="8" w:color="CCFFCC"/>
              <w:bottom w:val="single" w:sz="8" w:color="CCFFCC"/>
            </w:tcBorders>
            <w:shd w:val="clear" w:color="auto" w:fill="CCFFCC"/>
          </w:tcPr>
          <w:p>
            <w:pPr>
              <w:spacing w:after="0"/>
              <w:rPr>
                <w:sz w:val="11"/>
                <w:szCs w:val="11"/>
                <w:color w:val="auto"/>
              </w:rPr>
            </w:pPr>
          </w:p>
        </w:tc>
        <w:tc>
          <w:tcPr>
            <w:tcW w:w="100" w:type="dxa"/>
            <w:vAlign w:val="bottom"/>
            <w:tcBorders>
              <w:top w:val="single" w:sz="8" w:color="CCFFCC"/>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Footnotes to the Unaudited Pro-forma Consolidated Statement of Operations</w:t>
      </w:r>
    </w:p>
    <w:p>
      <w:pPr>
        <w:spacing w:after="0" w:line="225" w:lineRule="exact"/>
        <w:rPr>
          <w:sz w:val="20"/>
          <w:szCs w:val="20"/>
          <w:color w:val="auto"/>
        </w:rPr>
      </w:pPr>
    </w:p>
    <w:p>
      <w:pPr>
        <w:ind w:right="40" w:firstLine="656"/>
        <w:spacing w:after="0" w:line="274" w:lineRule="auto"/>
        <w:tabs>
          <w:tab w:leader="none" w:pos="90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Current Nine Months results are compared with the Predecessor Prior Year Nine Months of January 1, 2011 through September 28, 2011 and the Successor Prior Year Period of September 29, 2011 through September 30, 2011 on an unaudited pro-forma basis</w:t>
      </w: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adjustment assumes the Company amortized intangible assets since January 1, 2011.</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adjustment is designed to eliminate expenses that are not required in the operation of the business and non-recurring in nature.</w:t>
      </w:r>
    </w:p>
    <w:p>
      <w:pPr>
        <w:spacing w:after="0" w:line="20" w:lineRule="exact"/>
        <w:rPr>
          <w:rFonts w:ascii="Arial" w:cs="Arial" w:eastAsia="Arial" w:hAnsi="Arial"/>
          <w:sz w:val="17"/>
          <w:szCs w:val="17"/>
          <w:color w:val="auto"/>
        </w:rPr>
      </w:pPr>
    </w:p>
    <w:p>
      <w:pPr>
        <w:ind w:right="120" w:firstLine="656"/>
        <w:spacing w:after="0" w:line="250"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adjustment is designed to state interest expense and other finance costs as if acquisition of the Isaac Mizrahi Business and related financing occurred January 1, 2011.</w:t>
      </w: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 expense is adjusted to reflect an effective 40% income tax rate.</w:t>
      </w:r>
    </w:p>
    <w:p>
      <w:pPr>
        <w:spacing w:after="0" w:line="9" w:lineRule="exact"/>
        <w:rPr>
          <w:rFonts w:ascii="Arial" w:cs="Arial" w:eastAsia="Arial" w:hAnsi="Arial"/>
          <w:sz w:val="18"/>
          <w:szCs w:val="18"/>
          <w:color w:val="auto"/>
        </w:rPr>
      </w:pPr>
    </w:p>
    <w:p>
      <w:pPr>
        <w:ind w:right="40" w:firstLine="656"/>
        <w:spacing w:after="0" w:line="250"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number of basic common shares presented on a pro-forma basis for the Prior Nine Months is equal to the number of shares that were outstanding immediately after the acquisition of the Isaac Mizrahi Business.</w:t>
      </w:r>
    </w:p>
    <w:p>
      <w:pPr>
        <w:ind w:right="80" w:firstLine="656"/>
        <w:spacing w:after="0" w:line="255"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number of common shares, on a diluted basis presented on a pro-forma basis for the Prior Nine Months is equal to the number of shares that were outstanding immediately after the acquisition of the Isaac Mizrahi Business plus options and warrants that could be exercised into additional common shares measured immediately after the acquisition of the Isaac Mizrahi Business.</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Net Licensing and Service Fee Revenue. </w:t>
      </w:r>
      <w:r>
        <w:rPr>
          <w:rFonts w:ascii="Arial" w:cs="Arial" w:eastAsia="Arial" w:hAnsi="Arial"/>
          <w:sz w:val="16"/>
          <w:szCs w:val="16"/>
          <w:color w:val="auto"/>
        </w:rPr>
        <w:t>Total revenues for the Current Nine Months increased by $826,000 to $9,603,000 compared to $8,777,000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Nine Months. Revenues for the Predecessor Prior Year Nine Months and the Successor Prior Year Period were $8,729,000 and $48,000, respectively. Revenues from the Company’s interactive media business, consisting of Isaac Mizrahi and Liz Claiborne products sold through QVC and the internet increased by $723,000 over the Prior Year Nine Months. Other licensing revenues were up by $1,061,000 over the Prior Year Nine Months by virtue of the new licenses that commenced on or after September 30, 2011. Design and service fee income increased to $1,614,000 compared with the Prior Year Nine Months of $824,000. Of the $1,614,000 of the Current Quarter’s design and service fee income, $775,000 was earned from a contract totaling $1 million that we expect to meet all of our obligations and will recognize all of the revenues by the end of this year. The combined increase stated above of $2,573,000 was partially off-set by $1,747,000 of licensing revenue recognized in the Prior Year Nine Months from amortization of a one-time payment received by the Predecessor prior to 2011. The Company incurred direct licensing costs of $174,000 during the Current Nine Months whereby the Predecessor did not incur these costs in the Prior Year Nine Months, which resulted in an increase in net licensing and design and service fee revenue by $652,000.</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Expenses totaled $9,977,000 in the Current Nine Months compared to $5,595,000 in the Prior Year Nine Months. Design and marketing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to $3,668,000 from the Prior Year Nine Months of $2,811,000. This increase was primarily related to the increase in compensation expenses, including $305,000 of stock-based compensation, and an increase in the interactive media business volume and expanded licensing business. General and administrative expenses increased by $3,493,000 to $5,669,000 from the Prior Year Nine Months of $2,176,000, mostly relating to executive management compensation expense, including an increase of stock-based compensation expense of $2,426,000, and costs associated with being a public company. Stock-based compensation expense of $3,479,000 increased by $2,732,000 compared with the Prior Year Nine Months of $747,000. Depreciation and amortization increased slightly by $32,000.</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Operating income (loss) for the Current Nine Months was ($548,000) compared to $3,182,000 for the Prior Year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the increase in stock based compensation.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and Finance Costs. </w:t>
      </w:r>
      <w:r>
        <w:rPr>
          <w:rFonts w:ascii="Arial" w:cs="Arial" w:eastAsia="Arial" w:hAnsi="Arial"/>
          <w:sz w:val="18"/>
          <w:szCs w:val="18"/>
          <w:color w:val="auto"/>
        </w:rPr>
        <w:t>Interest and finance costs remained even for the Current Nine Months compared to the Prior Year Nine Months, although on an</w:t>
      </w:r>
      <w:r>
        <w:rPr>
          <w:rFonts w:ascii="Arial" w:cs="Arial" w:eastAsia="Arial" w:hAnsi="Arial"/>
          <w:sz w:val="18"/>
          <w:szCs w:val="18"/>
          <w:i w:val="1"/>
          <w:iCs w:val="1"/>
          <w:color w:val="auto"/>
        </w:rPr>
        <w:t xml:space="preserve"> </w:t>
      </w:r>
      <w:r>
        <w:rPr>
          <w:rFonts w:ascii="Arial" w:cs="Arial" w:eastAsia="Arial" w:hAnsi="Arial"/>
          <w:sz w:val="18"/>
          <w:szCs w:val="18"/>
          <w:color w:val="auto"/>
        </w:rPr>
        <w:t>actual basis the Predecessor had no interest or other finance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income tax rate for the Current Nine Months was approximately 24% resulting in a $520,000 income tax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income tax rate for the Prior Year Quarter was 40% which resulted in $616,000 of income tax expense. The Current Nine Month’s deferred tax benefit has been adjusted by 16.5% to account for differences of previous estimates and actual results. .</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Our net income (loss) was ($1,664,000) in the Current Nine Months, compared to net income of $925,000 in the Prior Year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factors discussed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At September 30, 2012 our unrestricted cash and cash equivalents totaled $4,131,000.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term loan facility requires us to repay current interest quarterly at 8.5% per annum. Principal payments are not required until 2013.</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and capital expenditure needs for the next twelve months. We are dependent on our licensees for most of our revenues, and there is no assurance that the licensees will perform as projected.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believe that cash from future operations as well as currently available cash will be sufficient to satisfy our anticipated working capital requirements for the foreseeable future, including the debt service of the $13.5 million loan and making necessary upgrades to our infrastructure and technology.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Seller Note and Contingent Obligations are payable in stock and or cash, at the Company’s discretion. Payment of these obligations in stock would not affect the Company’s liquidity.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model does not require significant capital expenditures, nor does it require us to advance expenses such as inventory. Although we are limited to $400,000 per year in capital expenditures under the loan agreement, we estimate that capital expenditures for the next twelve months will be less than this amount, including for upgrading technology and equipment and fixture needs and making necessary improvements to our leased premises. Therefore, we do not believe that this covenant will restrict its expected operations.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The Predecessor </w:t>
      </w:r>
      <w:r>
        <w:rPr>
          <w:rFonts w:ascii="Arial" w:cs="Arial" w:eastAsia="Arial" w:hAnsi="Arial"/>
          <w:sz w:val="17"/>
          <w:szCs w:val="17"/>
          <w:color w:val="auto"/>
        </w:rPr>
        <w:t>- Prior to September 29, 2011 including the Prior Year Quarter, cash flow requirements for the Isaac Mizrahi Business were funded</w:t>
      </w:r>
      <w:r>
        <w:rPr>
          <w:rFonts w:ascii="Arial" w:cs="Arial" w:eastAsia="Arial" w:hAnsi="Arial"/>
          <w:sz w:val="17"/>
          <w:szCs w:val="17"/>
          <w:i w:val="1"/>
          <w:iCs w:val="1"/>
          <w:color w:val="auto"/>
        </w:rPr>
        <w:t xml:space="preserve"> </w:t>
      </w:r>
      <w:r>
        <w:rPr>
          <w:rFonts w:ascii="Arial" w:cs="Arial" w:eastAsia="Arial" w:hAnsi="Arial"/>
          <w:sz w:val="17"/>
          <w:szCs w:val="17"/>
          <w:color w:val="auto"/>
        </w:rPr>
        <w:t>by IM Ready, and cash management functions were not performed at the Isaac Mizrahi Business level. The Isaac Mizrahi Business did not maintain a separate cash account and it is not possible to determine the cash flows directly attributable to the Isaac Mizrahi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for the Current Nine Months approximated $1.5 million. The Current Nine Month net loss of $1,664,000 was off-set by adjustments for non-cash items of $4,241,000. These adjustments consisted of stock-based compensation of $3,479,000, non-cash interest and other finance costs of $670,000, depreciation and amortization of $640,000, less deferred income tax (benefit) of $548,000. The net change in operating assets and liabilities was ($1,060,000). Net cash used in operating activities for the Successor Prior Year Period approximated $905,000. The Successor Prior Year Period net loss of $1,207,000 was off-set by adjustments for non-cash items of $753,000. These adjustments consisted of stock-based compensation of $747,000, non-cash interest and other finance costs of $4,000, depreciation and amortization of $2,000. The net change in operating assets and liabilities was ($451,000).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investing activities was $110,000 for the Current Nine Months. The Company reduced restricted cash by $175,000 by depositing this sum into a refundable security deposit with our landlord. The Company purchased equipment and fixtures of $110,000. Net cash used in investing activities for the Successor Prior Year Period was $11.8 million, primarily related to the acquisition of the Isaac Mizrahi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was $6,000 for the Current Nine Months. The Company received a refund of $22,000 for finance costs. The Company made principal payments of $13,000 under its capital lease obligations and incurred expenses related to equity and recapitalization of $3,000. Net cash provided by in financing activities for the Successor Prior Year Period was $16.9 million, primarily related to the equity and term debt proceeds, less associated costs relating to the acquisition of the Isaac Mizrahi Business and recapitalization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continue to seek to expand and diversify the types of licensed products being produced under the Isaac Mizrahi brand, as well as diversify the distribution channels within which licensed products are sold, in an effort to reduce dependence on any particular retailer, consumer or market sector. The success of our company, however, will still remain largely dependent on our ability to build and maintain brand awareness and contract with and retain key licensees and on our licensees’ ability to accurately predict upcoming fashion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(benefit) is based on an effective income tax rate, which is comprised of the federal statutory rate and a state and local tax rate, net of federal effect. Our state and local tax rate is affected by the location of earned revenue and certain incurred expenses in determining state and local income tax allocations. Accordingly, our state and local tax rate, net of federal effect may vary and could have a material impact on the fair value of our deferred tax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8%, the expected effect on net income would be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our Chief Executive Officer ("CEO") and Chief Financial Officer ("CFO"),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Based upon and as of September 30, 2012,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2011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19, 2012</w:t>
            </w:r>
          </w:p>
        </w:tc>
        <w:tc>
          <w:tcPr>
            <w:tcW w:w="2320" w:type="dxa"/>
            <w:vAlign w:val="bottom"/>
          </w:tcPr>
          <w:p>
            <w:pPr>
              <w:ind w:left="18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740" w:type="dxa"/>
            <w:vAlign w:val="bottom"/>
          </w:tcPr>
          <w:p>
            <w:pPr>
              <w:spacing w:after="0"/>
              <w:rPr>
                <w:sz w:val="24"/>
                <w:szCs w:val="24"/>
                <w:color w:val="auto"/>
              </w:rPr>
            </w:pPr>
          </w:p>
        </w:tc>
        <w:tc>
          <w:tcPr>
            <w:tcW w:w="2320" w:type="dxa"/>
            <w:vAlign w:val="bottom"/>
          </w:tcPr>
          <w:p>
            <w:pPr>
              <w:ind w:left="18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7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27</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2012,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19, 2012</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Robert W. D’Loren</w:t>
            </w: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2012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19, 2012</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James Haran</w:t>
            </w: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2012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19, 2012</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Robert W. D’Loren</w:t>
            </w: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2012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19, 2012</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James Haran</w:t>
            </w: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lowerLetter"/>
      <w:start w:val="25"/>
    </w:lvl>
  </w:abstractNum>
  <w:abstractNum w:abstractNumId="5">
    <w:nsid w:val="6B68079A"/>
    <w:multiLevelType w:val="hybridMultilevel"/>
    <w:lvl w:ilvl="0">
      <w:lvlJc w:val="left"/>
      <w:lvlText w:val="I"/>
      <w:numFmt w:val="bullet"/>
      <w:start w:val="1"/>
    </w:lvl>
  </w:abstractNum>
  <w:abstractNum w:abstractNumId="6">
    <w:nsid w:val="4E6AFB66"/>
    <w:multiLevelType w:val="hybridMultilevel"/>
    <w:lvl w:ilvl="0">
      <w:lvlJc w:val="left"/>
      <w:lvlText w:val="%1"/>
      <w:numFmt w:val="upperLetter"/>
      <w:start w:val="61"/>
    </w:lvl>
  </w:abstractNum>
  <w:abstractNum w:abstractNumId="7">
    <w:nsid w:val="25E45D32"/>
    <w:multiLevelType w:val="hybridMultilevel"/>
    <w:lvl w:ilvl="0">
      <w:lvlJc w:val="left"/>
      <w:lvlText w:val="V"/>
      <w:numFmt w:val="bullet"/>
      <w:start w:val="1"/>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2019-12-09T13:16:26Z</dcterms:created>
  <dcterms:modified xsi:type="dcterms:W3CDTF">2019-12-09T13:16:26Z</dcterms:modified>
</cp:coreProperties>
</file>