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XCEL BRANDS, INC.</w:t>
      </w:r>
    </w:p>
    <w:p>
      <w:pPr>
        <w:jc w:val="center"/>
        <w:spacing w:after="0" w:line="213" w:lineRule="auto"/>
        <w:rPr>
          <w:sz w:val="20"/>
          <w:szCs w:val="20"/>
          <w:color w:val="auto"/>
        </w:rPr>
      </w:pPr>
      <w:r>
        <w:rPr>
          <w:rFonts w:ascii="Times New Roman" w:cs="Times New Roman" w:eastAsia="Times New Roman" w:hAnsi="Times New Roman"/>
          <w:sz w:val="18"/>
          <w:szCs w:val="18"/>
          <w:color w:val="auto"/>
        </w:rPr>
        <w:t>550 Seventh Avenue,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200" w:lineRule="exact"/>
        <w:rPr>
          <w:sz w:val="24"/>
          <w:szCs w:val="24"/>
          <w:color w:val="auto"/>
        </w:rPr>
      </w:pPr>
    </w:p>
    <w:p>
      <w:pPr>
        <w:spacing w:after="0" w:line="221"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4,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Pearlyne Paulemon</w:t>
      </w:r>
    </w:p>
    <w:p>
      <w:pPr>
        <w:spacing w:after="0" w:line="200" w:lineRule="exact"/>
        <w:rPr>
          <w:sz w:val="24"/>
          <w:szCs w:val="24"/>
          <w:color w:val="auto"/>
        </w:rPr>
      </w:pPr>
    </w:p>
    <w:p>
      <w:pPr>
        <w:spacing w:after="0" w:line="223"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Xcel Brands, Inc.</w:t>
            </w:r>
          </w:p>
        </w:tc>
      </w:tr>
      <w:tr>
        <w:trPr>
          <w:trHeight w:val="216"/>
        </w:trPr>
        <w:tc>
          <w:tcPr>
            <w:tcW w:w="6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Registration Statement on Form S-1</w:t>
            </w:r>
          </w:p>
        </w:tc>
      </w:tr>
      <w:tr>
        <w:trPr>
          <w:trHeight w:val="194"/>
        </w:trPr>
        <w:tc>
          <w:tcPr>
            <w:tcW w:w="660" w:type="dxa"/>
            <w:vAlign w:val="bottom"/>
          </w:tcPr>
          <w:p>
            <w:pPr>
              <w:spacing w:after="0"/>
              <w:rPr>
                <w:sz w:val="16"/>
                <w:szCs w:val="16"/>
                <w:color w:val="auto"/>
              </w:rPr>
            </w:pPr>
          </w:p>
        </w:tc>
        <w:tc>
          <w:tcPr>
            <w:tcW w:w="15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File No. 333-293200</w:t>
            </w:r>
          </w:p>
        </w:tc>
        <w:tc>
          <w:tcPr>
            <w:tcW w:w="1100" w:type="dxa"/>
            <w:vAlign w:val="bottom"/>
          </w:tcPr>
          <w:p>
            <w:pPr>
              <w:spacing w:after="0"/>
              <w:rPr>
                <w:sz w:val="16"/>
                <w:szCs w:val="16"/>
                <w:color w:val="auto"/>
              </w:rPr>
            </w:pPr>
          </w:p>
        </w:tc>
      </w:tr>
    </w:tbl>
    <w:p>
      <w:pPr>
        <w:spacing w:after="0" w:line="200" w:lineRule="exact"/>
        <w:rPr>
          <w:sz w:val="24"/>
          <w:szCs w:val="24"/>
          <w:color w:val="auto"/>
        </w:rPr>
      </w:pPr>
    </w:p>
    <w:p>
      <w:pPr>
        <w:spacing w:after="0" w:line="24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(the “Act”), Xcel Brands, Inc. (the “Company”) respectfully requests that the effective date of the Registration Statement on Form S-1 referred to above be accelerated so that it will become effective at 4:00 p.m., Eastern Standard Time, on Monday, May 6, 2026, or as soon thereafter as practicable.</w:t>
      </w:r>
    </w:p>
    <w:p>
      <w:pPr>
        <w:spacing w:after="0" w:line="176"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Please notify Brad L. Shiffman of Blank Rome LLP, counsel to the Company, at (212) 885-5442 as soon as possible as to the time the Registration Statement has been declared effective pursuant to this acceleration request.</w:t>
      </w:r>
    </w:p>
    <w:p>
      <w:pPr>
        <w:spacing w:after="0" w:line="162"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XCEL BRANDS, INC.</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Haran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18"/>
          <w:szCs w:val="18"/>
          <w:color w:val="auto"/>
        </w:rPr>
        <w:t>James Haran</w:t>
      </w:r>
    </w:p>
    <w:p>
      <w:pPr>
        <w:spacing w:after="0" w:line="23"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2026-06-04T23:08:23Z</dcterms:created>
  <dcterms:modified xsi:type="dcterms:W3CDTF">2026-06-04T23:08:23Z</dcterms:modified>
</cp:coreProperties>
</file>