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640" w:right="2140" w:hanging="2283"/>
        <w:spacing w:after="0" w:line="282" w:lineRule="auto"/>
        <w:tabs>
          <w:tab w:leader="none" w:pos="270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UNDER SECTION 13 OR 15 (D) OF THE SECURITIES EXCHANGE ACT OF 1934</w:t>
      </w:r>
    </w:p>
    <w:p>
      <w:pPr>
        <w:spacing w:after="0" w:line="16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i w:val="1"/>
          <w:iCs w:val="1"/>
          <w:color w:val="auto"/>
        </w:rPr>
        <w:t>COMMISSION FILE NUMBER : 0-21419</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XCEL BRANDS, INC.</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472" w:right="439" w:bottom="1440" w:gutter="0" w:footer="0" w:header="0"/>
        </w:sectPr>
      </w:pPr>
    </w:p>
    <w:p>
      <w:pPr>
        <w:spacing w:after="0" w:line="211" w:lineRule="exact"/>
        <w:rPr>
          <w:sz w:val="24"/>
          <w:szCs w:val="24"/>
          <w:color w:val="auto"/>
        </w:rPr>
      </w:pPr>
    </w:p>
    <w:p>
      <w:pPr>
        <w:ind w:left="24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76-0307819</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720" w:space="720"/>
            <w:col w:w="3780"/>
          </w:cols>
          <w:pgMar w:left="240" w:top="472" w:right="439" w:bottom="1440" w:gutter="0" w:footer="0" w:header="0"/>
          <w:type w:val="continuous"/>
        </w:sectPr>
      </w:pPr>
    </w:p>
    <w:p>
      <w:pPr>
        <w:spacing w:after="0" w:line="34"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475 Tenth Ave, 4th Floor</w:t>
      </w:r>
    </w:p>
    <w:p>
      <w:pPr>
        <w:spacing w:after="0" w:line="23" w:lineRule="exact"/>
        <w:rPr>
          <w:sz w:val="24"/>
          <w:szCs w:val="24"/>
          <w:color w:val="auto"/>
        </w:rPr>
      </w:pPr>
    </w:p>
    <w:p>
      <w:pPr>
        <w:ind w:left="4920"/>
        <w:spacing w:after="0"/>
        <w:rPr>
          <w:sz w:val="20"/>
          <w:szCs w:val="20"/>
          <w:color w:val="auto"/>
        </w:rPr>
      </w:pPr>
      <w:r>
        <w:rPr>
          <w:rFonts w:ascii="Arial" w:cs="Arial" w:eastAsia="Arial" w:hAnsi="Arial"/>
          <w:sz w:val="18"/>
          <w:szCs w:val="18"/>
          <w:u w:val="single" w:color="auto"/>
          <w:color w:val="auto"/>
        </w:rPr>
        <w:t>New York, NY 10018</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(347)-727-2474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(Issuer's Telephone Number, Including Area Code)</w:t>
      </w:r>
    </w:p>
    <w:p>
      <w:pPr>
        <w:spacing w:after="0" w:line="211"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472" w:right="439" w:bottom="1440" w:gutter="0" w:footer="0" w:header="0"/>
          <w:type w:val="continuous"/>
        </w:sectPr>
      </w:pPr>
    </w:p>
    <w:p>
      <w:pPr>
        <w:spacing w:after="0" w:line="2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80" w:space="720"/>
            <w:col w:w="3220"/>
          </w:cols>
          <w:pgMar w:left="240" w:top="472" w:right="4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80" w:space="720"/>
            <w:col w:w="3220"/>
          </w:cols>
          <w:pgMar w:left="240" w:top="472" w:right="439" w:bottom="1440" w:gutter="0" w:footer="0" w:header="0"/>
          <w:type w:val="continuous"/>
        </w:sectPr>
      </w:pPr>
    </w:p>
    <w:p>
      <w:pPr>
        <w:spacing w:after="0" w:line="48" w:lineRule="exact"/>
        <w:rPr>
          <w:sz w:val="24"/>
          <w:szCs w:val="24"/>
          <w:color w:val="auto"/>
        </w:rPr>
      </w:pPr>
    </w:p>
    <w:p>
      <w:pPr>
        <w:spacing w:after="0" w:line="196" w:lineRule="exact"/>
        <w:tabs>
          <w:tab w:leader="none" w:pos="8980" w:val="left"/>
        </w:tabs>
        <w:rPr>
          <w:sz w:val="20"/>
          <w:szCs w:val="20"/>
          <w:color w:val="auto"/>
        </w:rPr>
      </w:pPr>
      <w:r>
        <w:rPr>
          <w:rFonts w:ascii="Arial" w:cs="Arial" w:eastAsia="Arial" w:hAnsi="Arial"/>
          <w:sz w:val="17"/>
          <w:szCs w:val="17"/>
          <w:color w:val="auto"/>
        </w:rPr>
        <w:t xml:space="preserve">Indicate by a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As of August 14, 2012, 7,517,387 shares of common stock, $.001 par value per share, of the issuer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472"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XCEL BRANDS,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jc w:val="center"/>
              <w:ind w:right="10"/>
              <w:spacing w:after="0"/>
              <w:rPr>
                <w:sz w:val="20"/>
                <w:szCs w:val="20"/>
                <w:color w:val="auto"/>
              </w:rPr>
            </w:pPr>
            <w:r>
              <w:rPr>
                <w:rFonts w:ascii="Arial" w:cs="Arial" w:eastAsia="Arial" w:hAnsi="Arial"/>
                <w:sz w:val="18"/>
                <w:szCs w:val="18"/>
                <w:color w:val="auto"/>
              </w:rPr>
              <w:t>INDEX</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Statements (Unaudited)</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Condensed Consolidated Balance Sheets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Condensed Consolidated Statements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Condensed Consolidated Statements of Cash Flow</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Notes to Condensed Consolidated Financial Statements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Controls and Procedures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Legal Proceedings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1B.</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Risk Factors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Exhibits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Signatures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2</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June 30, 2012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 2011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FFCC"/>
          </w:tcPr>
          <w:p>
            <w:pPr>
              <w:spacing w:after="0"/>
              <w:rPr>
                <w:sz w:val="17"/>
                <w:szCs w:val="17"/>
                <w:color w:val="auto"/>
              </w:rPr>
            </w:pPr>
          </w:p>
        </w:tc>
        <w:tc>
          <w:tcPr>
            <w:tcW w:w="15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48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5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3,663,000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2,674,000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236,000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401,000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79,000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6,652,000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Property and equipment:</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rPr>
              <w:t>Leasehold improvements, furniture &amp; equipment</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1,489,000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1,399,000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235,000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1,254,000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rPr>
              <w:t>Trademarks, goodwill and other intangibles, net</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57,197,000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57,461,000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finance costs, net</w:t>
            </w:r>
          </w:p>
        </w:tc>
        <w:tc>
          <w:tcPr>
            <w:tcW w:w="22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506,000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CFFCC"/>
            </w:tcBorders>
            <w:gridSpan w:val="3"/>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14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gridSpan w:val="3"/>
            <w:shd w:val="clear" w:color="auto" w:fill="CCFFCC"/>
          </w:tcPr>
          <w:p>
            <w:pPr>
              <w:ind w:left="320"/>
              <w:spacing w:after="0"/>
              <w:rPr>
                <w:sz w:val="20"/>
                <w:szCs w:val="20"/>
                <w:color w:val="auto"/>
              </w:rPr>
            </w:pPr>
            <w:r>
              <w:rPr>
                <w:rFonts w:ascii="Arial" w:cs="Arial" w:eastAsia="Arial" w:hAnsi="Arial"/>
                <w:sz w:val="18"/>
                <w:szCs w:val="18"/>
                <w:color w:val="auto"/>
              </w:rPr>
              <w:t>Total other assets</w:t>
            </w:r>
          </w:p>
        </w:tc>
        <w:tc>
          <w:tcPr>
            <w:tcW w:w="220" w:type="dxa"/>
            <w:vAlign w:val="bottom"/>
            <w:shd w:val="clear" w:color="auto" w:fill="CCFFCC"/>
          </w:tcPr>
          <w:p>
            <w:pPr>
              <w:spacing w:after="0"/>
              <w:rPr>
                <w:sz w:val="20"/>
                <w:szCs w:val="20"/>
                <w:color w:val="auto"/>
              </w:rPr>
            </w:pP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57,888,000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58,061,000</w:t>
            </w:r>
          </w:p>
        </w:tc>
        <w:tc>
          <w:tcPr>
            <w:tcW w:w="0" w:type="dxa"/>
            <w:vAlign w:val="bottom"/>
          </w:tcPr>
          <w:p>
            <w:pPr>
              <w:spacing w:after="0"/>
              <w:rPr>
                <w:sz w:val="1"/>
                <w:szCs w:val="1"/>
                <w:color w:val="auto"/>
              </w:rPr>
            </w:pPr>
          </w:p>
        </w:tc>
      </w:tr>
      <w:tr>
        <w:trPr>
          <w:trHeight w:val="263"/>
        </w:trPr>
        <w:tc>
          <w:tcPr>
            <w:tcW w:w="76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65,794,000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64,954,000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FFCC"/>
            </w:tcBorders>
            <w:shd w:val="clear" w:color="auto" w:fill="CCFFCC"/>
          </w:tcPr>
          <w:p>
            <w:pPr>
              <w:spacing w:after="0"/>
              <w:rPr>
                <w:sz w:val="17"/>
                <w:szCs w:val="17"/>
                <w:color w:val="auto"/>
              </w:rPr>
            </w:pPr>
          </w:p>
        </w:tc>
        <w:tc>
          <w:tcPr>
            <w:tcW w:w="2300" w:type="dxa"/>
            <w:vAlign w:val="bottom"/>
            <w:tcBorders>
              <w:top w:val="single" w:sz="8" w:color="CCFFCC"/>
            </w:tcBorders>
            <w:shd w:val="clear" w:color="auto" w:fill="CCFFCC"/>
          </w:tcPr>
          <w:p>
            <w:pPr>
              <w:spacing w:after="0"/>
              <w:rPr>
                <w:sz w:val="17"/>
                <w:szCs w:val="17"/>
                <w:color w:val="auto"/>
              </w:rPr>
            </w:pPr>
          </w:p>
        </w:tc>
        <w:tc>
          <w:tcPr>
            <w:tcW w:w="4880" w:type="dxa"/>
            <w:vAlign w:val="bottom"/>
            <w:tcBorders>
              <w:top w:val="single" w:sz="8" w:color="CCFFCC"/>
            </w:tcBorders>
            <w:shd w:val="clear" w:color="auto" w:fill="CCFFCC"/>
          </w:tcPr>
          <w:p>
            <w:pPr>
              <w:spacing w:after="0"/>
              <w:rPr>
                <w:sz w:val="17"/>
                <w:szCs w:val="17"/>
                <w:color w:val="auto"/>
              </w:rPr>
            </w:pPr>
          </w:p>
        </w:tc>
        <w:tc>
          <w:tcPr>
            <w:tcW w:w="220" w:type="dxa"/>
            <w:vAlign w:val="bottom"/>
            <w:tcBorders>
              <w:top w:val="single" w:sz="8" w:color="auto"/>
            </w:tcBorders>
            <w:shd w:val="clear" w:color="auto" w:fill="CCFFCC"/>
          </w:tcPr>
          <w:p>
            <w:pPr>
              <w:spacing w:after="0"/>
              <w:rPr>
                <w:sz w:val="17"/>
                <w:szCs w:val="17"/>
                <w:color w:val="auto"/>
              </w:rPr>
            </w:pPr>
          </w:p>
        </w:tc>
        <w:tc>
          <w:tcPr>
            <w:tcW w:w="152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6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944,000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878,000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royalty payments, net of long term portion</w:t>
            </w:r>
          </w:p>
        </w:tc>
        <w:tc>
          <w:tcPr>
            <w:tcW w:w="22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366,000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128,000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Current portion of long term debt</w:t>
            </w:r>
          </w:p>
        </w:tc>
        <w:tc>
          <w:tcPr>
            <w:tcW w:w="22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847,000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2,285,000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Long Term Liabilities:</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rPr>
              <w:t>Term loan, net of short term portion</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11,786,000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12,344,000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Seller note</w:t>
            </w:r>
          </w:p>
        </w:tc>
        <w:tc>
          <w:tcPr>
            <w:tcW w:w="22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6,030,000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rPr>
              <w:t>Installment debt obligation, net of short term portion</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1,002,000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Contingent obligations - due to seller</w:t>
            </w:r>
          </w:p>
        </w:tc>
        <w:tc>
          <w:tcPr>
            <w:tcW w:w="22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17,765,000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9,748,000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9,831,000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Other long term liabilities, less current portion</w:t>
            </w:r>
          </w:p>
        </w:tc>
        <w:tc>
          <w:tcPr>
            <w:tcW w:w="22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365,000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long term liabilities</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46,696,000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46,845,000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FFCC"/>
          </w:tcPr>
          <w:p>
            <w:pPr>
              <w:spacing w:after="0"/>
              <w:rPr>
                <w:sz w:val="18"/>
                <w:szCs w:val="18"/>
                <w:color w:val="auto"/>
              </w:rPr>
            </w:pPr>
          </w:p>
        </w:tc>
        <w:tc>
          <w:tcPr>
            <w:tcW w:w="1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48,981,000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48,336,000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3"/>
            <w:shd w:val="clear" w:color="auto" w:fill="CCFFCC"/>
          </w:tcPr>
          <w:p>
            <w:pPr>
              <w:ind w:left="160"/>
              <w:spacing w:after="0" w:line="201" w:lineRule="exact"/>
              <w:rPr>
                <w:sz w:val="20"/>
                <w:szCs w:val="20"/>
                <w:color w:val="auto"/>
              </w:rPr>
            </w:pPr>
            <w:r>
              <w:rPr>
                <w:rFonts w:ascii="Arial" w:cs="Arial" w:eastAsia="Arial" w:hAnsi="Arial"/>
                <w:sz w:val="18"/>
                <w:szCs w:val="18"/>
                <w:color w:val="auto"/>
                <w:w w:val="92"/>
              </w:rPr>
              <w:t>Common stock, $.001 par value, 25,000,000 shares authorized, 7,517,387 and 5,810,444 issued and</w:t>
            </w:r>
          </w:p>
        </w:tc>
        <w:tc>
          <w:tcPr>
            <w:tcW w:w="220" w:type="dxa"/>
            <w:vAlign w:val="bottom"/>
            <w:shd w:val="clear" w:color="auto" w:fill="CCFFCC"/>
          </w:tcPr>
          <w:p>
            <w:pPr>
              <w:spacing w:after="0"/>
              <w:rPr>
                <w:sz w:val="17"/>
                <w:szCs w:val="17"/>
                <w:color w:val="auto"/>
              </w:rPr>
            </w:pPr>
          </w:p>
        </w:tc>
        <w:tc>
          <w:tcPr>
            <w:tcW w:w="15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outstanding at June 30, 2012 and December 31, 2011, respectively</w:t>
            </w:r>
          </w:p>
        </w:tc>
        <w:tc>
          <w:tcPr>
            <w:tcW w:w="220" w:type="dxa"/>
            <w:vAlign w:val="bottom"/>
            <w:shd w:val="clear" w:color="auto" w:fill="CCFFCC"/>
          </w:tcPr>
          <w:p>
            <w:pPr>
              <w:spacing w:after="0"/>
              <w:rPr>
                <w:sz w:val="20"/>
                <w:szCs w:val="20"/>
                <w:color w:val="auto"/>
              </w:rPr>
            </w:pP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Arial" w:cs="Arial" w:eastAsia="Arial" w:hAnsi="Arial"/>
                <w:sz w:val="18"/>
                <w:szCs w:val="18"/>
                <w:color w:val="auto"/>
              </w:rPr>
              <w:t>Paid in capital</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19,290,000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17,904,000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(2,484,000)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(1,292,000)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FFCC"/>
            </w:tcBorders>
            <w:gridSpan w:val="3"/>
          </w:tcPr>
          <w:p>
            <w:pPr>
              <w:ind w:left="3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16,813,000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16,618,000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4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65,794,000</w:t>
            </w:r>
          </w:p>
        </w:tc>
        <w:tc>
          <w:tcPr>
            <w:tcW w:w="1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64,954,000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760" w:type="dxa"/>
            <w:vAlign w:val="bottom"/>
            <w:gridSpan w:val="4"/>
          </w:tcPr>
          <w:p>
            <w:pPr>
              <w:jc w:val="right"/>
              <w:ind w:right="1380"/>
              <w:spacing w:after="0"/>
              <w:rPr>
                <w:sz w:val="20"/>
                <w:szCs w:val="20"/>
                <w:color w:val="auto"/>
              </w:rPr>
            </w:pPr>
            <w:r>
              <w:rPr>
                <w:rFonts w:ascii="Arial" w:cs="Arial" w:eastAsia="Arial" w:hAnsi="Arial"/>
                <w:sz w:val="18"/>
                <w:szCs w:val="18"/>
                <w:color w:val="auto"/>
                <w:w w:val="98"/>
              </w:rPr>
              <w:t>See Notes to Condensed Consolidated Interim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640" w:type="dxa"/>
            <w:vAlign w:val="bottom"/>
            <w:tcBorders>
              <w:bottom w:val="single" w:sz="8" w:color="auto"/>
            </w:tcBorders>
            <w:gridSpan w:val="3"/>
          </w:tcPr>
          <w:p>
            <w:pPr>
              <w:ind w:left="564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520" w:type="dxa"/>
            <w:vAlign w:val="bottom"/>
            <w:gridSpan w:val="8"/>
          </w:tcPr>
          <w:p>
            <w:pPr>
              <w:ind w:left="500"/>
              <w:spacing w:after="0"/>
              <w:rPr>
                <w:sz w:val="20"/>
                <w:szCs w:val="20"/>
                <w:color w:val="auto"/>
              </w:rPr>
            </w:pPr>
            <w:r>
              <w:rPr>
                <w:rFonts w:ascii="Arial" w:cs="Arial" w:eastAsia="Arial" w:hAnsi="Arial"/>
                <w:sz w:val="18"/>
                <w:szCs w:val="18"/>
                <w:b w:val="1"/>
                <w:bCs w:val="1"/>
                <w:color w:val="auto"/>
                <w:w w:val="93"/>
              </w:rPr>
              <w:t>For the Three Months Ended June 30,</w:t>
            </w:r>
          </w:p>
        </w:tc>
        <w:tc>
          <w:tcPr>
            <w:tcW w:w="2920" w:type="dxa"/>
            <w:vAlign w:val="bottom"/>
            <w:gridSpan w:val="8"/>
          </w:tcPr>
          <w:p>
            <w:pPr>
              <w:ind w:left="120"/>
              <w:spacing w:after="0"/>
              <w:rPr>
                <w:sz w:val="20"/>
                <w:szCs w:val="20"/>
                <w:color w:val="auto"/>
              </w:rPr>
            </w:pPr>
            <w:r>
              <w:rPr>
                <w:rFonts w:ascii="Arial" w:cs="Arial" w:eastAsia="Arial" w:hAnsi="Arial"/>
                <w:sz w:val="18"/>
                <w:szCs w:val="18"/>
                <w:b w:val="1"/>
                <w:bCs w:val="1"/>
                <w:color w:val="auto"/>
                <w:w w:val="92"/>
              </w:rPr>
              <w:t>For the Six Months Ended June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2"/>
              </w:rPr>
              <w:t>Successor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Predecessor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Successor</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Licensing revenue</w:t>
            </w:r>
          </w:p>
        </w:tc>
        <w:tc>
          <w:tcPr>
            <w:tcW w:w="68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2,507,000</w:t>
            </w:r>
          </w:p>
        </w:tc>
        <w:tc>
          <w:tcPr>
            <w:tcW w:w="14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2,619,000</w:t>
            </w:r>
          </w:p>
        </w:tc>
        <w:tc>
          <w:tcPr>
            <w:tcW w:w="2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5,135,000</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5,239,000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Design and service fee income</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368,000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654,000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5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2,875,000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2,894,000</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5,789,000</w:t>
            </w:r>
          </w:p>
        </w:tc>
        <w:tc>
          <w:tcPr>
            <w:tcW w:w="12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5,789,000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Direct licensing costs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licensing and service fee revenue</w:t>
            </w:r>
          </w:p>
        </w:tc>
        <w:tc>
          <w:tcPr>
            <w:tcW w:w="5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2,824,000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2,894,000</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5,704,000</w:t>
            </w:r>
          </w:p>
        </w:tc>
        <w:tc>
          <w:tcPr>
            <w:tcW w:w="12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5,789,000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Expenses</w:t>
            </w:r>
          </w:p>
        </w:tc>
        <w:tc>
          <w:tcPr>
            <w:tcW w:w="5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Design and marketing costs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1,183,000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923,000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2,216,000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828,000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421,000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1,750,000</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1,408,000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1,436,000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30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215,000</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70,000</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424,000</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expenses</w:t>
            </w:r>
          </w:p>
        </w:tc>
        <w:tc>
          <w:tcPr>
            <w:tcW w:w="50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3,634,000</w:t>
            </w:r>
          </w:p>
        </w:tc>
        <w:tc>
          <w:tcPr>
            <w:tcW w:w="140" w:type="dxa"/>
            <w:vAlign w:val="bottom"/>
            <w:tcBorders>
              <w:bottom w:val="single" w:sz="8" w:color="CCFFCC"/>
              <w:right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1,414,000</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5,826,000</w:t>
            </w:r>
          </w:p>
        </w:tc>
        <w:tc>
          <w:tcPr>
            <w:tcW w:w="120" w:type="dxa"/>
            <w:vAlign w:val="bottom"/>
            <w:tcBorders>
              <w:bottom w:val="single" w:sz="8" w:color="CCFFCC"/>
              <w:right w:val="single" w:sz="8" w:color="auto"/>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1,480,000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2,838,000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and finance costs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expenses - debt</w:t>
            </w:r>
          </w:p>
        </w:tc>
        <w:tc>
          <w:tcPr>
            <w:tcW w:w="5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right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286,000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572,000</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Other interest and finance charges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259,000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516,000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interest and finance costs</w:t>
            </w:r>
          </w:p>
        </w:tc>
        <w:tc>
          <w:tcPr>
            <w:tcW w:w="5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545,000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1,088,000</w:t>
            </w:r>
          </w:p>
        </w:tc>
        <w:tc>
          <w:tcPr>
            <w:tcW w:w="12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right w:val="single" w:sz="8" w:color="auto"/>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(1,355,000)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1,480,000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tcBorders>
              <w:right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(1,210,000)</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Provision (benefit) for income taxes</w:t>
            </w:r>
          </w:p>
        </w:tc>
        <w:tc>
          <w:tcPr>
            <w:tcW w:w="5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300" w:type="dxa"/>
            <w:vAlign w:val="bottom"/>
            <w:tcBorders>
              <w:right w:val="single" w:sz="8" w:color="auto"/>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118,000</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00" w:type="dxa"/>
            <w:vAlign w:val="bottom"/>
            <w:tcBorders>
              <w:right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Net (loss) income</w:t>
            </w:r>
          </w:p>
        </w:tc>
        <w:tc>
          <w:tcPr>
            <w:tcW w:w="68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(1,354,000)</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1,362,000</w:t>
            </w:r>
          </w:p>
        </w:tc>
        <w:tc>
          <w:tcPr>
            <w:tcW w:w="2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(1,192,000)</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2,666,000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right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right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Earnings (loss) per share:</w:t>
            </w:r>
          </w:p>
        </w:tc>
        <w:tc>
          <w:tcPr>
            <w:tcW w:w="5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Basic and diluted</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Borders>
              <w:top w:val="single" w:sz="8" w:color="CCFFCC"/>
            </w:tcBorders>
            <w:shd w:val="clear" w:color="auto" w:fill="CCFFCC"/>
          </w:tcPr>
          <w:p>
            <w:pPr>
              <w:spacing w:after="0"/>
              <w:rPr>
                <w:sz w:val="17"/>
                <w:szCs w:val="17"/>
                <w:color w:val="auto"/>
              </w:rPr>
            </w:pPr>
          </w:p>
        </w:tc>
        <w:tc>
          <w:tcPr>
            <w:tcW w:w="50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right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20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08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right w:val="single" w:sz="8" w:color="auto"/>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1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w w:val="97"/>
              </w:rPr>
              <w:t>Weighted average number of common shares outstanding:</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Basic &amp; diluted</w:t>
            </w:r>
          </w:p>
        </w:tc>
        <w:tc>
          <w:tcPr>
            <w:tcW w:w="5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6,981,216</w:t>
            </w:r>
          </w:p>
        </w:tc>
        <w:tc>
          <w:tcPr>
            <w:tcW w:w="140" w:type="dxa"/>
            <w:vAlign w:val="bottom"/>
            <w:tcBorders>
              <w:right w:val="single" w:sz="8" w:color="auto"/>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0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6,395,698</w:t>
            </w: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w w:val="96"/>
              </w:rPr>
              <w:t>For the 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Borders>
              <w:right w:val="single" w:sz="8" w:color="auto"/>
            </w:tcBorders>
            <w:gridSpan w:val="3"/>
          </w:tcPr>
          <w:p>
            <w:pPr>
              <w:jc w:val="right"/>
              <w:ind w:right="620"/>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auto"/>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(1,192,000)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2,666,000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424,000</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280" w:type="dxa"/>
            <w:vAlign w:val="bottom"/>
            <w:shd w:val="clear" w:color="auto" w:fill="CCFFCC"/>
          </w:tcPr>
          <w:p>
            <w:pPr>
              <w:spacing w:after="0"/>
              <w:rPr>
                <w:sz w:val="18"/>
                <w:szCs w:val="18"/>
                <w:color w:val="auto"/>
              </w:rPr>
            </w:pPr>
          </w:p>
        </w:tc>
        <w:tc>
          <w:tcPr>
            <w:tcW w:w="1580" w:type="dxa"/>
            <w:vAlign w:val="bottom"/>
            <w:tcBorders>
              <w:right w:val="single" w:sz="8" w:color="auto"/>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62,000</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1,436,000</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seller note discount</w:t>
            </w:r>
          </w:p>
        </w:tc>
        <w:tc>
          <w:tcPr>
            <w:tcW w:w="2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264,000</w:t>
            </w:r>
          </w:p>
        </w:tc>
        <w:tc>
          <w:tcPr>
            <w:tcW w:w="10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Amortization of senior note discount</w:t>
            </w:r>
          </w:p>
        </w:tc>
        <w:tc>
          <w:tcPr>
            <w:tcW w:w="280" w:type="dxa"/>
            <w:vAlign w:val="bottom"/>
          </w:tcPr>
          <w:p>
            <w:pPr>
              <w:spacing w:after="0"/>
              <w:rPr>
                <w:sz w:val="18"/>
                <w:szCs w:val="18"/>
                <w:color w:val="auto"/>
              </w:rPr>
            </w:pPr>
          </w:p>
        </w:tc>
        <w:tc>
          <w:tcPr>
            <w:tcW w:w="15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117,000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Deferred income tax provision</w:t>
            </w:r>
          </w:p>
        </w:tc>
        <w:tc>
          <w:tcPr>
            <w:tcW w:w="280" w:type="dxa"/>
            <w:vAlign w:val="bottom"/>
            <w:shd w:val="clear" w:color="auto" w:fill="CCFFCC"/>
          </w:tcPr>
          <w:p>
            <w:pPr>
              <w:spacing w:after="0"/>
              <w:rPr>
                <w:sz w:val="18"/>
                <w:szCs w:val="18"/>
                <w:color w:val="auto"/>
              </w:rPr>
            </w:pPr>
          </w:p>
        </w:tc>
        <w:tc>
          <w:tcPr>
            <w:tcW w:w="1580" w:type="dxa"/>
            <w:vAlign w:val="bottom"/>
            <w:tcBorders>
              <w:right w:val="single" w:sz="8" w:color="auto"/>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(82,000)</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FFCC"/>
          </w:tcPr>
          <w:p>
            <w:pPr>
              <w:spacing w:after="0"/>
              <w:rPr>
                <w:sz w:val="18"/>
                <w:szCs w:val="18"/>
                <w:color w:val="auto"/>
              </w:rPr>
            </w:pPr>
          </w:p>
        </w:tc>
        <w:tc>
          <w:tcPr>
            <w:tcW w:w="1580" w:type="dxa"/>
            <w:vAlign w:val="bottom"/>
            <w:tcBorders>
              <w:right w:val="single" w:sz="8" w:color="auto"/>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(483,000)</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15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15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88,000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Royalty advances</w:t>
            </w:r>
          </w:p>
        </w:tc>
        <w:tc>
          <w:tcPr>
            <w:tcW w:w="2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184,000</w:t>
            </w:r>
          </w:p>
        </w:tc>
        <w:tc>
          <w:tcPr>
            <w:tcW w:w="10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(1,524,000)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106,000</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1,025,000</w:t>
            </w:r>
          </w:p>
        </w:tc>
        <w:tc>
          <w:tcPr>
            <w:tcW w:w="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right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1,602,000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Pr>
          <w:p>
            <w:pPr>
              <w:spacing w:after="0"/>
              <w:rPr>
                <w:sz w:val="18"/>
                <w:szCs w:val="18"/>
                <w:color w:val="auto"/>
              </w:rPr>
            </w:pPr>
          </w:p>
        </w:tc>
        <w:tc>
          <w:tcPr>
            <w:tcW w:w="15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(91,000)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long term security deposit</w:t>
            </w:r>
          </w:p>
        </w:tc>
        <w:tc>
          <w:tcPr>
            <w:tcW w:w="280" w:type="dxa"/>
            <w:vAlign w:val="bottom"/>
            <w:shd w:val="clear" w:color="auto" w:fill="CCFFCC"/>
          </w:tcPr>
          <w:p>
            <w:pPr>
              <w:spacing w:after="0"/>
              <w:rPr>
                <w:sz w:val="18"/>
                <w:szCs w:val="18"/>
                <w:color w:val="auto"/>
              </w:rPr>
            </w:pPr>
          </w:p>
        </w:tc>
        <w:tc>
          <w:tcPr>
            <w:tcW w:w="1580" w:type="dxa"/>
            <w:vAlign w:val="bottom"/>
            <w:tcBorders>
              <w:right w:val="single" w:sz="8" w:color="auto"/>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Reduction of restricted cash</w:t>
            </w:r>
          </w:p>
        </w:tc>
        <w:tc>
          <w:tcPr>
            <w:tcW w:w="2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(91,000</w:t>
            </w:r>
          </w:p>
        </w:tc>
        <w:tc>
          <w:tcPr>
            <w:tcW w:w="120" w:type="dxa"/>
            <w:vAlign w:val="bottom"/>
            <w:tcBorders>
              <w:top w:val="single" w:sz="8" w:color="CCFFCC"/>
              <w:right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Member distributions</w:t>
            </w:r>
          </w:p>
        </w:tc>
        <w:tc>
          <w:tcPr>
            <w:tcW w:w="2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2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Payment of expenses related to equity &amp; recapitalization</w:t>
            </w:r>
          </w:p>
        </w:tc>
        <w:tc>
          <w:tcPr>
            <w:tcW w:w="280" w:type="dxa"/>
            <w:vAlign w:val="bottom"/>
          </w:tcPr>
          <w:p>
            <w:pPr>
              <w:spacing w:after="0"/>
              <w:rPr>
                <w:sz w:val="18"/>
                <w:szCs w:val="18"/>
                <w:color w:val="auto"/>
              </w:rPr>
            </w:pPr>
          </w:p>
        </w:tc>
        <w:tc>
          <w:tcPr>
            <w:tcW w:w="15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Reduction deferred finance costs</w:t>
            </w:r>
          </w:p>
        </w:tc>
        <w:tc>
          <w:tcPr>
            <w:tcW w:w="280" w:type="dxa"/>
            <w:vAlign w:val="bottom"/>
            <w:shd w:val="clear" w:color="auto" w:fill="CCFFCC"/>
          </w:tcPr>
          <w:p>
            <w:pPr>
              <w:spacing w:after="0"/>
              <w:rPr>
                <w:sz w:val="18"/>
                <w:szCs w:val="18"/>
                <w:color w:val="auto"/>
              </w:rPr>
            </w:pPr>
          </w:p>
        </w:tc>
        <w:tc>
          <w:tcPr>
            <w:tcW w:w="1580" w:type="dxa"/>
            <w:vAlign w:val="bottom"/>
            <w:tcBorders>
              <w:right w:val="single" w:sz="8" w:color="auto"/>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Repayment of lease obligation</w:t>
            </w:r>
          </w:p>
        </w:tc>
        <w:tc>
          <w:tcPr>
            <w:tcW w:w="280" w:type="dxa"/>
            <w:vAlign w:val="bottom"/>
          </w:tcPr>
          <w:p>
            <w:pPr>
              <w:spacing w:after="0"/>
              <w:rPr>
                <w:sz w:val="19"/>
                <w:szCs w:val="19"/>
                <w:color w:val="auto"/>
              </w:rPr>
            </w:pPr>
          </w:p>
        </w:tc>
        <w:tc>
          <w:tcPr>
            <w:tcW w:w="15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 xml:space="preserve">Net cash provided by (used in) financing activities </w:t>
            </w: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right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(1,630,000</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 xml:space="preserve">Net increase (decrease) in cash </w:t>
            </w: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945,000</w:t>
            </w:r>
          </w:p>
        </w:tc>
        <w:tc>
          <w:tcPr>
            <w:tcW w:w="10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beginning of period #</w:t>
            </w:r>
          </w:p>
        </w:tc>
        <w:tc>
          <w:tcPr>
            <w:tcW w:w="28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2,718,000</w:t>
            </w:r>
          </w:p>
        </w:tc>
        <w:tc>
          <w:tcPr>
            <w:tcW w:w="100" w:type="dxa"/>
            <w:vAlign w:val="bottom"/>
            <w:tcBorders>
              <w:right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end of period #</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3,663,000</w:t>
            </w:r>
          </w:p>
        </w:tc>
        <w:tc>
          <w:tcPr>
            <w:tcW w:w="100" w:type="dxa"/>
            <w:vAlign w:val="bottom"/>
            <w:tcBorders>
              <w:right w:val="single" w:sz="8" w:color="auto"/>
            </w:tcBorders>
            <w:shd w:val="clear" w:color="auto" w:fill="CCFFCC"/>
          </w:tcPr>
          <w:p>
            <w:pPr>
              <w:spacing w:after="0"/>
              <w:rPr>
                <w:sz w:val="21"/>
                <w:szCs w:val="21"/>
                <w:color w:val="auto"/>
              </w:rPr>
            </w:pP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right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28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tcBorders>
              <w:right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Warrants issued to Licensee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14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right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CCFFCC"/>
            </w:tcBorders>
            <w:shd w:val="clear" w:color="auto" w:fill="CCFFCC"/>
          </w:tcPr>
          <w:p>
            <w:pPr>
              <w:spacing w:after="0"/>
              <w:rPr>
                <w:sz w:val="17"/>
                <w:szCs w:val="17"/>
                <w:color w:val="auto"/>
              </w:rPr>
            </w:pPr>
          </w:p>
        </w:tc>
        <w:tc>
          <w:tcPr>
            <w:tcW w:w="14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Forfeiture of employee stock grants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14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right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CCFFCC"/>
            </w:tcBorders>
            <w:shd w:val="clear" w:color="auto" w:fill="CCFFCC"/>
          </w:tcPr>
          <w:p>
            <w:pPr>
              <w:spacing w:after="0"/>
              <w:rPr>
                <w:sz w:val="17"/>
                <w:szCs w:val="17"/>
                <w:color w:val="auto"/>
              </w:rPr>
            </w:pPr>
          </w:p>
        </w:tc>
        <w:tc>
          <w:tcPr>
            <w:tcW w:w="14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paid during the period for income taxes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auto"/>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62,000</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FFCC"/>
              <w:bottom w:val="single" w:sz="8" w:color="CCFFCC"/>
            </w:tcBorders>
            <w:vMerge w:val="restart"/>
          </w:tcPr>
          <w:p>
            <w:pPr>
              <w:ind w:left="160"/>
              <w:spacing w:after="0"/>
              <w:rPr>
                <w:sz w:val="20"/>
                <w:szCs w:val="20"/>
                <w:color w:val="auto"/>
              </w:rPr>
            </w:pPr>
            <w:r>
              <w:rPr>
                <w:rFonts w:ascii="Arial" w:cs="Arial" w:eastAsia="Arial" w:hAnsi="Arial"/>
                <w:sz w:val="18"/>
                <w:szCs w:val="18"/>
                <w:color w:val="auto"/>
              </w:rPr>
              <w:t>Cash paid during the period for interest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CCFFCC"/>
              <w:right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4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606,000</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Interim Financial Statements</w:t>
      </w:r>
    </w:p>
    <w:p>
      <w:pPr>
        <w:spacing w:after="0" w:line="207" w:lineRule="exact"/>
        <w:rPr>
          <w:sz w:val="20"/>
          <w:szCs w:val="20"/>
          <w:color w:val="auto"/>
        </w:rPr>
      </w:pPr>
    </w:p>
    <w:p>
      <w:pPr>
        <w:ind w:left="580" w:hanging="315"/>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BASIS OF PRESENTATION AND REVERSE ACQUISITION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of Xcel Brands, Inc., (“Xcel”, the "Company", “we”, “us”, or “our”), all adjustments (consisting primarily of normal recurring accruals) considered necessary for a fair presentation have been included. Operating results for the three months (“Current Quarter”) and six months (“Current Six Months”) ended June 30, 2012 are not necessarily indicative of the results that may be expected for a full fiscal year.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29, 2011 (the “Acquisition Date”), the Company, formerly known as Net Fabrics Holdings, Inc. merged with Xcel Brands, Inc (“Old XCel”) and acquired from IM Ready-Made, LLC (“IM Ready”) certain assets and assumed certain obligations (the “Isaac Mizrah”) whereby the Isaac Mizrahi Business was deemed to be the Predecessor of the Company for financial statement presentation purposes. Accordingly, the accompanying financial statements designate periods preceding the Acquisition Date as relating to the Predecessor and all references to periods on and after September 29, 2011 shall be referred to as Successor.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2011 (“2011”).</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include the accounts of Xcel Brands, Inc. and its wholly owned subsidiaries. All material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Predecessor Financial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statements covered by the Predecessor have been prepared for the purpose of complying with the rules and regulations of the U.S. Securities and Exchange Commission. The Isaac Mizrahi Business was not a separate legal entity, thus the financial statements are not necessarily indicative of the results of operations that would have occurred if the Isaac Mizrahi Business had been operated as a separate legal entity.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allocations and estimates in the accompanying Predecessor financial statements are based on assumptions that IM Ready and Xcel management (collectively “management”) believe are reasonable, and reasonably approximate the historical costs that the Isaac Mizrahi Business would have incurred as a separate entity. However, these allocations and estimates are not necessarily indicative of the costs and expenses that would have resulted if the Isaac Mizrahi Business had been operated as a separate entity. The allocation of expenses were made to comply with the guidance provided by Staff Accounting Bulletin Topic 1B1, “Allocation of Expenses and Related Disclosure in Financial Statements of Subsidiaries, Divisions or Lesser Business Components of another Entity”.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year. Actual results could be affected by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of the Company’s assets and liabilities approximate their fair value presented in the accompanying Consolidated Balance Sheets, due to their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 Goodwill and Other Intangible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cost over the fair value of net assets of businesses acquired. The Company accounts for goodwill under the guidance of the Accounting Standards Codification (“ASC”) Topic 350 – “Intangibles: Goodwill and Other”. Goodwill and other intangible assets acquired in a purchase business combination and determined to have an indefinite useful life are not amortized, but instead tested for impairment, at least annually, in accordance with this guidance. This guidance also requires that intangible assets with estimable useful lives be amortized over their respective estimated useful lives to their estimated residual values, and reviewed for impairment.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In accordance with the guidance of ASC Topic 350, long-lived assets, such as property and equipment and purchased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will analyze and quantify the expected earn-out payments over the applicable pay-out period. Management will assess no less frequently than each reporting period the status of contingent obligations and any expected changes in the fair market value of such contingent obligations. Any change in the expected obligation will result in an expense or income recognized in the period in which it is determined fair market value of the carrying value has changed. There was no change in the contingent obligation for the six months ended June 30,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consists of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740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Company’s agreement with QVC, Inc. (“QVC”) QVC is required to pay royalties based primarily on a percentage of QVC's net sales of Isaac Mizrahi branded merchandise. QVC royalty revenue represents a significant portion of the Company’s total revenues. Royalties from QVC totaled $1,900,000 and $1,650,000 for the Current Quarter and for the three months ended June 30, 2011 (the “Prior Year Quarter”), respectively, representing 66% and 57% of the Company’s total revenues, respectively. Royalties from QVC totaled $3,800,000 and $3,300,000 for the Current Six Months and for the six months ended June 30, 2011 (the “Prior Six Months”), respectively, representing 66% and 57% of the Company’s total revenues, respectively. As of June 30, 2012, the Company had a receivable from QVC in the amount of $1,900,000, representing 71% of the Company’s receivables. As of June 30, 2011, the Predecessor had a receivable from QVC in the amount of $1,650,000 representing 75% of the Predecessor’s receivables.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agreement with Liz Claiborne, Inc. (“LC”) (the “LCNY Agreement”) LC is required to pay the Company royalties based primarily on a percentage of royalties LC receives from QVC under a separate license agreement between LC and QVC. Revenues from the LCNY Agreement totaled $375,000 and $200,000 for the Current Quarter and the Prior Year Quarter, respectively, representing 13% and 7% of the Company’s total revenues. Revenues from the LCNY Agreement totaled $750,000 and $400,000 for the Current Six Months and the Prior Six Months, respectively, representing 13% and 7% of the Company’s total revenues. As of June 30, 2012, the Company had a receivable from LC in the amount of $753,000, representing 28% of the Company’s receivables. As of June 30, 2011, the Predecessor had a receivable from LC in the amount of $208,000 representing 11% of the Predecessor’s receivables.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LC/QVC Design fees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Company’s design agreement with QVC for the term of the LCNY Agreement (the “Design Agreement”), QVC is required to pay certain design fees to the Company related to the Liz Claiborne New York brand. Revenues from the Design Agreement totaled approximately $275,000 and $275,000 for the Current Quarter and the Prior Year Quarter, respectively, representing 10% and 10% of the Company’s total revenues. Revenues from the Design Agreement totaled approximately $550,000 and $550,000 for the Current Six Months and the Prior Six Months, respectively, representing 9% and 10% of the Company’s total revenues.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revenue when persuasive evidence of a sale arrangement exists, delivery has occurred and services have been rendered, the sales price is fixed and determinable, and collectability is reasonably assured. The Company has two primary types of revenues: (i) royalties based on the sale of products by its licensees or other contractual partners, and (ii) service fees based on services provided. Revenues from royalties are recognized when earned, which includes guaranteed minimum royalties, if any, and additional revenues based on a percentage of defined sales by our licensees or other contractual partners for each period. Royalties exceeding the guaranteed minimum amounts are recognized as income during the period that corresponds to the licensee’s or partner’s sales.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Design and service fees are recorded and recognized in accordance with the terms and conditions of each service contract, including the Company meeting its obligations and providing the relevant services under each contract. Generally, we record on a straight line basis each base fee as stated in each service agreement for the covered period and, if applicable, we recognize additional payments received that relate to a future period as deferred revenue, until service is provided or revenue is otherwise earned.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stock-based compensation in accordance with ASC Topic 718 by recognizing the fair value of stock-based compensation in the consolidated statement of operations. The fair value of the Company’s stock option awards are estimated using a Black-Scholes option valuation model. This model requires the input of highly subjective assumptions and elections including expected stock price volatility and the estimated life of each award. In addition, the calculation of compensation costs requires that the Company estimate the number of awards that will be forfeited during the vesting period. The fair value of the Company’s stock grant awards is valued at the current value of the stock at the time of the grant. The fair value of stock-based awards is amortized over the vesting period of each respective award. For stock-based awards that vest based on performance conditions (e.g. achievement of certain milestones), expense is recognized when it is probable that the condition will be met.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includes no dilution and is computed by dividing net income available to common stockholders by the weighted average number of common shares outstanding for the period. Diluted earnings per share reflect, in periods in which they have a dilutive effect, the effect of restricted stock-based awards and common shares issuable upon exercise of stock options and warrants. The difference between basic and diluted weighted-average common shares results from the assumption that all dilutive stock options outstanding were exercised and all convertible notes have been converted into common stock.</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2012, of the total potentially dilutive shares related to stock options and warrants, 921,251 were anti-dilutive and not included in the computation of diluted shares outstanding. For the three months and six months ended June 30, 2012, basic and diluted weighted average shares are the same. There are no comparative results for the prior year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3. Trademarks, Goodwill and Other Intangibles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40" w:type="dxa"/>
            <w:vAlign w:val="bottom"/>
            <w:gridSpan w:val="4"/>
          </w:tcPr>
          <w:p>
            <w:pPr>
              <w:spacing w:after="0"/>
              <w:rPr>
                <w:sz w:val="20"/>
                <w:szCs w:val="20"/>
                <w:color w:val="auto"/>
              </w:rPr>
            </w:pPr>
            <w:r>
              <w:rPr>
                <w:rFonts w:ascii="Arial" w:cs="Arial" w:eastAsia="Arial" w:hAnsi="Arial"/>
                <w:sz w:val="18"/>
                <w:szCs w:val="18"/>
                <w:color w:val="auto"/>
                <w:w w:val="98"/>
              </w:rPr>
              <w:t>Trademarks, goodwill and other intangibles, net consist of the following:</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5"/>
          </w:tcPr>
          <w:p>
            <w:pPr>
              <w:ind w:left="680"/>
              <w:spacing w:after="0"/>
              <w:rPr>
                <w:sz w:val="20"/>
                <w:szCs w:val="20"/>
                <w:color w:val="auto"/>
              </w:rPr>
            </w:pPr>
            <w:r>
              <w:rPr>
                <w:rFonts w:ascii="Arial" w:cs="Arial" w:eastAsia="Arial" w:hAnsi="Arial"/>
                <w:sz w:val="18"/>
                <w:szCs w:val="18"/>
                <w:color w:val="auto"/>
              </w:rPr>
              <w:t>June 30, 2012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7"/>
          </w:tcPr>
          <w:p>
            <w:pPr>
              <w:ind w:left="460"/>
              <w:spacing w:after="0"/>
              <w:rPr>
                <w:sz w:val="20"/>
                <w:szCs w:val="20"/>
                <w:color w:val="auto"/>
              </w:rPr>
            </w:pPr>
            <w:r>
              <w:rPr>
                <w:rFonts w:ascii="Arial" w:cs="Arial" w:eastAsia="Arial" w:hAnsi="Arial"/>
                <w:sz w:val="18"/>
                <w:szCs w:val="18"/>
                <w:color w:val="auto"/>
              </w:rPr>
              <w:t>December 31, 2011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gridSpan w:val="4"/>
          </w:tcPr>
          <w:p>
            <w:pPr>
              <w:jc w:val="right"/>
              <w:ind w:right="850"/>
              <w:spacing w:after="0" w:line="195" w:lineRule="exact"/>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Estimated</w:t>
            </w:r>
          </w:p>
        </w:tc>
        <w:tc>
          <w:tcPr>
            <w:tcW w:w="20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Lives in</w:t>
            </w:r>
          </w:p>
        </w:tc>
        <w:tc>
          <w:tcPr>
            <w:tcW w:w="20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Accumulated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Years</w:t>
            </w:r>
          </w:p>
        </w:tc>
        <w:tc>
          <w:tcPr>
            <w:tcW w:w="20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Indefinite life trademarks</w:t>
            </w:r>
          </w:p>
        </w:tc>
        <w:tc>
          <w:tcPr>
            <w:tcW w:w="152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Indefinite</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44,500,000</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44,500,000</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Goodwill</w:t>
            </w:r>
          </w:p>
        </w:tc>
        <w:tc>
          <w:tcPr>
            <w:tcW w:w="1520" w:type="dxa"/>
            <w:vAlign w:val="bottom"/>
            <w:gridSpan w:val="2"/>
          </w:tcPr>
          <w:p>
            <w:pPr>
              <w:ind w:left="36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11,096,000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11,096,000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Licensing agreements</w:t>
            </w:r>
          </w:p>
        </w:tc>
        <w:tc>
          <w:tcPr>
            <w:tcW w:w="128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60" w:type="dxa"/>
            <w:vAlign w:val="bottom"/>
            <w:shd w:val="clear" w:color="auto" w:fill="CCFFCC"/>
          </w:tcPr>
          <w:p>
            <w:pPr>
              <w:ind w:left="340"/>
              <w:spacing w:after="0"/>
              <w:rPr>
                <w:sz w:val="20"/>
                <w:szCs w:val="20"/>
                <w:color w:val="auto"/>
              </w:rPr>
            </w:pPr>
            <w:r>
              <w:rPr>
                <w:rFonts w:ascii="Arial" w:cs="Arial" w:eastAsia="Arial" w:hAnsi="Arial"/>
                <w:sz w:val="18"/>
                <w:szCs w:val="18"/>
                <w:color w:val="auto"/>
                <w:w w:val="87"/>
              </w:rPr>
              <w:t>2,000,000</w:t>
            </w:r>
          </w:p>
        </w:tc>
        <w:tc>
          <w:tcPr>
            <w:tcW w:w="2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399,000</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2,000,000</w:t>
            </w: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135,000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6"/>
              </w:rPr>
              <w:t>57,596,000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57,596,000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Amortization expense for intangible assets for the Current Quarter and the Current Six Months was $132,000 and $264,000, respectively. The trademarks of Isaac Mizrahi and related goodwill have been determined to have an indefinite useful life and accordingly, consistent with ASC Topic 350, no amortization has been recorded in the Company's unaudited consolidated statement of operations. Instead, each of these intangible assets are tested for impairment, at least annually, on an individual basis as separate single units of accounting, with any related impairment charge recorded to the statement of operations at the time of determining such impairment. Similarly, consistent with ASC 360, there was no impairment of the indefinite-lived trademarks.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4. Debt</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5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r>
      <w:tr>
        <w:trPr>
          <w:trHeight w:val="230"/>
        </w:trPr>
        <w:tc>
          <w:tcPr>
            <w:tcW w:w="58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Term Note</w:t>
            </w:r>
          </w:p>
        </w:tc>
        <w:tc>
          <w:tcPr>
            <w:tcW w:w="132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12,461,000</w:t>
            </w:r>
          </w:p>
        </w:tc>
        <w:tc>
          <w:tcPr>
            <w:tcW w:w="220" w:type="dxa"/>
            <w:vAlign w:val="bottom"/>
            <w:shd w:val="clear" w:color="auto" w:fill="CCFFCC"/>
          </w:tcPr>
          <w:p>
            <w:pPr>
              <w:spacing w:after="0"/>
              <w:rPr>
                <w:sz w:val="18"/>
                <w:szCs w:val="18"/>
                <w:color w:val="auto"/>
              </w:rPr>
            </w:pPr>
          </w:p>
        </w:tc>
        <w:tc>
          <w:tcPr>
            <w:tcW w:w="140" w:type="dxa"/>
            <w:vAlign w:val="bottom"/>
            <w:gridSpan w:val="2"/>
            <w:shd w:val="clear" w:color="auto" w:fill="CCFFCC"/>
          </w:tcPr>
          <w:p>
            <w:pPr>
              <w:jc w:val="right"/>
              <w:ind w:right="10"/>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12,344,000</w:t>
            </w:r>
          </w:p>
        </w:tc>
        <w:tc>
          <w:tcPr>
            <w:tcW w:w="10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Seller Note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6,030,000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5,765,000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Installment debt obligation</w:t>
            </w: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1,174,000</w:t>
            </w: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1,158,000</w:t>
            </w:r>
          </w:p>
        </w:tc>
        <w:tc>
          <w:tcPr>
            <w:tcW w:w="10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Contingent obligation – due to Seller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17,765,000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17,765,000</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14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365,000</w:t>
            </w:r>
          </w:p>
        </w:tc>
        <w:tc>
          <w:tcPr>
            <w:tcW w:w="22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shd w:val="clear" w:color="auto" w:fill="CCFFCC"/>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37,795,000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37,058,000</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Current portion</w:t>
            </w:r>
          </w:p>
        </w:tc>
        <w:tc>
          <w:tcPr>
            <w:tcW w:w="114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847,000</w:t>
            </w:r>
          </w:p>
        </w:tc>
        <w:tc>
          <w:tcPr>
            <w:tcW w:w="22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shd w:val="clear" w:color="auto" w:fill="CCFFC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long term liabilities</w:t>
            </w:r>
          </w:p>
        </w:tc>
        <w:tc>
          <w:tcPr>
            <w:tcW w:w="11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36,948,000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37,014,000</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29, 2011, IM Brands, LLC a wholly-owned subsidiary of the Company (“IM Brands”), entered into a five year senior secured facility (the “Loan”) with Midmarket Capital Partners, LLC (“MidMarket”) and Noteholders in the aggregate principal amount of $13,500,000. The Loan is secured by all of the assets of IM Brands and the Company’s membership interests in IM Brands.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amount of the Loan is payable quarterly as follows: 0% until January 5, 2013, 2.5% on January 5, 2013 through October 5, 2013; 3.75% on January 5, 2014 through October 5, 2014; 6.25% on January 5, 2015 through October 5, 2015; 12.5% on January 5, 2016 through the maturity date, which is the date that is 5 years after the closing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Annual principal obligations are as follows:</w:t>
            </w:r>
          </w:p>
        </w:tc>
        <w:tc>
          <w:tcPr>
            <w:tcW w:w="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14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3"/>
          </w:tcPr>
          <w:p>
            <w:pPr>
              <w:ind w:left="20"/>
              <w:spacing w:after="0"/>
              <w:rPr>
                <w:sz w:val="20"/>
                <w:szCs w:val="20"/>
                <w:color w:val="auto"/>
              </w:rPr>
            </w:pPr>
            <w:r>
              <w:rPr>
                <w:rFonts w:ascii="Arial" w:cs="Arial" w:eastAsia="Arial" w:hAnsi="Arial"/>
                <w:sz w:val="18"/>
                <w:szCs w:val="18"/>
                <w:color w:val="auto"/>
                <w:w w:val="92"/>
              </w:rPr>
              <w:t>Year Ending December 31,</w:t>
            </w:r>
          </w:p>
        </w:tc>
      </w:tr>
      <w:tr>
        <w:trPr>
          <w:trHeight w:val="210"/>
        </w:trPr>
        <w:tc>
          <w:tcPr>
            <w:tcW w:w="1440" w:type="dxa"/>
            <w:vAlign w:val="bottom"/>
          </w:tcPr>
          <w:p>
            <w:pPr>
              <w:spacing w:after="0"/>
              <w:rPr>
                <w:sz w:val="18"/>
                <w:szCs w:val="18"/>
                <w:color w:val="auto"/>
              </w:rPr>
            </w:pPr>
          </w:p>
        </w:tc>
        <w:tc>
          <w:tcPr>
            <w:tcW w:w="64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2012</w:t>
            </w:r>
          </w:p>
        </w:tc>
        <w:tc>
          <w:tcPr>
            <w:tcW w:w="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1,350,000</w:t>
            </w: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FFCC"/>
          </w:tcPr>
          <w:p>
            <w:pPr>
              <w:spacing w:after="0"/>
              <w:rPr>
                <w:sz w:val="18"/>
                <w:szCs w:val="18"/>
                <w:color w:val="auto"/>
              </w:rPr>
            </w:pP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2,025,000</w:t>
            </w:r>
          </w:p>
        </w:tc>
        <w:tc>
          <w:tcPr>
            <w:tcW w:w="60" w:type="dxa"/>
            <w:vAlign w:val="bottom"/>
            <w:shd w:val="clear" w:color="auto" w:fill="CCFFCC"/>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3,375,000</w:t>
            </w:r>
          </w:p>
        </w:tc>
        <w:tc>
          <w:tcPr>
            <w:tcW w:w="6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FFCC"/>
          </w:tcPr>
          <w:p>
            <w:pPr>
              <w:spacing w:after="0"/>
              <w:rPr>
                <w:sz w:val="19"/>
                <w:szCs w:val="19"/>
                <w:color w:val="auto"/>
              </w:rPr>
            </w:pP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6,750,000</w:t>
            </w:r>
          </w:p>
        </w:tc>
        <w:tc>
          <w:tcPr>
            <w:tcW w:w="60" w:type="dxa"/>
            <w:vAlign w:val="bottom"/>
            <w:shd w:val="clear" w:color="auto" w:fill="CCFFCC"/>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loan is a fixed rate of 8.5%, payable in cash.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i w:val="1"/>
          <w:iCs w:val="1"/>
          <w:color w:val="auto"/>
        </w:rPr>
        <w:t>Optional Prepayment</w:t>
      </w:r>
      <w:r>
        <w:rPr>
          <w:rFonts w:ascii="Arial" w:cs="Arial" w:eastAsia="Arial" w:hAnsi="Arial"/>
          <w:sz w:val="18"/>
          <w:szCs w:val="18"/>
          <w:color w:val="auto"/>
        </w:rPr>
        <w:t>. IM Brands may prepay the Loan in whole or in part in increments of $500,000, provided that IM Brands pay the following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prepayment: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Period</w:t>
            </w:r>
          </w:p>
        </w:tc>
        <w:tc>
          <w:tcPr>
            <w:tcW w:w="3560" w:type="dxa"/>
            <w:vAlign w:val="bottom"/>
          </w:tcPr>
          <w:p>
            <w:pPr>
              <w:jc w:val="right"/>
              <w:ind w:right="50"/>
              <w:spacing w:after="0"/>
              <w:rPr>
                <w:sz w:val="20"/>
                <w:szCs w:val="20"/>
                <w:color w:val="auto"/>
              </w:rPr>
            </w:pPr>
            <w:r>
              <w:rPr>
                <w:rFonts w:ascii="Arial" w:cs="Arial" w:eastAsia="Arial" w:hAnsi="Arial"/>
                <w:sz w:val="18"/>
                <w:szCs w:val="18"/>
                <w:color w:val="auto"/>
              </w:rPr>
              <w:t>Applicable Premium</w:t>
            </w:r>
          </w:p>
        </w:tc>
      </w:tr>
      <w:tr>
        <w:trPr>
          <w:trHeight w:val="216"/>
        </w:trPr>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First year following the Closing</w:t>
            </w:r>
          </w:p>
        </w:tc>
        <w:tc>
          <w:tcPr>
            <w:tcW w:w="3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Second year following the Closing</w:t>
            </w:r>
          </w:p>
        </w:tc>
        <w:tc>
          <w:tcPr>
            <w:tcW w:w="3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Third year following the Closing</w:t>
            </w:r>
          </w:p>
        </w:tc>
        <w:tc>
          <w:tcPr>
            <w:tcW w:w="3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Fourth year following the Closing</w:t>
            </w:r>
          </w:p>
        </w:tc>
        <w:tc>
          <w:tcPr>
            <w:tcW w:w="35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i w:val="1"/>
          <w:iCs w:val="1"/>
          <w:color w:val="auto"/>
        </w:rPr>
        <w:t>Mandatory Prepayments.</w:t>
      </w:r>
      <w:r>
        <w:rPr>
          <w:sz w:val="20"/>
          <w:szCs w:val="20"/>
          <w:color w:val="auto"/>
        </w:rPr>
        <w:tab/>
      </w:r>
      <w:r>
        <w:rPr>
          <w:rFonts w:ascii="Arial" w:cs="Arial" w:eastAsia="Arial" w:hAnsi="Arial"/>
          <w:sz w:val="16"/>
          <w:szCs w:val="16"/>
          <w:color w:val="auto"/>
        </w:rPr>
        <w:t>IM Brands is required to prepay the Loan under the following conditions: (1) if certain indebtedness is incurred by the Company;</w:t>
      </w:r>
    </w:p>
    <w:p>
      <w:pPr>
        <w:spacing w:after="0" w:line="23" w:lineRule="exact"/>
        <w:rPr>
          <w:sz w:val="20"/>
          <w:szCs w:val="20"/>
          <w:color w:val="auto"/>
        </w:rPr>
      </w:pPr>
    </w:p>
    <w:p>
      <w:pPr>
        <w:ind w:firstLine="8"/>
        <w:spacing w:after="0" w:line="261"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IM Brands undertakes certain asset sales or sales of capital stock, with limited exceptions; or (3) if there is a payment of the benefits of a life insurance policy for Isaac Mizrahi held by the Company.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Excess Cash Flow Sweep. </w:t>
      </w:r>
      <w:r>
        <w:rPr>
          <w:rFonts w:ascii="Arial" w:cs="Arial" w:eastAsia="Arial" w:hAnsi="Arial"/>
          <w:sz w:val="18"/>
          <w:szCs w:val="18"/>
          <w:color w:val="auto"/>
        </w:rPr>
        <w:t>In addition to the Mandatory Prepayments described above, if for any fiscal year ending on or subsequent to December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excess cash flow (as defined in the Loan agreements) for such year, then on the payment date following the end of such year, IM Brands is required to make a principal payment on the Loan equal to the lesser of (i) 50% of the excess cash flow or (ii) the positive result of the unencumbered cash and cash equivalents of the Company minus the greater of (x) the Excess Liquidity required to be maintained by IM Brands and (y) $3,000,000. For the period ended June 30, 2012, there was no Excess Cash Flow Sweep payment due.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Lender Warrants. </w:t>
      </w:r>
      <w:r>
        <w:rPr>
          <w:rFonts w:ascii="Arial" w:cs="Arial" w:eastAsia="Arial" w:hAnsi="Arial"/>
          <w:sz w:val="16"/>
          <w:szCs w:val="16"/>
          <w:color w:val="auto"/>
        </w:rPr>
        <w:t>At the closing of the Loan, the Company issued to the Noteholders seven year warrants (the “Lender Warrants”) to purchase 364,428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Common Stock, representing 5% of the Common Stock outstanding as of the Closing Date on a fully diluted basis. The warrants have an exercise price of $0.01 and contain a cashless exercise provision. The Company granted to the holders of the Lender Warrants piggy-back registration rights with respect to the shares of Common Stock issuable upon exercise of the Lender Warrants. The carrying value of the Term Loan has been reduced by the market value of the warrants, equal to $3.33 per share. The Company used the black scholes method to determine valuation. The amount of the original loan discount is $1,214,000, resulting in an initial net loan balance of $12,286,000. The Term Loan balance as of June 30, 2012 is $12,461,000.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So long as the Loan remains unpaid or unsatisfied, IM Brands shall not, and shall not permit any of its subsidiaries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w:t>
      </w:r>
    </w:p>
    <w:p>
      <w:pPr>
        <w:spacing w:after="0" w:line="170"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xml:space="preserve"> . Permit Excess Liquidity to be less than the amount set forth below during each applicable period set forth below:</w:t>
      </w:r>
    </w:p>
    <w:p>
      <w:pPr>
        <w:spacing w:after="0" w:line="23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1440" w:type="dxa"/>
            <w:vAlign w:val="bottom"/>
            <w:gridSpan w:val="3"/>
          </w:tcPr>
          <w:p>
            <w:pPr>
              <w:spacing w:after="0"/>
              <w:rPr>
                <w:sz w:val="20"/>
                <w:szCs w:val="20"/>
                <w:color w:val="auto"/>
              </w:rPr>
            </w:pPr>
            <w:r>
              <w:rPr>
                <w:rFonts w:ascii="Arial" w:cs="Arial" w:eastAsia="Arial" w:hAnsi="Arial"/>
                <w:sz w:val="18"/>
                <w:szCs w:val="18"/>
                <w:color w:val="auto"/>
              </w:rPr>
              <w:t>Excess Liquidity</w:t>
            </w:r>
          </w:p>
        </w:tc>
      </w:tr>
      <w:tr>
        <w:trPr>
          <w:trHeight w:val="210"/>
        </w:trPr>
        <w:tc>
          <w:tcPr>
            <w:tcW w:w="70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29, 2011 through December 31, 2011</w:t>
            </w:r>
          </w:p>
        </w:tc>
        <w:tc>
          <w:tcPr>
            <w:tcW w:w="8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FFCC"/>
          </w:tcPr>
          <w:p>
            <w:pPr>
              <w:ind w:left="260"/>
              <w:spacing w:after="0"/>
              <w:rPr>
                <w:sz w:val="20"/>
                <w:szCs w:val="20"/>
                <w:color w:val="auto"/>
              </w:rPr>
            </w:pPr>
            <w:r>
              <w:rPr>
                <w:rFonts w:ascii="Arial" w:cs="Arial" w:eastAsia="Arial" w:hAnsi="Arial"/>
                <w:sz w:val="18"/>
                <w:szCs w:val="18"/>
                <w:color w:val="auto"/>
                <w:w w:val="87"/>
              </w:rPr>
              <w:t>1,500,000</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January 1, 2012 through March 31, 2012</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w w:val="97"/>
              </w:rPr>
              <w:t>1,750,000</w:t>
            </w:r>
          </w:p>
        </w:tc>
      </w:tr>
      <w:tr>
        <w:trPr>
          <w:trHeight w:val="216"/>
        </w:trPr>
        <w:tc>
          <w:tcPr>
            <w:tcW w:w="7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April 1, 2012 through June 30, 2012</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w w:val="97"/>
              </w:rPr>
              <w:t>2,250,000</w:t>
            </w: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July 1, 2012 through September 30, 2012</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w w:val="97"/>
              </w:rPr>
              <w:t>2,750,000</w:t>
            </w:r>
          </w:p>
        </w:tc>
      </w:tr>
      <w:tr>
        <w:trPr>
          <w:trHeight w:val="216"/>
        </w:trPr>
        <w:tc>
          <w:tcPr>
            <w:tcW w:w="7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October 1, 2012 through June 30, 2013</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w w:val="97"/>
              </w:rPr>
              <w:t>3,000,000</w:t>
            </w: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July 1, 2013 through September 30, 2013</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w w:val="97"/>
              </w:rPr>
              <w:t>3,250,000</w:t>
            </w:r>
          </w:p>
        </w:tc>
      </w:tr>
      <w:tr>
        <w:trPr>
          <w:trHeight w:val="216"/>
        </w:trPr>
        <w:tc>
          <w:tcPr>
            <w:tcW w:w="7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October 1, 2013 through March 31, 2014</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w w:val="97"/>
              </w:rPr>
              <w:t>3,500,000</w:t>
            </w: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April 1, 2014 through June 30, 2014</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w w:val="97"/>
              </w:rPr>
              <w:t>3,750,000</w:t>
            </w:r>
          </w:p>
        </w:tc>
      </w:tr>
      <w:tr>
        <w:trPr>
          <w:trHeight w:val="216"/>
        </w:trPr>
        <w:tc>
          <w:tcPr>
            <w:tcW w:w="7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July 1, 2014 and thereafter</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w w:val="97"/>
              </w:rPr>
              <w:t>4,000,000</w:t>
            </w:r>
          </w:p>
        </w:tc>
      </w:tr>
    </w:tbl>
    <w:p>
      <w:pPr>
        <w:spacing w:after="0" w:line="202"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 Permit the aggregate amount of Capital Expenditures to exceed $400,000 (whether or not financed) per year.</w:t>
      </w:r>
    </w:p>
    <w:p>
      <w:pPr>
        <w:spacing w:after="0" w:line="225" w:lineRule="exact"/>
        <w:rPr>
          <w:rFonts w:ascii="Arial" w:cs="Arial" w:eastAsia="Arial" w:hAnsi="Arial"/>
          <w:sz w:val="18"/>
          <w:szCs w:val="18"/>
          <w:color w:val="auto"/>
        </w:rPr>
      </w:pPr>
    </w:p>
    <w:p>
      <w:pPr>
        <w:ind w:left="680" w:right="160" w:hanging="348"/>
        <w:spacing w:after="0" w:line="26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 Permit the Consolidated Fixed Charge Coverage Ratio as of the end of each of the fiscal quarters ending on the dates (or for the periods) set forth for the period of four fiscal quarters ending on such dates (or for the periods) below to be less than the ratio set forth below opposite such period: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Minimum Fixed Charge</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Trailing Four Fiscal Quarters Ending</w:t>
            </w:r>
          </w:p>
        </w:tc>
        <w:tc>
          <w:tcPr>
            <w:tcW w:w="2460" w:type="dxa"/>
            <w:vAlign w:val="bottom"/>
            <w:gridSpan w:val="2"/>
          </w:tcPr>
          <w:p>
            <w:pPr>
              <w:spacing w:after="0"/>
              <w:rPr>
                <w:sz w:val="20"/>
                <w:szCs w:val="20"/>
                <w:color w:val="auto"/>
              </w:rPr>
            </w:pPr>
            <w:r>
              <w:rPr>
                <w:rFonts w:ascii="Arial" w:cs="Arial" w:eastAsia="Arial" w:hAnsi="Arial"/>
                <w:sz w:val="18"/>
                <w:szCs w:val="18"/>
                <w:color w:val="auto"/>
              </w:rPr>
              <w:t>Coverage Ratio</w:t>
            </w:r>
          </w:p>
        </w:tc>
        <w:tc>
          <w:tcPr>
            <w:tcW w:w="144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59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30, 2012 and December 31, 2012</w:t>
            </w:r>
          </w:p>
        </w:tc>
        <w:tc>
          <w:tcPr>
            <w:tcW w:w="180" w:type="dxa"/>
            <w:vAlign w:val="bottom"/>
            <w:tcBorders>
              <w:top w:val="single" w:sz="8" w:color="CCFFCC"/>
            </w:tcBorders>
            <w:shd w:val="clear" w:color="auto" w:fill="CCFFCC"/>
          </w:tcPr>
          <w:p>
            <w:pPr>
              <w:spacing w:after="0"/>
              <w:rPr>
                <w:sz w:val="18"/>
                <w:szCs w:val="18"/>
                <w:color w:val="auto"/>
              </w:rPr>
            </w:pPr>
          </w:p>
        </w:tc>
        <w:tc>
          <w:tcPr>
            <w:tcW w:w="23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1.90 to 1.00</w:t>
            </w:r>
          </w:p>
        </w:tc>
        <w:tc>
          <w:tcPr>
            <w:tcW w:w="80" w:type="dxa"/>
            <w:vAlign w:val="bottom"/>
            <w:tcBorders>
              <w:top w:val="single" w:sz="8" w:color="CCFFCC"/>
            </w:tcBorders>
            <w:shd w:val="clear" w:color="auto" w:fill="CCFFCC"/>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March 31, 2013 and June 30, 2013</w:t>
            </w:r>
          </w:p>
        </w:tc>
        <w:tc>
          <w:tcPr>
            <w:tcW w:w="2460" w:type="dxa"/>
            <w:vAlign w:val="bottom"/>
            <w:gridSpan w:val="2"/>
          </w:tcPr>
          <w:p>
            <w:pPr>
              <w:spacing w:after="0"/>
              <w:rPr>
                <w:sz w:val="20"/>
                <w:szCs w:val="20"/>
                <w:color w:val="auto"/>
              </w:rPr>
            </w:pPr>
            <w:r>
              <w:rPr>
                <w:rFonts w:ascii="Arial" w:cs="Arial" w:eastAsia="Arial" w:hAnsi="Arial"/>
                <w:sz w:val="18"/>
                <w:szCs w:val="18"/>
                <w:color w:val="auto"/>
              </w:rPr>
              <w:t>1.60 to 1.00</w:t>
            </w:r>
          </w:p>
        </w:tc>
        <w:tc>
          <w:tcPr>
            <w:tcW w:w="144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608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96"/>
              </w:rPr>
              <w:t>September 30, 2013, December 31, 2013, March 31, 2014, June 30, 2014 and</w:t>
            </w:r>
          </w:p>
        </w:tc>
        <w:tc>
          <w:tcPr>
            <w:tcW w:w="23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September 30, 2014</w:t>
            </w:r>
          </w:p>
        </w:tc>
        <w:tc>
          <w:tcPr>
            <w:tcW w:w="2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1.50 to 1.00</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December 31, 2014 and March 31, 2015</w:t>
            </w:r>
          </w:p>
        </w:tc>
        <w:tc>
          <w:tcPr>
            <w:tcW w:w="2460" w:type="dxa"/>
            <w:vAlign w:val="bottom"/>
            <w:gridSpan w:val="2"/>
          </w:tcPr>
          <w:p>
            <w:pPr>
              <w:spacing w:after="0"/>
              <w:rPr>
                <w:sz w:val="20"/>
                <w:szCs w:val="20"/>
                <w:color w:val="auto"/>
              </w:rPr>
            </w:pPr>
            <w:r>
              <w:rPr>
                <w:rFonts w:ascii="Arial" w:cs="Arial" w:eastAsia="Arial" w:hAnsi="Arial"/>
                <w:sz w:val="18"/>
                <w:szCs w:val="18"/>
                <w:color w:val="auto"/>
              </w:rPr>
              <w:t>1.30 to 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June 30, 2015 and thereafter</w:t>
            </w:r>
          </w:p>
        </w:tc>
        <w:tc>
          <w:tcPr>
            <w:tcW w:w="2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1.15 to 1.00</w:t>
            </w:r>
          </w:p>
        </w:tc>
        <w:tc>
          <w:tcPr>
            <w:tcW w:w="1440" w:type="dxa"/>
            <w:vAlign w:val="bottom"/>
          </w:tcPr>
          <w:p>
            <w:pPr>
              <w:spacing w:after="0"/>
              <w:rPr>
                <w:sz w:val="18"/>
                <w:szCs w:val="18"/>
                <w:color w:val="auto"/>
              </w:rPr>
            </w:pPr>
          </w:p>
        </w:tc>
      </w:tr>
      <w:tr>
        <w:trPr>
          <w:trHeight w:val="648"/>
        </w:trPr>
        <w:tc>
          <w:tcPr>
            <w:tcW w:w="144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ind w:left="418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0" w:name="page11"/>
    <w:bookmarkEnd w:id="10"/>
    <w:p>
      <w:pPr>
        <w:ind w:left="680" w:hanging="348"/>
        <w:spacing w:after="0" w:line="26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xml:space="preserve"> . Permit the Consolidated Total Leverage Ratio as of the end of each of the fiscal quarters ending on the dates (or for the periods) set forth for the period of four fiscal quarters ending on such dates (or for the periods) below to be greater than the ratio set forth below opposite such period:</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20" w:type="dxa"/>
            <w:vAlign w:val="bottom"/>
            <w:gridSpan w:val="3"/>
          </w:tcPr>
          <w:p>
            <w:pPr>
              <w:ind w:left="180"/>
              <w:spacing w:after="0"/>
              <w:rPr>
                <w:sz w:val="20"/>
                <w:szCs w:val="20"/>
                <w:color w:val="auto"/>
              </w:rPr>
            </w:pPr>
            <w:r>
              <w:rPr>
                <w:rFonts w:ascii="Arial" w:cs="Arial" w:eastAsia="Arial" w:hAnsi="Arial"/>
                <w:sz w:val="18"/>
                <w:szCs w:val="18"/>
                <w:color w:val="auto"/>
              </w:rPr>
              <w:t>Maximum</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20" w:type="dxa"/>
            <w:vAlign w:val="bottom"/>
            <w:gridSpan w:val="3"/>
          </w:tcPr>
          <w:p>
            <w:pPr>
              <w:ind w:left="180"/>
              <w:spacing w:after="0"/>
              <w:rPr>
                <w:sz w:val="20"/>
                <w:szCs w:val="20"/>
                <w:color w:val="auto"/>
              </w:rPr>
            </w:pPr>
            <w:r>
              <w:rPr>
                <w:rFonts w:ascii="Arial" w:cs="Arial" w:eastAsia="Arial" w:hAnsi="Arial"/>
                <w:sz w:val="18"/>
                <w:szCs w:val="18"/>
                <w:color w:val="auto"/>
              </w:rPr>
              <w:t>Consolidated</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Trailing Four Fiscal Quarters Ending</w:t>
            </w:r>
          </w:p>
        </w:tc>
        <w:tc>
          <w:tcPr>
            <w:tcW w:w="2820" w:type="dxa"/>
            <w:vAlign w:val="bottom"/>
            <w:gridSpan w:val="3"/>
          </w:tcPr>
          <w:p>
            <w:pPr>
              <w:ind w:left="180"/>
              <w:spacing w:after="0"/>
              <w:rPr>
                <w:sz w:val="20"/>
                <w:szCs w:val="20"/>
                <w:color w:val="auto"/>
              </w:rPr>
            </w:pPr>
            <w:r>
              <w:rPr>
                <w:rFonts w:ascii="Arial" w:cs="Arial" w:eastAsia="Arial" w:hAnsi="Arial"/>
                <w:sz w:val="18"/>
                <w:szCs w:val="18"/>
                <w:color w:val="auto"/>
              </w:rPr>
              <w:t>Leverage Ratio</w:t>
            </w: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30, 2012 and December 31, 2012</w:t>
            </w:r>
          </w:p>
        </w:tc>
        <w:tc>
          <w:tcPr>
            <w:tcW w:w="200" w:type="dxa"/>
            <w:vAlign w:val="bottom"/>
            <w:tcBorders>
              <w:top w:val="single" w:sz="8" w:color="CCFFCC"/>
            </w:tcBorders>
            <w:shd w:val="clear" w:color="auto" w:fill="CCFFCC"/>
          </w:tcPr>
          <w:p>
            <w:pPr>
              <w:spacing w:after="0"/>
              <w:rPr>
                <w:sz w:val="18"/>
                <w:szCs w:val="18"/>
                <w:color w:val="auto"/>
              </w:rPr>
            </w:pPr>
          </w:p>
        </w:tc>
        <w:tc>
          <w:tcPr>
            <w:tcW w:w="25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3.50 to 1.00</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March 31, 2013</w:t>
            </w:r>
          </w:p>
        </w:tc>
        <w:tc>
          <w:tcPr>
            <w:tcW w:w="2820" w:type="dxa"/>
            <w:vAlign w:val="bottom"/>
            <w:gridSpan w:val="3"/>
          </w:tcPr>
          <w:p>
            <w:pPr>
              <w:ind w:left="180"/>
              <w:spacing w:after="0"/>
              <w:rPr>
                <w:sz w:val="20"/>
                <w:szCs w:val="20"/>
                <w:color w:val="auto"/>
              </w:rPr>
            </w:pPr>
            <w:r>
              <w:rPr>
                <w:rFonts w:ascii="Arial" w:cs="Arial" w:eastAsia="Arial" w:hAnsi="Arial"/>
                <w:sz w:val="18"/>
                <w:szCs w:val="18"/>
                <w:color w:val="auto"/>
              </w:rPr>
              <w:t>3.30 to 1.00</w:t>
            </w: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June 30, 2013 and September 30, 2013</w:t>
            </w:r>
          </w:p>
        </w:tc>
        <w:tc>
          <w:tcPr>
            <w:tcW w:w="28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3.00 to 1.00</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December 31, 2013</w:t>
            </w:r>
          </w:p>
        </w:tc>
        <w:tc>
          <w:tcPr>
            <w:tcW w:w="2820" w:type="dxa"/>
            <w:vAlign w:val="bottom"/>
            <w:gridSpan w:val="3"/>
          </w:tcPr>
          <w:p>
            <w:pPr>
              <w:ind w:left="180"/>
              <w:spacing w:after="0"/>
              <w:rPr>
                <w:sz w:val="20"/>
                <w:szCs w:val="20"/>
                <w:color w:val="auto"/>
              </w:rPr>
            </w:pPr>
            <w:r>
              <w:rPr>
                <w:rFonts w:ascii="Arial" w:cs="Arial" w:eastAsia="Arial" w:hAnsi="Arial"/>
                <w:sz w:val="18"/>
                <w:szCs w:val="18"/>
                <w:color w:val="auto"/>
              </w:rPr>
              <w:t>2.75 to 1.00</w:t>
            </w: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March 31, 2014</w:t>
            </w:r>
          </w:p>
        </w:tc>
        <w:tc>
          <w:tcPr>
            <w:tcW w:w="28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2.25 to 1.00</w:t>
            </w: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June 30, 2014 and thereafter</w:t>
            </w:r>
          </w:p>
        </w:tc>
        <w:tc>
          <w:tcPr>
            <w:tcW w:w="2820" w:type="dxa"/>
            <w:vAlign w:val="bottom"/>
            <w:gridSpan w:val="3"/>
          </w:tcPr>
          <w:p>
            <w:pPr>
              <w:ind w:left="180"/>
              <w:spacing w:after="0"/>
              <w:rPr>
                <w:sz w:val="20"/>
                <w:szCs w:val="20"/>
                <w:color w:val="auto"/>
              </w:rPr>
            </w:pPr>
            <w:r>
              <w:rPr>
                <w:rFonts w:ascii="Arial" w:cs="Arial" w:eastAsia="Arial" w:hAnsi="Arial"/>
                <w:sz w:val="18"/>
                <w:szCs w:val="18"/>
                <w:color w:val="auto"/>
              </w:rPr>
              <w:t>2.00 to 1.00</w:t>
            </w:r>
          </w:p>
        </w:tc>
      </w:tr>
    </w:tbl>
    <w:p>
      <w:pPr>
        <w:spacing w:after="0" w:line="187" w:lineRule="exact"/>
        <w:rPr>
          <w:sz w:val="20"/>
          <w:szCs w:val="20"/>
          <w:color w:val="auto"/>
        </w:rPr>
      </w:pPr>
    </w:p>
    <w:p>
      <w:pPr>
        <w:ind w:left="680" w:right="120" w:hanging="348"/>
        <w:spacing w:after="0" w:line="259"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Minimum Consolidated EBITDA</w:t>
      </w:r>
      <w:r>
        <w:rPr>
          <w:rFonts w:ascii="Arial" w:cs="Arial" w:eastAsia="Arial" w:hAnsi="Arial"/>
          <w:sz w:val="18"/>
          <w:szCs w:val="18"/>
          <w:color w:val="auto"/>
        </w:rPr>
        <w:t xml:space="preserve"> . Permit Consolidated EBITDA as of the end of each of the fiscal quarters ending on the dates set forth for the period of four fiscal quarters ending on such dates below to be less than the amount set forth opposite such quarter in the table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fiscal quarters ended on December 31, 2011, March 31, 2012 and June 30, 2012, such periods shall be one fiscal quarter, two fiscal quarters and three fiscal quarters, respectively:</w:t>
      </w:r>
    </w:p>
    <w:p>
      <w:pPr>
        <w:spacing w:after="0" w:line="200" w:lineRule="exact"/>
        <w:rPr>
          <w:sz w:val="20"/>
          <w:szCs w:val="20"/>
          <w:color w:val="auto"/>
        </w:rPr>
      </w:pPr>
    </w:p>
    <w:tbl>
      <w:tblPr>
        <w:tblLayout w:type="fixed"/>
        <w:tblInd w:w="160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1820" w:type="dxa"/>
            <w:vAlign w:val="bottom"/>
            <w:gridSpan w:val="4"/>
          </w:tcPr>
          <w:p>
            <w:pPr>
              <w:ind w:left="80"/>
              <w:spacing w:after="0"/>
              <w:rPr>
                <w:sz w:val="20"/>
                <w:szCs w:val="20"/>
                <w:color w:val="auto"/>
              </w:rPr>
            </w:pPr>
            <w:r>
              <w:rPr>
                <w:rFonts w:ascii="Arial" w:cs="Arial" w:eastAsia="Arial" w:hAnsi="Arial"/>
                <w:sz w:val="18"/>
                <w:szCs w:val="18"/>
                <w:color w:val="auto"/>
                <w:w w:val="98"/>
              </w:rPr>
              <w:t>Consolidated EBITDA</w:t>
            </w: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December 31, 2011</w:t>
            </w:r>
          </w:p>
        </w:tc>
        <w:tc>
          <w:tcPr>
            <w:tcW w:w="80" w:type="dxa"/>
            <w:vAlign w:val="bottom"/>
            <w:tcBorders>
              <w:top w:val="single" w:sz="8" w:color="CCFFCC"/>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March 31, 2012</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June 30, 2012</w:t>
            </w:r>
          </w:p>
        </w:tc>
        <w:tc>
          <w:tcPr>
            <w:tcW w:w="6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September 30, 2012</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December 31, 2012 and March 31, 2013</w:t>
            </w:r>
          </w:p>
        </w:tc>
        <w:tc>
          <w:tcPr>
            <w:tcW w:w="6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4,250,000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June 30, 2013</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September 30, 2013</w:t>
            </w:r>
          </w:p>
        </w:tc>
        <w:tc>
          <w:tcPr>
            <w:tcW w:w="6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4,750,000</w:t>
            </w:r>
          </w:p>
        </w:tc>
        <w:tc>
          <w:tcPr>
            <w:tcW w:w="8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December 31, 2013 and thereafter</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Dividend Restrictions</w:t>
      </w:r>
      <w:r>
        <w:rPr>
          <w:rFonts w:ascii="Arial" w:cs="Arial" w:eastAsia="Arial" w:hAnsi="Arial"/>
          <w:sz w:val="18"/>
          <w:szCs w:val="18"/>
          <w:color w:val="auto"/>
        </w:rPr>
        <w:t xml:space="preserve"> . Permit any cash dividends or any other equity distributions.</w:t>
      </w:r>
    </w:p>
    <w:p>
      <w:pPr>
        <w:spacing w:after="0" w:line="225" w:lineRule="exact"/>
        <w:rPr>
          <w:rFonts w:ascii="Arial" w:cs="Arial" w:eastAsia="Arial" w:hAnsi="Arial"/>
          <w:sz w:val="18"/>
          <w:szCs w:val="18"/>
          <w:color w:val="auto"/>
        </w:rPr>
      </w:pPr>
    </w:p>
    <w:p>
      <w:pPr>
        <w:jc w:val="both"/>
        <w:ind w:right="2580" w:firstLine="332"/>
        <w:spacing w:after="0" w:line="563" w:lineRule="auto"/>
        <w:tabs>
          <w:tab w:leader="none" w:pos="67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Restricted Cash Payments</w:t>
      </w:r>
      <w:r>
        <w:rPr>
          <w:rFonts w:ascii="Arial" w:cs="Arial" w:eastAsia="Arial" w:hAnsi="Arial"/>
          <w:sz w:val="16"/>
          <w:szCs w:val="16"/>
          <w:color w:val="auto"/>
        </w:rPr>
        <w:t xml:space="preserve"> . Permit any cash payments for the Seller Note or any contingent earn-out obligations. As of June 30, 2012, the Company and IM Brands, LLC were in full compliance with all of the covenants under the Loan.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Seller Note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Purchase Agreement, at the closing, the Company delivered to IM Ready a promissory note (the “Seller Note”) in the principal amount of $7,377,000. The stated interest rate of the Seller Note is 0.25%. Management has determined that this rate is below the Company’s expected borrowing rate, which is 9.25%. Therefore, the Company has discounted the Seller Note by $1,740,000 using a 9.0%, imputed annual interest rate, resulting in a current value of $5,637,000. In addition, the Company pre-paid $123,000 of interest on the Seller Note on the Closing Date. The Seller Note balance at June 30, 2012 is $6,030,000.</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Seller Note initially matures three years from the Closing Date (the “Maturity Date”) subject to extension as described below (the date to which the maturity date of the Seller Note is extended is referred to as the “Subsequent Maturity Date”). We have the right to pay the Seller Note at the Maturity Date in cash or, subject to the following conditions, in shares of Common Stock. If we elect to repay the outstanding principal amount of the Seller Note on the Maturity Date by issuing shares of Common Stock, the number of shares issuable will be obtained by dividing the principal amount of the Seller Note then outstanding by the greater of (i) the fair market value of the Common Stock on the Maturity Date and (ii) $4.50 subject to certain adjustments; provided, however, that if the fair market value of the Common Stock is less than $4.50 as adjusted, IM Ready will have the option to extend the maturity of the Seller Note to the Subsequent Maturity Date. If the maturity date of the Seller Note is so extended, IM Ready will have the option to convert the Seller Note into Common Shares based on the greater of (i) the fair market value of the Common Stock on the Subsequent Maturity Date and (ii) $4.50, subject to certain adjustments. If the maturity date of the Seller Note is extended, we will also have the option to repay the outstanding principal amount of the Seller Note on the Subsequent Maturity Date in cash or by issuing the number of shares of Common Stock obtained by dividing the principal amount of the Note outstanding on the Subsequent Maturity Date by the fair market value of the Common Stock on the Maturity Date. In addition, at any time the Seller Note is outstanding, we have the right to convert the Note, in whole or in part, into the number of shares of Common Stock obtained by dividing the principal amount to be converted by the fair market value of the Common Stock at the time of the conversion, so long as the fair market value of our Common Stock is at least $4.50.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u w:val="single" w:color="auto"/>
          <w:color w:val="auto"/>
        </w:rPr>
        <w:t>Long Term Installment Obligations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the Acquisition Date, Earthbound, LLC (“Earthbound”) had certain rights and provided certain services to IM Ready related to the Isaac Mizrahi Business. Effective as of the Acquisition Date, IM Ready and Earthbound entered into the Services Agreement pursuant to which Earthbound provided transitional services to IM Ready prior to the Acquisition Date and for which Earthbound received from IM Ready $600,000 in cash on the Acquisition Date and IM Ready agreed to pay to Earthbound an additional payment of $1,500,000 (the “Future Payment”), with such amount payable over the next five years. The Company assumed the obligations related to the Future Payment from IM Ready upon its acquisition of the Isaac Mizrahi Business. The five-year obligation is non-interest bearing and the Company has discounted the amount of the installment obligation by a 9.25% imputed annual interest rate, resulting in an initial value of $1,132,000. The balance of the Installment Obligation at June 30, 2012 is $1,174,000.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w w:val="99"/>
              </w:rPr>
              <w:t>Payments are due quarterly beginning March 2012. Annual remaining payments are as follows:</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17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3"/>
          </w:tcPr>
          <w:p>
            <w:pPr>
              <w:ind w:left="40"/>
              <w:spacing w:after="0"/>
              <w:rPr>
                <w:sz w:val="20"/>
                <w:szCs w:val="20"/>
                <w:color w:val="auto"/>
              </w:rPr>
            </w:pPr>
            <w:r>
              <w:rPr>
                <w:rFonts w:ascii="Arial" w:cs="Arial" w:eastAsia="Arial" w:hAnsi="Arial"/>
                <w:sz w:val="18"/>
                <w:szCs w:val="18"/>
                <w:color w:val="auto"/>
                <w:w w:val="94"/>
              </w:rPr>
              <w:t>Year Ending December 31,</w:t>
            </w:r>
          </w:p>
        </w:tc>
      </w:tr>
      <w:tr>
        <w:trPr>
          <w:trHeight w:val="210"/>
        </w:trPr>
        <w:tc>
          <w:tcPr>
            <w:tcW w:w="1720" w:type="dxa"/>
            <w:vAlign w:val="bottom"/>
          </w:tcPr>
          <w:p>
            <w:pPr>
              <w:spacing w:after="0"/>
              <w:rPr>
                <w:sz w:val="18"/>
                <w:szCs w:val="18"/>
                <w:color w:val="auto"/>
              </w:rPr>
            </w:pPr>
          </w:p>
        </w:tc>
        <w:tc>
          <w:tcPr>
            <w:tcW w:w="58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2012</w:t>
            </w:r>
          </w:p>
        </w:tc>
        <w:tc>
          <w:tcPr>
            <w:tcW w:w="2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jc w:val="right"/>
              <w:ind w:right="577"/>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113,000</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325,000</w:t>
            </w:r>
          </w:p>
        </w:tc>
      </w:tr>
      <w:tr>
        <w:trPr>
          <w:trHeight w:val="216"/>
        </w:trPr>
        <w:tc>
          <w:tcPr>
            <w:tcW w:w="1720" w:type="dxa"/>
            <w:vAlign w:val="bottom"/>
          </w:tcPr>
          <w:p>
            <w:pPr>
              <w:spacing w:after="0"/>
              <w:rPr>
                <w:sz w:val="18"/>
                <w:szCs w:val="18"/>
                <w:color w:val="auto"/>
              </w:rPr>
            </w:pPr>
          </w:p>
        </w:tc>
        <w:tc>
          <w:tcPr>
            <w:tcW w:w="584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325,000</w:t>
            </w:r>
          </w:p>
        </w:tc>
      </w:tr>
      <w:tr>
        <w:trPr>
          <w:trHeight w:val="216"/>
        </w:trPr>
        <w:tc>
          <w:tcPr>
            <w:tcW w:w="17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r>
      <w:tr>
        <w:trPr>
          <w:trHeight w:val="230"/>
        </w:trPr>
        <w:tc>
          <w:tcPr>
            <w:tcW w:w="1720" w:type="dxa"/>
            <w:vAlign w:val="bottom"/>
          </w:tcPr>
          <w:p>
            <w:pPr>
              <w:spacing w:after="0"/>
              <w:rPr>
                <w:sz w:val="19"/>
                <w:szCs w:val="19"/>
                <w:color w:val="auto"/>
              </w:rPr>
            </w:pPr>
          </w:p>
        </w:tc>
        <w:tc>
          <w:tcPr>
            <w:tcW w:w="584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350,000</w:t>
            </w:r>
          </w:p>
        </w:tc>
      </w:tr>
      <w:tr>
        <w:trPr>
          <w:trHeight w:val="223"/>
        </w:trPr>
        <w:tc>
          <w:tcPr>
            <w:tcW w:w="17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1,463,000</w:t>
            </w:r>
          </w:p>
        </w:tc>
        <w:tc>
          <w:tcPr>
            <w:tcW w:w="6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Capitalized Lease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assumed the obligations from the Seller under an equipment lease through February 2013. The net discounted payments of the lease obligations are in excess of 90% of the fair market value (FMV) of the equipment. The Company has capitalized the discounted lease payments by its imputed interest rate of 9.25%. The capital lease obligation balance at June 30, 2012 is $12,000.</w:t>
      </w:r>
    </w:p>
    <w:p>
      <w:pPr>
        <w:spacing w:after="0" w:line="177" w:lineRule="exact"/>
        <w:rPr>
          <w:sz w:val="20"/>
          <w:szCs w:val="20"/>
          <w:color w:val="auto"/>
        </w:rPr>
      </w:pPr>
    </w:p>
    <w:p>
      <w:pPr>
        <w:ind w:left="980" w:hanging="630"/>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2011 Equity Incentive Plan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2,500,000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Board, or, at the Board's discretion, a committee of the Board. On October 17, 2011, the Company issued to the board 250,000 options. 33.33% vest immediately, 33.33% vest on the first anniversary of the grant and the 33.34% vest on the second anniversary of the grant. On October 21, 2011 the Company issued to employees (non-management) 17,125 stock options and 17,125 restricted stock grants. The employee stock options and restricted stock grants vest 50% on the first anniversary of the grant and 50% vest on the second anniversary of the grant.</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17, 2012, the Company issued to management an aggregate of 1,100,000 restricted stock grants. The vesting date of 1,025,000 shares of restricted stock is November 15, 2012, provided, however, that each such grantee may extend the vesting date by six-month increments in his or her sole discretion. The vesting date of 37,500 shares of restricted stock is May 15, 2013, provided however, the executive may extend the vesting date by six-month increments in his sole discretion. The vesting date of 37,500 shares of restricted stock is May 15, 2014, provided however, the executive may extend the vesting date by six-month increments in his sole discretion.</w:t>
      </w:r>
    </w:p>
    <w:p>
      <w:pPr>
        <w:spacing w:after="0" w:line="18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Also, on April 17, 2012, the Company granted 50,000 shares of restricted stock to a non-executive employee. The vesting date of the 50,000 shares of restricted stock is November 15, 2012, provided however, the employee may extend the vesting date by six-month increments in her sole discretion.</w:t>
      </w:r>
    </w:p>
    <w:p>
      <w:pPr>
        <w:spacing w:after="0" w:line="1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May 1, 2012, the Company granted options to purchase an aggregate of 105,500 shares of Common Stock (the “Options”) to non-executive employees of the Company. The exercise price per share of the Options is $3.00 per share, and 50% of the Options will vest on each of the first and second anniversaries of the grant date.</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On June 1, 2012, the Company issued to non-management directors 138,335 restricted stock grants. The vesting date of 138,335 shares of restricted stock is December 1, 2012, provided, however, that each such grantee may extend the vesting date by six-month increments in his sole discretion.</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June 1, 2012, the Company issued to management 242,775 restricted stock grants. The vesting date of 242,775 shares of restricted stock is December 1, 2012, provided, however, that each such grantee may extend the vesting date by six-month increments in his sole discretion.</w:t>
      </w:r>
    </w:p>
    <w:p>
      <w:pPr>
        <w:spacing w:after="0" w:line="14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Also, on June 1, 2012, the Company granted 13,833 shares of restricted stock to a non-executive employee. The vesting date of the 13,833 shares of restricted stock is December 1, 2012, provided however, the employee may extend the vesting date by six-month increments in her sole discretion.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Licensee Warrants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the terms and conditions of a certain license agreement effective October 1, 2011, we issued warrants to purchase 75,000 shares of common stock to a licensee. The Warrants are exercisable in whole or in part, at an exercise price of $5.50 per share (“Exercise Price”). The Warrants may be exercised at any time upon the election of the holder, beginning on January 23, 2012, the date of issuance, and ending of the fifth anniversary of the date of issuance. Upon the expiration of the Warrant exercise period, the Warrants will expire and become void and worthless.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The Company's employee stock options have characteristics significantly different from those of traded options, and because changes in the subjective input assumptions can materially affect the fair value estimate.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for these options and warrants for all years was estimated at the date of grant using a Black-Scholes option-pricing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5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35-42%</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4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Expected Life (Term)</w:t>
            </w:r>
          </w:p>
        </w:tc>
        <w:tc>
          <w:tcPr>
            <w:tcW w:w="54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 – 5.75 years</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400" w:type="dxa"/>
            <w:vAlign w:val="bottom"/>
          </w:tcPr>
          <w:p>
            <w:pPr>
              <w:jc w:val="right"/>
              <w:spacing w:after="0"/>
              <w:rPr>
                <w:sz w:val="20"/>
                <w:szCs w:val="20"/>
                <w:color w:val="auto"/>
              </w:rPr>
            </w:pPr>
            <w:r>
              <w:rPr>
                <w:rFonts w:ascii="Arial" w:cs="Arial" w:eastAsia="Arial" w:hAnsi="Arial"/>
                <w:sz w:val="18"/>
                <w:szCs w:val="18"/>
                <w:color w:val="auto"/>
              </w:rPr>
              <w:t>0.42% - 0.98 %</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options that the Company granted under its plans expire at various times, either five, seven or ten years from the date of grant, depending on the particular grant.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Options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auto"/>
                <w:w w:val="95"/>
              </w:rPr>
              <w:t>Weighted-Average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267,701</w:t>
            </w:r>
          </w:p>
        </w:tc>
        <w:tc>
          <w:tcPr>
            <w:tcW w:w="140" w:type="dxa"/>
            <w:vAlign w:val="bottom"/>
            <w:shd w:val="clear" w:color="auto" w:fill="CCFFCC"/>
          </w:tcPr>
          <w:p>
            <w:pPr>
              <w:spacing w:after="0"/>
              <w:rPr>
                <w:sz w:val="18"/>
                <w:szCs w:val="18"/>
                <w:color w:val="auto"/>
              </w:rPr>
            </w:pPr>
          </w:p>
        </w:tc>
        <w:tc>
          <w:tcPr>
            <w:tcW w:w="2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105,500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Outstanding at June 30, 2012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372,701</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June 30, 2012</w:t>
            </w:r>
          </w:p>
        </w:tc>
        <w:tc>
          <w:tcPr>
            <w:tcW w:w="124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83,076</w:t>
            </w: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10.02</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Compensation expense related to stock option grants for the Current Quarter and the Current Six Months was $18,000 and $29,000, respectively. There was no compensation expense prior to the Successor period. An additional amount of $148,000 is expected to be expensed over a period of 22-months.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8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Warrants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auto"/>
                <w:w w:val="95"/>
              </w:rPr>
              <w:t>Weighted-Average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1,219,543</w:t>
            </w:r>
          </w:p>
        </w:tc>
        <w:tc>
          <w:tcPr>
            <w:tcW w:w="140" w:type="dxa"/>
            <w:vAlign w:val="bottom"/>
            <w:shd w:val="clear" w:color="auto" w:fill="CCFFCC"/>
          </w:tcPr>
          <w:p>
            <w:pPr>
              <w:spacing w:after="0"/>
              <w:rPr>
                <w:sz w:val="18"/>
                <w:szCs w:val="18"/>
                <w:color w:val="auto"/>
              </w:rPr>
            </w:pPr>
          </w:p>
        </w:tc>
        <w:tc>
          <w:tcPr>
            <w:tcW w:w="2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(162,500)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Outstanding at June 30, 2012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1,132,043</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June 30, 2012</w:t>
            </w:r>
          </w:p>
        </w:tc>
        <w:tc>
          <w:tcPr>
            <w:tcW w:w="124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1,032,043</w:t>
            </w: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2.22</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values warrants issued to non-employees at the commitment date at the fair market value of the instruments issued, a measure which is more readily available than the fair market value of services rendered, using the Black-Scholes model. The fair market value of the instruments issued is expensed over the vesting period with the exception of warrants issued to the Company’s licensee, whereby these warrants reduce license revenue recognized by the Company related to such licensee over the initial 5-year term of the licensee agreement. The stock based compensation recorded for the Current Quarter and the Current Six Months is $11,000 and $22,000, respectively. An additional amount of $55,000 is expected to be expensed evenly over a period of 15 months. In addition, licensing revenues were reduced for the Current Quarter and the Current Six Months by $1,000 and $2,000, respectively. An additional amount of $20,000 is expected to off-set license revenues evenly over a period of 51-months. There was no compensation expense or reduction of licensed revenues prior to the Successor period.</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issued warrants to purchase 430,500 shares of common stock to investors as part of an equity offering in a private placement on September 29, 2011 (see the Company’s 8-K/A filed with the Securities and Exchange Commission on January 12, 2012 for details). Each warrant provides the holder with the right to purchase one share of common stock for $.01 per share. During the three months ended June 30, 2012, 162,500 shares were exercised. As of June 30, 2012 there were warrants to purchase 218,000 shares of common stock outstanding, which expire on September 29,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cost for restricted stock is measured as the excess, if any, of the market price of the Company’s stock at the date the common stock is issued over the amount the employee must pay to acquire the stock (which is generally zero). The compensation cost, net of projected forfeitures, is recognized over the period between the issue date and the date any restrictions lapse, with compensation cost for grants with a graded vesting schedule recognized on a straight-line basis over the requisite service period for each separately vesting portion of the award as if the award was, in substance, multiple awards. The restrictions do not affect voting and dividend rights.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600" w:type="dxa"/>
            <w:vAlign w:val="bottom"/>
          </w:tcPr>
          <w:p>
            <w:pPr>
              <w:spacing w:after="0"/>
              <w:rPr>
                <w:sz w:val="19"/>
                <w:szCs w:val="19"/>
                <w:color w:val="auto"/>
              </w:rPr>
            </w:pPr>
          </w:p>
        </w:tc>
        <w:tc>
          <w:tcPr>
            <w:tcW w:w="1800" w:type="dxa"/>
            <w:vAlign w:val="bottom"/>
            <w:gridSpan w:val="3"/>
          </w:tcPr>
          <w:p>
            <w:pPr>
              <w:jc w:val="right"/>
              <w:ind w:right="600"/>
              <w:spacing w:after="0"/>
              <w:rPr>
                <w:sz w:val="20"/>
                <w:szCs w:val="20"/>
                <w:color w:val="auto"/>
              </w:rPr>
            </w:pPr>
            <w:r>
              <w:rPr>
                <w:rFonts w:ascii="Arial" w:cs="Arial" w:eastAsia="Arial" w:hAnsi="Arial"/>
                <w:sz w:val="18"/>
                <w:szCs w:val="18"/>
                <w:color w:val="auto"/>
              </w:rPr>
              <w:t>Restricted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0" w:type="dxa"/>
            <w:vAlign w:val="bottom"/>
          </w:tcPr>
          <w:p>
            <w:pPr>
              <w:spacing w:after="0"/>
              <w:rPr>
                <w:sz w:val="20"/>
                <w:szCs w:val="20"/>
                <w:color w:val="auto"/>
              </w:rPr>
            </w:pPr>
          </w:p>
        </w:tc>
        <w:tc>
          <w:tcPr>
            <w:tcW w:w="1800" w:type="dxa"/>
            <w:vAlign w:val="bottom"/>
            <w:gridSpan w:val="3"/>
          </w:tcPr>
          <w:p>
            <w:pPr>
              <w:jc w:val="right"/>
              <w:ind w:right="72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7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17,125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1,544,943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7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8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Outstanding at June 30, 2012</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1,561,568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Compensation expense related to restricted stock grants for the Current Quarter and Current Six Months was $1,379,000 and</w:t>
      </w:r>
    </w:p>
    <w:p>
      <w:pPr>
        <w:spacing w:after="0" w:line="43"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$1,386,000, respectively. There was no compensation expense prior to the Successor period. An additional amount of $3,320,000 is is recorded as unamortized restricted stock and netted against additional paid in capital on the balance sheet of which $3,129,000 is expected to be expensed the remainder of this year and an additional amount of $171,000 is expected to be expensed by May 15, 2014.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 June 30, 2012, there were 566,307 shares of common stock available for issuance under the Company’s 2011 Equity Incentive Plan (the “Plan”).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2012, there were 2,071,051 shares of common stock reserved for issuance under the Plan and outstanding warrants and stock options not covered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right="8480" w:firstLine="332"/>
        <w:spacing w:after="0" w:line="503" w:lineRule="auto"/>
        <w:tabs>
          <w:tab w:leader="none" w:pos="83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Todd Slater</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August 12, 2011, Old XCel entered into a one year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will receive a commission equal to fifteen percent (15%) of all net royalties received by the Company during the first term of such agreement, payable within thirty days of receipt of the net royalties. Mr. Slater earned $10,599 and $18,133 in fees for the Current Quarter and Current Six Months, respectively. (See Note 7 Subsequent Events).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August 2, 2011, Old XCel entered into a licensing agent agreement with Adam Dweck (“AD”) who is an Executive Vice President of Earthbound pursuant to which AD is entitled to a five percent (5%) commission on any royalties we receive under any new license agreements that he procures for us during the initial term of such license agreements. We are obligated to grant to AD 5-year warrants to purchase 12,500 shares of common stock at an exercise price of $5.00 per share, subject to the AD generating $0.5 million of accumulated royalties and an additional 5-year warrants to purchase 12,500 shares of common stock at an exercise price of $5.00 per share, subject to the AD generating $1.0 million of accumulated royalties. Additionally, AD shall be entitled to receive 5-year warrants to purchase 25,000 shares of common stock priced at the fair market value at the time of issuance, subject to AD generating $2.0 million of accumulated royalties. AD is the son of Jack Dweck, who is a 10% shareholder of the Company and has been granted observer rights related to the Company’s meetings of its board of directors. AD earned $2,586 and $5,142 in fees for the Current Quarter and Current Six Months, respectively. Through June 30, 2012, AD has not earned any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Jones Texas, LLC</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Ed Jones, a principal shareholder and chief executive officer of Jones Texas, LLC was appointed to the Company’s board of directors following the Acquisition Date, which appointment became effective on October 17, 2011. Jones Texas, LLC procured a license for the Company which the Company agreed to remit 15% of the license revenues for the initial term of the license. Jones Texas, LLC earned $750 and $1,500 in fees for the Current Quarter and Current Six Months,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 Ready-Made, LLC</w:t>
      </w:r>
    </w:p>
    <w:p>
      <w:pPr>
        <w:spacing w:after="0" w:line="229"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 xml:space="preserve">The Company and IM Ready-Made, LLC had transactions between each other relating to the transitions of the Isaac Mizrahi Business from IM Ready to the Company. In addition, IM Ready received payments in the 4 </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 2011 and 1 </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 2012 that related to periods after the Predecessor period. As of June 30, 2012 IM Ready owes the Company approximately $79,000 which is recorded in ‘other current assets’ on the condensed balance sheet. IM Ready has agreed to reimburse the Company in full by October 1, 2012, including paying interest to the Company beginning from April 1, 2012 at a rate equal to the Seller Note interest rate of 0.26% per annum.</w:t>
      </w:r>
    </w:p>
    <w:p>
      <w:pPr>
        <w:spacing w:after="0" w:line="199" w:lineRule="exact"/>
        <w:rPr>
          <w:sz w:val="20"/>
          <w:szCs w:val="20"/>
          <w:color w:val="auto"/>
        </w:rPr>
      </w:pPr>
    </w:p>
    <w:p>
      <w:pPr>
        <w:ind w:left="780" w:hanging="448"/>
        <w:spacing w:after="0"/>
        <w:tabs>
          <w:tab w:leader="none" w:pos="7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On July 10, 2012, XCel Brands, Inc. (the “Company”) and Todd Slater (“TS”), a director of the Company, entered into an amendment (the “Amendment”) to the agreement between the Company and TS related to the introduction of potential licensees by TS to the Company dated August 12, 2011 and amended on October 4, 2011. Pursuant to the Amendment, the Company agreed to pay to Mr. Slater $163,000 as payment in full for (i) the cancellation of all amounts which are or may otherwise become due or payable to Mr. Slater under the terms of the agreement for licensees already introduced to the Company by TS and which TS was entitled to fifteen percent (15%) of the revenues from such licensees under the agreement, and (ii) the assignment to the Company of all such amounts payable directly to Mr. Slater pursuant to such license agreements.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i w:val="1"/>
          <w:iCs w:val="1"/>
          <w:color w:val="auto"/>
        </w:rPr>
        <w:t xml:space="preserve">Safe Harbor Statement under the Private Securities Litigation Reform Act of 1995 </w:t>
      </w:r>
      <w:r>
        <w:rPr>
          <w:rFonts w:ascii="Arial" w:cs="Arial" w:eastAsia="Arial" w:hAnsi="Arial"/>
          <w:sz w:val="17"/>
          <w:szCs w:val="17"/>
          <w:color w:val="auto"/>
        </w:rPr>
        <w:t>. The statements that are not historical facts contained in this report are</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 looking statements. These risks are detailed in Risk Section of this Form 10-K. The words “believe”, “anticipate,” “expect”, “confident”, “project”, “provide”, “plan”, “likely”, “future”, “ongoing”, “intend”, “may”, “should”, “would”, “could”, “guidance” and similar expressions identify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2011 (the “Closing Date”), the Company merged with Xcel Brands, Inc (“Old XCel”) and acquired the Isaac Mizrahi Business (collectively, the “Transaction”). The Company engages in the design, licensing, and marketing of the Isaac Mizrahi brand with a focus on a variety of product categories featuring the Isaac Mizrahi Brand. The Company operates in a “working capital light” business model, licensing the Isaac Mizrahi Brands through its wholly-owned subsidiary IM Brands and generating royalty and design revenues through licensing and other agreements with wholesale manufacturers, sourcing and design companies, and retailers. Prior to our acquisition of the Isaac Mizrahi Business, the business was a division of IM Ready-Made, LLC (“IM Ready”).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Several of our accounting policies involve management judgments and estimates that could be significant. The policies with the greatest potential effect on our consolidated results of operations and financial position include the estimate of contingent obligations to IM Ready, based on our revenue performance. Due to our licensing model, we do not have any inventory risk and have reduced our operating risks, and can reasonably forecast revenues and plan expenditures based upon guaranteed royalty minimums and sales projections provided by our retail licensees.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review all significant estimates affecting the financial statements on a recurring basis and record the effect of any adjustments when necessary.</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our licensing model, we have entered into various trademark license agreements that provide revenues based on minimum royalties and additional revenues based on a percentage of defined sales. Minimum royalty revenue is recognized on a straight-line basis over each period, as defined, in each license agreement. Royalties exceeding the defined minimum amounts are recognized as income during the period corresponding to the licensee's sales.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Impairment losses are recognized for long-lived assets, including certain intangibles, used in operations when indicators of impairment are present and the undiscounted cash flows estimated to be generated by those assets are not sufficient to recover the assets carrying amount. Impairment losses are measured by comparing the fair value of the assets to their carrying amount. For the Current Quarter there was no impairment present for these long-lived assets.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stock-based compensation in accordance with ASC Topic 718 by recognizing the fair value of stock-based compensation in the consolidated statement of operations. The fair value of the Company’s stock option awards are estimated using a Black-Scholes option valuation model. This model requires the input of highly subjective assumptions and elections including expected stock price volatility and the estimated life of each award. In addition, the calculation of compensation costs requires that the Company estimate the number of awards that will be forfeited during the vesting period. The fair value of stock-based awards is amortized over the vesting period of the awards. For stock-based awards that vest based on performance conditions (e.g. achievement of certain milestones), expense is recognized when it is probable that the condition will be met.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ind w:right="380"/>
        <w:spacing w:after="0" w:line="302" w:lineRule="auto"/>
        <w:rPr>
          <w:sz w:val="20"/>
          <w:szCs w:val="20"/>
          <w:color w:val="auto"/>
        </w:rPr>
      </w:pPr>
      <w:r>
        <w:rPr>
          <w:rFonts w:ascii="Arial" w:cs="Arial" w:eastAsia="Arial" w:hAnsi="Arial"/>
          <w:sz w:val="16"/>
          <w:szCs w:val="16"/>
          <w:color w:val="auto"/>
        </w:rPr>
        <w:t>ASC Topic 740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consolidated financial statements and related notes included elsewhere in this Form 10-Q are as of, or for, one of two periods, (i) the Company (the “Successor”) that consists of the period April 1, 2012 through June 30, 2012 (the “Current Quarter”) and the period January 1, 2012 through June 30, 2012 (the “Current Six Months”) or (individually or collectively the “Successor Period”) and of the Isaac Mizrahi Business (the “Predecessor”) for the period April 1, 2011 through June 30, 2011 and the period January 1, 2011 through June 30, 2011 (the individually or collectively the “Predecessor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three months ended June 30, 2012 compared to the three months ended June 30, 2011 pro-forma.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Quarter results are compared with the Predecessor Period of April 1, 2011 through June 30, 2011 on an unaudited pro-forma basis (the “Prior Year Quarter”), as presented in the table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 and Pro-forma Statements of Operations of the Predecessor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1"/>
              </w:rPr>
              <w:t>Successor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Predecessor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370"/>
              <w:spacing w:after="0" w:line="191" w:lineRule="exact"/>
              <w:rPr>
                <w:sz w:val="20"/>
                <w:szCs w:val="20"/>
                <w:color w:val="auto"/>
              </w:rPr>
            </w:pPr>
            <w:r>
              <w:rPr>
                <w:rFonts w:ascii="Arial" w:cs="Arial" w:eastAsia="Arial" w:hAnsi="Arial"/>
                <w:sz w:val="18"/>
                <w:szCs w:val="18"/>
                <w:b w:val="1"/>
                <w:bCs w:val="1"/>
                <w:color w:val="auto"/>
                <w:w w:val="92"/>
              </w:rPr>
              <w:t>Pro-forma</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3"/>
              </w:rPr>
              <w:t>Three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3"/>
              </w:rPr>
              <w:t>Three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2011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Adjustments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Licensing revenues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2,507,000</w:t>
            </w: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2,619,000</w:t>
            </w:r>
          </w:p>
        </w:tc>
        <w:tc>
          <w:tcPr>
            <w:tcW w:w="30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2,619,000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Design and service fee income</w:t>
            </w:r>
          </w:p>
        </w:tc>
        <w:tc>
          <w:tcPr>
            <w:tcW w:w="18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368,000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275,000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2,875,000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2,894,000</w:t>
            </w:r>
          </w:p>
        </w:tc>
        <w:tc>
          <w:tcPr>
            <w:tcW w:w="3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2,894,000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 licensing costs</w:t>
            </w:r>
          </w:p>
        </w:tc>
        <w:tc>
          <w:tcPr>
            <w:tcW w:w="18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licensing &amp; design revenues</w:t>
            </w: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2,824,000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2,894,000</w:t>
            </w:r>
          </w:p>
        </w:tc>
        <w:tc>
          <w:tcPr>
            <w:tcW w:w="3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2,894,000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Design and marketing</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1,183,000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FFCC"/>
          </w:tcPr>
          <w:p>
            <w:pPr>
              <w:spacing w:after="0"/>
              <w:rPr>
                <w:sz w:val="18"/>
                <w:szCs w:val="18"/>
                <w:color w:val="auto"/>
              </w:rPr>
            </w:pPr>
          </w:p>
        </w:tc>
        <w:tc>
          <w:tcPr>
            <w:tcW w:w="1200" w:type="dxa"/>
            <w:vAlign w:val="bottom"/>
            <w:tcBorders>
              <w:right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828,000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421,000</w:t>
            </w: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202,000[1]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132,000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Stock based compensation</w:t>
            </w:r>
          </w:p>
        </w:tc>
        <w:tc>
          <w:tcPr>
            <w:tcW w:w="18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1,408,000</w:t>
            </w:r>
          </w:p>
        </w:tc>
        <w:tc>
          <w:tcPr>
            <w:tcW w:w="140" w:type="dxa"/>
            <w:vAlign w:val="bottom"/>
            <w:tcBorders>
              <w:right w:val="single" w:sz="8" w:color="auto"/>
            </w:tcBorders>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FFCC"/>
            </w:tcBorders>
          </w:tcPr>
          <w:p>
            <w:pPr>
              <w:ind w:left="30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3,634,000</w:t>
            </w:r>
          </w:p>
        </w:tc>
        <w:tc>
          <w:tcPr>
            <w:tcW w:w="140" w:type="dxa"/>
            <w:vAlign w:val="bottom"/>
            <w:tcBorders>
              <w:bottom w:val="single" w:sz="8" w:color="CCFFCC"/>
              <w:right w:val="single" w:sz="8" w:color="auto"/>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1,546,000</w:t>
            </w:r>
          </w:p>
        </w:tc>
        <w:tc>
          <w:tcPr>
            <w:tcW w:w="30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132,000</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9"/>
                <w:szCs w:val="19"/>
                <w:color w:val="auto"/>
              </w:rPr>
            </w:pPr>
          </w:p>
        </w:tc>
        <w:tc>
          <w:tcPr>
            <w:tcW w:w="12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(810,000)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1,348,000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(132,000)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1,480,000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Finance costs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Interest expenses – term debt</w:t>
            </w:r>
          </w:p>
        </w:tc>
        <w:tc>
          <w:tcPr>
            <w:tcW w:w="180" w:type="dxa"/>
            <w:vAlign w:val="bottom"/>
            <w:shd w:val="clear" w:color="auto" w:fill="CCFFCC"/>
          </w:tcPr>
          <w:p>
            <w:pPr>
              <w:spacing w:after="0"/>
              <w:rPr>
                <w:sz w:val="18"/>
                <w:szCs w:val="18"/>
                <w:color w:val="auto"/>
              </w:rPr>
            </w:pPr>
          </w:p>
        </w:tc>
        <w:tc>
          <w:tcPr>
            <w:tcW w:w="1200" w:type="dxa"/>
            <w:vAlign w:val="bottom"/>
            <w:tcBorders>
              <w:right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286,000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286,000[2]</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286,000</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Other interest and finance costs</w:t>
            </w:r>
          </w:p>
        </w:tc>
        <w:tc>
          <w:tcPr>
            <w:tcW w:w="18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259,000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258,000[2]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258,000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Total finance costs</w:t>
            </w: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545,000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544,000</w:t>
            </w:r>
          </w:p>
        </w:tc>
        <w:tc>
          <w:tcPr>
            <w:tcW w:w="3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544,000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before income tax provision</w:t>
            </w:r>
          </w:p>
        </w:tc>
        <w:tc>
          <w:tcPr>
            <w:tcW w:w="180" w:type="dxa"/>
            <w:vAlign w:val="bottom"/>
            <w:shd w:val="clear" w:color="auto" w:fill="CCFFCC"/>
          </w:tcPr>
          <w:p>
            <w:pPr>
              <w:spacing w:after="0"/>
              <w:rPr>
                <w:sz w:val="18"/>
                <w:szCs w:val="18"/>
                <w:color w:val="auto"/>
              </w:rPr>
            </w:pPr>
          </w:p>
        </w:tc>
        <w:tc>
          <w:tcPr>
            <w:tcW w:w="12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(1,355,000)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804,000</w:t>
            </w: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(676,000)</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FFCC"/>
          </w:tcPr>
          <w:p>
            <w:pPr>
              <w:spacing w:after="0"/>
              <w:rPr>
                <w:sz w:val="19"/>
                <w:szCs w:val="19"/>
                <w:color w:val="auto"/>
              </w:rPr>
            </w:pPr>
          </w:p>
        </w:tc>
        <w:tc>
          <w:tcPr>
            <w:tcW w:w="12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306,000[3]</w:t>
            </w: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188,000</w:t>
            </w:r>
          </w:p>
        </w:tc>
        <w:tc>
          <w:tcPr>
            <w:tcW w:w="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(1,354,000)</w:t>
            </w: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498,000</w:t>
            </w:r>
          </w:p>
        </w:tc>
        <w:tc>
          <w:tcPr>
            <w:tcW w:w="300" w:type="dxa"/>
            <w:vAlign w:val="bottom"/>
            <w:shd w:val="clear" w:color="auto" w:fill="CCFFCC"/>
          </w:tcPr>
          <w:p>
            <w:pPr>
              <w:spacing w:after="0"/>
              <w:rPr>
                <w:sz w:val="21"/>
                <w:szCs w:val="21"/>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(864,000)</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right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20" w:type="dxa"/>
            <w:vAlign w:val="bottom"/>
            <w:tcBorders>
              <w:top w:val="single" w:sz="8" w:color="CCFFCC"/>
              <w:bottom w:val="single" w:sz="8" w:color="CCFFCC"/>
            </w:tcBorders>
            <w:shd w:val="clear" w:color="auto" w:fill="CCFFCC"/>
          </w:tcPr>
          <w:p>
            <w:pPr>
              <w:ind w:left="140"/>
              <w:spacing w:after="0" w:line="190"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(0.19</w:t>
            </w:r>
          </w:p>
        </w:tc>
        <w:tc>
          <w:tcPr>
            <w:tcW w:w="140" w:type="dxa"/>
            <w:vAlign w:val="bottom"/>
            <w:tcBorders>
              <w:top w:val="single" w:sz="8" w:color="CCFFCC"/>
              <w:bottom w:val="single" w:sz="8" w:color="CCFFCC"/>
              <w:right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.08</w:t>
            </w:r>
          </w:p>
        </w:tc>
        <w:tc>
          <w:tcPr>
            <w:tcW w:w="30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16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0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6,981,216</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5,743,319[4]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20" w:type="dxa"/>
            <w:vAlign w:val="bottom"/>
            <w:tcBorders>
              <w:top w:val="single" w:sz="8" w:color="CCFFCC"/>
              <w:bottom w:val="single" w:sz="8" w:color="CCFFCC"/>
            </w:tcBorders>
            <w:shd w:val="clear" w:color="auto" w:fill="CCFFCC"/>
          </w:tcPr>
          <w:p>
            <w:pPr>
              <w:ind w:left="140"/>
              <w:spacing w:after="0" w:line="190"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CFFCC"/>
          </w:tcPr>
          <w:p>
            <w:pPr>
              <w:spacing w:after="0"/>
              <w:rPr>
                <w:sz w:val="17"/>
                <w:szCs w:val="17"/>
                <w:color w:val="auto"/>
              </w:rPr>
            </w:pPr>
          </w:p>
        </w:tc>
        <w:tc>
          <w:tcPr>
            <w:tcW w:w="10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6,981,216</w:t>
            </w:r>
          </w:p>
        </w:tc>
        <w:tc>
          <w:tcPr>
            <w:tcW w:w="140" w:type="dxa"/>
            <w:vAlign w:val="bottom"/>
            <w:tcBorders>
              <w:top w:val="single" w:sz="8" w:color="CCFFCC"/>
              <w:bottom w:val="single" w:sz="8" w:color="CCFFCC"/>
              <w:right w:val="single" w:sz="8" w:color="auto"/>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spacing w:after="0"/>
              <w:rPr>
                <w:sz w:val="17"/>
                <w:szCs w:val="17"/>
                <w:color w:val="auto"/>
              </w:rPr>
            </w:pPr>
          </w:p>
        </w:tc>
        <w:tc>
          <w:tcPr>
            <w:tcW w:w="10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6,539,312</w:t>
            </w:r>
          </w:p>
        </w:tc>
        <w:tc>
          <w:tcPr>
            <w:tcW w:w="300" w:type="dxa"/>
            <w:vAlign w:val="bottom"/>
            <w:tcBorders>
              <w:top w:val="single" w:sz="8" w:color="CCFFCC"/>
              <w:bottom w:val="single" w:sz="8" w:color="CCFFCC"/>
            </w:tcBorders>
            <w:shd w:val="clear" w:color="auto" w:fill="CCFFCC"/>
          </w:tcPr>
          <w:p>
            <w:pPr>
              <w:jc w:val="right"/>
              <w:spacing w:after="0" w:line="190" w:lineRule="exact"/>
              <w:rPr>
                <w:sz w:val="20"/>
                <w:szCs w:val="20"/>
                <w:color w:val="auto"/>
              </w:rPr>
            </w:pPr>
            <w:r>
              <w:rPr>
                <w:rFonts w:ascii="Arial" w:cs="Arial" w:eastAsia="Arial" w:hAnsi="Arial"/>
                <w:sz w:val="18"/>
                <w:szCs w:val="18"/>
                <w:color w:val="auto"/>
                <w:w w:val="99"/>
              </w:rPr>
              <w:t>[5]</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16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0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7" w:name="page18"/>
    <w:bookmarkEnd w:id="17"/>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adjustment assumes the Company amortized intangible assets since January 1, 2011.</w:t>
      </w:r>
    </w:p>
    <w:p>
      <w:pPr>
        <w:spacing w:after="0" w:line="23" w:lineRule="exact"/>
        <w:rPr>
          <w:rFonts w:ascii="Arial" w:cs="Arial" w:eastAsia="Arial" w:hAnsi="Arial"/>
          <w:sz w:val="18"/>
          <w:szCs w:val="18"/>
          <w:color w:val="auto"/>
        </w:rPr>
      </w:pPr>
    </w:p>
    <w:p>
      <w:pPr>
        <w:ind w:firstLine="656"/>
        <w:spacing w:after="0" w:line="250" w:lineRule="auto"/>
        <w:tabs>
          <w:tab w:leader="none" w:pos="9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adjustment is designed to state interest expense and other finance costs as if acquisition of the Isaac Mizrahi Business and related financing occurred January 1, 2011.</w:t>
      </w: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 expense is adjusted to reflect an effective 38% income tax rate.</w:t>
      </w:r>
    </w:p>
    <w:p>
      <w:pPr>
        <w:spacing w:after="0" w:line="9" w:lineRule="exact"/>
        <w:rPr>
          <w:rFonts w:ascii="Arial" w:cs="Arial" w:eastAsia="Arial" w:hAnsi="Arial"/>
          <w:sz w:val="18"/>
          <w:szCs w:val="18"/>
          <w:color w:val="auto"/>
        </w:rPr>
      </w:pPr>
    </w:p>
    <w:p>
      <w:pPr>
        <w:ind w:firstLine="656"/>
        <w:spacing w:after="0" w:line="250" w:lineRule="auto"/>
        <w:tabs>
          <w:tab w:leader="none" w:pos="9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 average number of basic common shares presented on a pro-forma basis for the Prior Year Quarter is equal to the number of shares that were outstanding immediately after the acquisition of the Isaac Mizrahi Business.</w:t>
      </w:r>
    </w:p>
    <w:p>
      <w:pPr>
        <w:jc w:val="both"/>
        <w:ind w:firstLine="656"/>
        <w:spacing w:after="0" w:line="255" w:lineRule="auto"/>
        <w:tabs>
          <w:tab w:leader="none" w:pos="9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 average number of common shares, on a diluted basis presented on a pro-forma basis for the Prior Year Quarter is equal to the number of shares that were outstanding immediately after the acquisition of the Isaac Mizrahi Business plus options and warrants that could be exercised into additional common shares measured at immediately after the acquisition of the Isaac Mizrahi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spacing w:after="0" w:line="297" w:lineRule="auto"/>
        <w:rPr>
          <w:sz w:val="20"/>
          <w:szCs w:val="20"/>
          <w:color w:val="auto"/>
        </w:rPr>
      </w:pPr>
      <w:r>
        <w:rPr>
          <w:rFonts w:ascii="Arial" w:cs="Arial" w:eastAsia="Arial" w:hAnsi="Arial"/>
          <w:sz w:val="16"/>
          <w:szCs w:val="16"/>
          <w:i w:val="1"/>
          <w:iCs w:val="1"/>
          <w:color w:val="auto"/>
        </w:rPr>
        <w:t xml:space="preserve">Net Licensing and Service Fee Revenue. </w:t>
      </w:r>
      <w:r>
        <w:rPr>
          <w:rFonts w:ascii="Arial" w:cs="Arial" w:eastAsia="Arial" w:hAnsi="Arial"/>
          <w:sz w:val="16"/>
          <w:szCs w:val="16"/>
          <w:color w:val="auto"/>
        </w:rPr>
        <w:t>Total revenues for the Current Quarter remained flat at $2.9 million compared to the Prior Year Quarter. Revenues of</w:t>
      </w:r>
      <w:r>
        <w:rPr>
          <w:rFonts w:ascii="Arial" w:cs="Arial" w:eastAsia="Arial" w:hAnsi="Arial"/>
          <w:sz w:val="16"/>
          <w:szCs w:val="16"/>
          <w:i w:val="1"/>
          <w:iCs w:val="1"/>
          <w:color w:val="auto"/>
        </w:rPr>
        <w:t xml:space="preserve"> </w:t>
      </w:r>
      <w:r>
        <w:rPr>
          <w:rFonts w:ascii="Arial" w:cs="Arial" w:eastAsia="Arial" w:hAnsi="Arial"/>
          <w:sz w:val="16"/>
          <w:szCs w:val="16"/>
          <w:color w:val="auto"/>
        </w:rPr>
        <w:t>$587,000 recognized in the Prior Year Quarter from amortization of a one-time payment received by the Predecessor prior to 2011 not recognized by the Successor was off-set by increases in our QVC business and Liz Claiborne business in aggregate of $250,000, an increase from new license agreements of $227,000 and an increase in design and service fee income of $93,000. The Company incurred direct licensing costs of $51,000 during the Current Quarter whereby the Predecessor did not incur these costs in the Prior Year Quarter. The net result was a decrease in net licensing and service fee revenue by $70,000.</w:t>
      </w:r>
    </w:p>
    <w:p>
      <w:pPr>
        <w:spacing w:after="0" w:line="158" w:lineRule="exact"/>
        <w:rPr>
          <w:sz w:val="20"/>
          <w:szCs w:val="20"/>
          <w:color w:val="auto"/>
        </w:rPr>
      </w:pPr>
    </w:p>
    <w:p>
      <w:pPr>
        <w:ind w:right="680"/>
        <w:spacing w:after="0" w:line="279"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 totaled $3,634,000 in the Current Quarter compared to $1,546,000 in the Prior Year Quarter. The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$2,088,000 was primarily driven by (i) an increase in general and administrative expenses of $407,000 mostly relating to executive management salaries and costs associated with being public, (ii) stock based compensation expense of $1,408,000 and (iii) an increase in design and marketing expenses of $260,000 mostly relating to costs associated with new license agreements.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Operating Income (loss). </w:t>
      </w:r>
      <w:r>
        <w:rPr>
          <w:rFonts w:ascii="Arial" w:cs="Arial" w:eastAsia="Arial" w:hAnsi="Arial"/>
          <w:sz w:val="18"/>
          <w:szCs w:val="18"/>
          <w:color w:val="auto"/>
        </w:rPr>
        <w:t>Operating income (loss) for the Current Quarter was ($810,000) compared to $1,348,000 for the Prior Year Quarter. This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income (loss) was primarily the result of the increase in operating expenses as noted above.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Interest and Finance Costs. </w:t>
      </w:r>
      <w:r>
        <w:rPr>
          <w:rFonts w:ascii="Arial" w:cs="Arial" w:eastAsia="Arial" w:hAnsi="Arial"/>
          <w:sz w:val="18"/>
          <w:szCs w:val="18"/>
          <w:color w:val="auto"/>
        </w:rPr>
        <w:t>Interest and finance costs remained even for the Current Quarter compared to the Prior Year Quarter, although on an actual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the Predecessor had no interest or other finance costs.</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Income taxes were lower for the Current Quarter compared to the Prior Year Quarter by $307,000. The Current Quarter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provision (benefit) is inclusive of a deferred tax benefit of $60,000 resulting in an effective tax rate of (0%), whereas the Prior Year Quarter has an effective tax rate of 38%. The primary differences is the Current Quarter’s net income (loss) before income taxes is $1,774,000 lower than the Prior Year Quarter and the current deferred tax benefit has been reduced from the effect of a state and local rate allocation change resulting in a 38% adjustment to the effective tax rate by virtue of applying the rate differential to the opening net deferred tax liability. This adjustment off-sets the deferred tax benefit resulting in a 0% effective tax rate for the Current Quarter. The change in the Company’s state and local tax rate is based on the change in estimate of allocations between different taxing jurisdictions.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 Our net income (loss) was $(1,354,000) in the Current Quarter, compared to net income of $498,000 in the Prior Year Quarter,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factors discussed above.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The six months ended June 30, 2012 compared to the six months ended June 30, 2011 pro-forma.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Current Six Months results are compared with the Predecessor Period of January 1, 2011 through June 30, 2011 on an unaudited pro-forma basis (the “Prior Six Months”), as presented in the table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 and Pro-forma Statements of Operations of the Predecessor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1"/>
              </w:rPr>
              <w:t>Successor</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3"/>
              </w:rPr>
              <w:t>Predecessor</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370"/>
              <w:spacing w:after="0" w:line="191" w:lineRule="exact"/>
              <w:rPr>
                <w:sz w:val="20"/>
                <w:szCs w:val="20"/>
                <w:color w:val="auto"/>
              </w:rPr>
            </w:pPr>
            <w:r>
              <w:rPr>
                <w:rFonts w:ascii="Arial" w:cs="Arial" w:eastAsia="Arial" w:hAnsi="Arial"/>
                <w:sz w:val="18"/>
                <w:szCs w:val="18"/>
                <w:b w:val="1"/>
                <w:bCs w:val="1"/>
                <w:color w:val="auto"/>
                <w:w w:val="92"/>
              </w:rPr>
              <w:t>Pro-forma</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Six</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8"/>
              </w:rPr>
              <w:t>Six</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2011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Adjustments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Licensing revenues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5,135,000</w:t>
            </w: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5,239,000</w:t>
            </w:r>
          </w:p>
        </w:tc>
        <w:tc>
          <w:tcPr>
            <w:tcW w:w="30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5,239,000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Design and service fee income</w:t>
            </w:r>
          </w:p>
        </w:tc>
        <w:tc>
          <w:tcPr>
            <w:tcW w:w="18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654,000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550,000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5,789,000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5,789,000</w:t>
            </w:r>
          </w:p>
        </w:tc>
        <w:tc>
          <w:tcPr>
            <w:tcW w:w="3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5,789,000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 licensing costs</w:t>
            </w:r>
          </w:p>
        </w:tc>
        <w:tc>
          <w:tcPr>
            <w:tcW w:w="18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licensing &amp; design revenues</w:t>
            </w: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5,704,000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5,789,000</w:t>
            </w:r>
          </w:p>
        </w:tc>
        <w:tc>
          <w:tcPr>
            <w:tcW w:w="3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5,789,000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Design and marketing</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2,216,000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1,848,000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1,750,000</w:t>
            </w: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963,000</w:t>
            </w: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424,000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404,000[1]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264,000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Stock based compensation</w:t>
            </w:r>
          </w:p>
        </w:tc>
        <w:tc>
          <w:tcPr>
            <w:tcW w:w="18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1,436,000</w:t>
            </w:r>
          </w:p>
        </w:tc>
        <w:tc>
          <w:tcPr>
            <w:tcW w:w="140" w:type="dxa"/>
            <w:vAlign w:val="bottom"/>
            <w:tcBorders>
              <w:right w:val="single" w:sz="8" w:color="auto"/>
            </w:tcBorders>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FFCC"/>
            </w:tcBorders>
          </w:tcPr>
          <w:p>
            <w:pPr>
              <w:ind w:left="30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5,826,000</w:t>
            </w:r>
          </w:p>
        </w:tc>
        <w:tc>
          <w:tcPr>
            <w:tcW w:w="140" w:type="dxa"/>
            <w:vAlign w:val="bottom"/>
            <w:tcBorders>
              <w:bottom w:val="single" w:sz="8" w:color="CCFFCC"/>
              <w:right w:val="single" w:sz="8" w:color="auto"/>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3,215,000</w:t>
            </w:r>
          </w:p>
        </w:tc>
        <w:tc>
          <w:tcPr>
            <w:tcW w:w="30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264,000</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9"/>
                <w:szCs w:val="19"/>
                <w:color w:val="auto"/>
              </w:rPr>
            </w:pPr>
          </w:p>
        </w:tc>
        <w:tc>
          <w:tcPr>
            <w:tcW w:w="12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2,574,000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(264,000)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2,838,000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Finance costs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Interest expenses – term debt</w:t>
            </w:r>
          </w:p>
        </w:tc>
        <w:tc>
          <w:tcPr>
            <w:tcW w:w="180" w:type="dxa"/>
            <w:vAlign w:val="bottom"/>
            <w:shd w:val="clear" w:color="auto" w:fill="CCFFCC"/>
          </w:tcPr>
          <w:p>
            <w:pPr>
              <w:spacing w:after="0"/>
              <w:rPr>
                <w:sz w:val="18"/>
                <w:szCs w:val="18"/>
                <w:color w:val="auto"/>
              </w:rPr>
            </w:pPr>
          </w:p>
        </w:tc>
        <w:tc>
          <w:tcPr>
            <w:tcW w:w="1200" w:type="dxa"/>
            <w:vAlign w:val="bottom"/>
            <w:tcBorders>
              <w:right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572,000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572,000[2]</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572,000</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Other interest and finance costs</w:t>
            </w:r>
          </w:p>
        </w:tc>
        <w:tc>
          <w:tcPr>
            <w:tcW w:w="18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516,000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515,000[2]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515,000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Total finance costs</w:t>
            </w: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1,088,000</w:t>
            </w:r>
          </w:p>
        </w:tc>
        <w:tc>
          <w:tcPr>
            <w:tcW w:w="140" w:type="dxa"/>
            <w:vAlign w:val="bottom"/>
            <w:tcBorders>
              <w:top w:val="single" w:sz="8" w:color="CCFFCC"/>
              <w:right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1,087,000</w:t>
            </w:r>
          </w:p>
        </w:tc>
        <w:tc>
          <w:tcPr>
            <w:tcW w:w="3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1,087,000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before income tax provision</w:t>
            </w:r>
          </w:p>
        </w:tc>
        <w:tc>
          <w:tcPr>
            <w:tcW w:w="180" w:type="dxa"/>
            <w:vAlign w:val="bottom"/>
            <w:shd w:val="clear" w:color="auto" w:fill="CCFFCC"/>
          </w:tcPr>
          <w:p>
            <w:pPr>
              <w:spacing w:after="0"/>
              <w:rPr>
                <w:sz w:val="18"/>
                <w:szCs w:val="18"/>
                <w:color w:val="auto"/>
              </w:rPr>
            </w:pPr>
          </w:p>
        </w:tc>
        <w:tc>
          <w:tcPr>
            <w:tcW w:w="12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(1,210,000)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1,487,000</w:t>
            </w: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(1,351,000)</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FFCC"/>
          </w:tcPr>
          <w:p>
            <w:pPr>
              <w:spacing w:after="0"/>
              <w:rPr>
                <w:sz w:val="19"/>
                <w:szCs w:val="19"/>
                <w:color w:val="auto"/>
              </w:rPr>
            </w:pPr>
          </w:p>
        </w:tc>
        <w:tc>
          <w:tcPr>
            <w:tcW w:w="12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567,000[3]</w:t>
            </w: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395,000</w:t>
            </w:r>
          </w:p>
        </w:tc>
        <w:tc>
          <w:tcPr>
            <w:tcW w:w="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(1,192,000)</w:t>
            </w: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920,000</w:t>
            </w:r>
          </w:p>
        </w:tc>
        <w:tc>
          <w:tcPr>
            <w:tcW w:w="300" w:type="dxa"/>
            <w:vAlign w:val="bottom"/>
            <w:shd w:val="clear" w:color="auto" w:fill="CCFFCC"/>
          </w:tcPr>
          <w:p>
            <w:pPr>
              <w:spacing w:after="0"/>
              <w:rPr>
                <w:sz w:val="21"/>
                <w:szCs w:val="21"/>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(1,746,000)</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2,666,000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right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20" w:type="dxa"/>
            <w:vAlign w:val="bottom"/>
            <w:tcBorders>
              <w:top w:val="single" w:sz="8" w:color="CCFFCC"/>
              <w:bottom w:val="single" w:sz="8" w:color="CCFFCC"/>
            </w:tcBorders>
            <w:shd w:val="clear" w:color="auto" w:fill="CCFFCC"/>
          </w:tcPr>
          <w:p>
            <w:pPr>
              <w:ind w:left="140"/>
              <w:spacing w:after="0" w:line="190"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(0.19</w:t>
            </w:r>
          </w:p>
        </w:tc>
        <w:tc>
          <w:tcPr>
            <w:tcW w:w="140" w:type="dxa"/>
            <w:vAlign w:val="bottom"/>
            <w:tcBorders>
              <w:top w:val="single" w:sz="8" w:color="CCFFCC"/>
              <w:bottom w:val="single" w:sz="8" w:color="CCFFCC"/>
              <w:right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.14</w:t>
            </w:r>
          </w:p>
        </w:tc>
        <w:tc>
          <w:tcPr>
            <w:tcW w:w="30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16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0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6,395,698</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5,743,319[4]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20" w:type="dxa"/>
            <w:vAlign w:val="bottom"/>
            <w:tcBorders>
              <w:top w:val="single" w:sz="8" w:color="CCFFCC"/>
              <w:bottom w:val="single" w:sz="8" w:color="CCFFCC"/>
            </w:tcBorders>
            <w:shd w:val="clear" w:color="auto" w:fill="CCFFCC"/>
          </w:tcPr>
          <w:p>
            <w:pPr>
              <w:ind w:left="140"/>
              <w:spacing w:after="0" w:line="190"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CFFCC"/>
          </w:tcPr>
          <w:p>
            <w:pPr>
              <w:spacing w:after="0"/>
              <w:rPr>
                <w:sz w:val="17"/>
                <w:szCs w:val="17"/>
                <w:color w:val="auto"/>
              </w:rPr>
            </w:pPr>
          </w:p>
        </w:tc>
        <w:tc>
          <w:tcPr>
            <w:tcW w:w="10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6,395,698</w:t>
            </w:r>
          </w:p>
        </w:tc>
        <w:tc>
          <w:tcPr>
            <w:tcW w:w="140" w:type="dxa"/>
            <w:vAlign w:val="bottom"/>
            <w:tcBorders>
              <w:top w:val="single" w:sz="8" w:color="CCFFCC"/>
              <w:bottom w:val="single" w:sz="8" w:color="CCFFCC"/>
              <w:right w:val="single" w:sz="8" w:color="auto"/>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spacing w:after="0"/>
              <w:rPr>
                <w:sz w:val="17"/>
                <w:szCs w:val="17"/>
                <w:color w:val="auto"/>
              </w:rPr>
            </w:pPr>
          </w:p>
        </w:tc>
        <w:tc>
          <w:tcPr>
            <w:tcW w:w="10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6,539,312</w:t>
            </w:r>
          </w:p>
        </w:tc>
        <w:tc>
          <w:tcPr>
            <w:tcW w:w="300" w:type="dxa"/>
            <w:vAlign w:val="bottom"/>
            <w:tcBorders>
              <w:top w:val="single" w:sz="8" w:color="CCFFCC"/>
              <w:bottom w:val="single" w:sz="8" w:color="CCFFCC"/>
            </w:tcBorders>
            <w:shd w:val="clear" w:color="auto" w:fill="CCFFCC"/>
          </w:tcPr>
          <w:p>
            <w:pPr>
              <w:jc w:val="right"/>
              <w:spacing w:after="0" w:line="190" w:lineRule="exact"/>
              <w:rPr>
                <w:sz w:val="20"/>
                <w:szCs w:val="20"/>
                <w:color w:val="auto"/>
              </w:rPr>
            </w:pPr>
            <w:r>
              <w:rPr>
                <w:rFonts w:ascii="Arial" w:cs="Arial" w:eastAsia="Arial" w:hAnsi="Arial"/>
                <w:sz w:val="18"/>
                <w:szCs w:val="18"/>
                <w:color w:val="auto"/>
                <w:w w:val="99"/>
              </w:rPr>
              <w:t>[5]</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16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0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248"/>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adjustment assumes the Company amortized intangible assets since January 1, 2011.</w:t>
      </w:r>
    </w:p>
    <w:p>
      <w:pPr>
        <w:spacing w:after="0" w:line="23" w:lineRule="exact"/>
        <w:rPr>
          <w:rFonts w:ascii="Arial" w:cs="Arial" w:eastAsia="Arial" w:hAnsi="Arial"/>
          <w:sz w:val="18"/>
          <w:szCs w:val="18"/>
          <w:color w:val="auto"/>
        </w:rPr>
      </w:pPr>
    </w:p>
    <w:p>
      <w:pPr>
        <w:ind w:right="440" w:firstLine="332"/>
        <w:spacing w:after="0" w:line="250" w:lineRule="auto"/>
        <w:tabs>
          <w:tab w:leader="none" w:pos="5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adjustment is designed to state interest expense and other finance costs as if acquisition of the Isaac Mizrahi Business and related financing occurred January 1, 2011.</w:t>
      </w:r>
    </w:p>
    <w:p>
      <w:pPr>
        <w:ind w:left="580" w:hanging="248"/>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tax expense is adjusted to reflect an effective 38% income tax rate.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ind w:right="140" w:firstLine="656"/>
        <w:spacing w:after="0" w:line="258"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 number of basic common shares presented on a pro-forma basis for the Prior Six Months is equal to the number of shares that were outstanding immediately after the acquisition of the Isaac Mizrahi Business.</w:t>
      </w:r>
    </w:p>
    <w:p>
      <w:pPr>
        <w:spacing w:after="0" w:line="1" w:lineRule="exact"/>
        <w:rPr>
          <w:rFonts w:ascii="Arial" w:cs="Arial" w:eastAsia="Arial" w:hAnsi="Arial"/>
          <w:sz w:val="18"/>
          <w:szCs w:val="18"/>
          <w:color w:val="auto"/>
        </w:rPr>
      </w:pPr>
    </w:p>
    <w:p>
      <w:pPr>
        <w:ind w:right="80" w:firstLine="656"/>
        <w:spacing w:after="0" w:line="255"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 number of common shares, on a diluted basis presented on a pro-forma basis for the Prior Six Months is equal to the number of shares that were outstanding immediately after the acquisition of the Isaac Mizrahi Business plus options and warrants that could be exercised into additional common shares measured immediately after the acquisition of the Isaac Mizrahi Business.</w:t>
      </w:r>
    </w:p>
    <w:p>
      <w:pPr>
        <w:spacing w:after="0" w:line="19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Net Licensing and Other Revenue. </w:t>
      </w:r>
      <w:r>
        <w:rPr>
          <w:rFonts w:ascii="Arial" w:cs="Arial" w:eastAsia="Arial" w:hAnsi="Arial"/>
          <w:sz w:val="18"/>
          <w:szCs w:val="18"/>
          <w:color w:val="auto"/>
        </w:rPr>
        <w:t>Total revenues for the Current Six Months remained flat at $5.8 million compared to the Prior Six Months. Revenues of</w:t>
      </w:r>
      <w:r>
        <w:rPr>
          <w:rFonts w:ascii="Arial" w:cs="Arial" w:eastAsia="Arial" w:hAnsi="Arial"/>
          <w:sz w:val="18"/>
          <w:szCs w:val="18"/>
          <w:i w:val="1"/>
          <w:iCs w:val="1"/>
          <w:color w:val="auto"/>
        </w:rPr>
        <w:t xml:space="preserve"> </w:t>
      </w:r>
      <w:r>
        <w:rPr>
          <w:rFonts w:ascii="Arial" w:cs="Arial" w:eastAsia="Arial" w:hAnsi="Arial"/>
          <w:sz w:val="18"/>
          <w:szCs w:val="18"/>
          <w:color w:val="auto"/>
        </w:rPr>
        <w:t>$1,174,000 recognized in the Prior Six Months from amortization of a one-time payment received by the Predecessor prior to 2011 not recognized by the Successor was off-set by increases in our QVC business and Liz Claiborne business in aggregate of $500,000, an increase from new license agreements of $573,000 and an increase in design and service fee income of $103,000. The Company incurred direct licensing costs of $85,000 during the Current Six Months whereby the Predecessor did not incur these costs in the Prior Six Months. The net result was a decrease in net licensing and service fee revenue by $85,000.</w:t>
      </w:r>
    </w:p>
    <w:p>
      <w:pPr>
        <w:spacing w:after="0" w:line="193"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 totaled $5,826,000 in the Current Six Months compared to $3,215,000 in the Prior Six Months. The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$2,611,000 was primarily driven by (i) an increase in general and administrative expenses of $787,000 mostly relating to executive management salaries and costs associated with being public, (ii) stock based compensation expense of $1,436,000 and (iii) an increase in design and marketing expenses of $368,000 mostly relating to costs associated with new license agreements.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Operating Income (loss). </w:t>
      </w:r>
      <w:r>
        <w:rPr>
          <w:rFonts w:ascii="Arial" w:cs="Arial" w:eastAsia="Arial" w:hAnsi="Arial"/>
          <w:sz w:val="18"/>
          <w:szCs w:val="18"/>
          <w:color w:val="auto"/>
        </w:rPr>
        <w:t>Operating income (loss) for the Current Six Months was ($122,000) compared to $2,574,000 for the Prior Year Six Months.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our operating income was primarily the result of the increase in operating expenses as noted above.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Interest and Finance Costs</w:t>
      </w:r>
      <w:r>
        <w:rPr>
          <w:rFonts w:ascii="Arial" w:cs="Arial" w:eastAsia="Arial" w:hAnsi="Arial"/>
          <w:sz w:val="18"/>
          <w:szCs w:val="18"/>
          <w:color w:val="auto"/>
        </w:rPr>
        <w:t>. Interest and finance costs remained even for the Current Six Months compared to the Prior Year Six Months, although on an</w:t>
      </w:r>
      <w:r>
        <w:rPr>
          <w:rFonts w:ascii="Arial" w:cs="Arial" w:eastAsia="Arial" w:hAnsi="Arial"/>
          <w:sz w:val="18"/>
          <w:szCs w:val="18"/>
          <w:i w:val="1"/>
          <w:iCs w:val="1"/>
          <w:color w:val="auto"/>
        </w:rPr>
        <w:t xml:space="preserve"> </w:t>
      </w:r>
      <w:r>
        <w:rPr>
          <w:rFonts w:ascii="Arial" w:cs="Arial" w:eastAsia="Arial" w:hAnsi="Arial"/>
          <w:sz w:val="18"/>
          <w:szCs w:val="18"/>
          <w:color w:val="auto"/>
        </w:rPr>
        <w:t>actual basis the Predecessor had no interest or other finance costs.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taxes were lower for the Current Six Months compared to the Prior Six Months by $585,000. The Current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provision (benefit) is inclusive of a deferred tax benefit of $82,000 resulting in an effective tax rate of (1.5%), whereas the Prior Six Months has an effective tax rate of 38%. The primary differences is the Current Quarter’s net income (loss) before income taxes is $2,697,000 lower than the Prior Six Months and the current deferred tax benefit has been reduced from the effect of a state and local rate allocation change resulting in a 35% adjustment to the effective tax rate by virtue of applying the rate differential to the opening net deferred tax liability. This 35% adjustment together with an additional adjustment of 1.5% for permanent differences off-sets the deferred tax benefit resulting in a 1.5% effective tax rate for the Current Six Months. The change in the Company’s state and local tax rate is based on the change in estimate of allocations between different taxing jurisdictions.</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(loss). Our net income (loss) was ($1,192,000) in the Current Six Months, compared to net income of $920,000 in the Prior Six Months,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factors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and to a lesser extent, capital expenditures. At June 30, 2012 our unrestricted cash and cash equivalents totaled $3,663,000.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term loan facility requires us to repay current interest quarterly at 8.5% per annum. Principal payments are not required until 2013.</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and capital expenditure needs for the next twelve months. We are dependent on our licensees for all of our revenues, and there is no assurance that the licensees will perform as projected.</w:t>
      </w:r>
    </w:p>
    <w:p>
      <w:pPr>
        <w:spacing w:after="0" w:line="181"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We also believe that cash from future operations as well as currently available cash will be sufficient to satisfy our anticipated working capital requirements for the foreseeable future, including the debt service of the $13.5 million loan and making necessary upgrades to our infrastructure and technology.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ind w:right="80" w:firstLine="648"/>
        <w:spacing w:after="0" w:line="259" w:lineRule="auto"/>
        <w:rPr>
          <w:sz w:val="20"/>
          <w:szCs w:val="20"/>
          <w:color w:val="auto"/>
        </w:rPr>
      </w:pPr>
      <w:r>
        <w:rPr>
          <w:rFonts w:ascii="Arial" w:cs="Arial" w:eastAsia="Arial" w:hAnsi="Arial"/>
          <w:sz w:val="18"/>
          <w:szCs w:val="18"/>
          <w:color w:val="auto"/>
        </w:rPr>
        <w:t>Our business model does not require significant capital expenditures, nor does it require us to advance expenses such as inventory. Although we are limited to $400,000 per year in capital expenditures under the loan agreement, we estimate that capital expenditures for the next twelve months will be less than this amount, including for upgrading technology and equipment and fixture needs and making necessary improvements to our leased premises. Therefore, we do not believe that this covenant will restrict its expected operations.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The Predecessor </w:t>
      </w:r>
      <w:r>
        <w:rPr>
          <w:rFonts w:ascii="Arial" w:cs="Arial" w:eastAsia="Arial" w:hAnsi="Arial"/>
          <w:sz w:val="17"/>
          <w:szCs w:val="17"/>
          <w:color w:val="auto"/>
        </w:rPr>
        <w:t>- Prior to September 29, 2011 including the Prior Year Quarter, cash flow requirements for the Isaac Mizrahi Business were funded</w:t>
      </w:r>
      <w:r>
        <w:rPr>
          <w:rFonts w:ascii="Arial" w:cs="Arial" w:eastAsia="Arial" w:hAnsi="Arial"/>
          <w:sz w:val="17"/>
          <w:szCs w:val="17"/>
          <w:i w:val="1"/>
          <w:iCs w:val="1"/>
          <w:color w:val="auto"/>
        </w:rPr>
        <w:t xml:space="preserve"> </w:t>
      </w:r>
      <w:r>
        <w:rPr>
          <w:rFonts w:ascii="Arial" w:cs="Arial" w:eastAsia="Arial" w:hAnsi="Arial"/>
          <w:sz w:val="17"/>
          <w:szCs w:val="17"/>
          <w:color w:val="auto"/>
        </w:rPr>
        <w:t>by IM Ready, and cash management functions were not performed at the Isaac Mizrahi Business level. The Isaac Mizrahi Business did not maintain a separate cash account and it is not possible to determine the cash flows directly attributable to the Isaac Mizrahi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provided by operating activities for the Current Quarter increased by approximately $1 million. This increase in net cash for the Current Quarter was primarily due to Current Six Month net loss of $1,192,000 and off-set by adjustments for non-cash items of $2,221,000. These adjustments consist of stock based compensation of $1,436,000, non-cash interest and other finance costs of $443,000, depreciation and amortization of $424,000, less deferred income tax provision of $82,000. The net change in operating assets and liabilities was ($4,000). There were no comparable results for the prior period.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$91,000 for the Current Quarter. The Company reduced restricted cash by $175,000 by depositing this sum into a refundable security deposit with our landlord. The Company purchased equipment and fixtures of $91,000. There were no comparable results for the prior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provided by financing activities was $27,000 for the Current Quarter. The Company received a refund of $22,000 for finance costs. The Company made principal payments of $8,000 under its capital lease obligations and had a net increase of $16,000 in installment obligations. The Company incurred expenses related to equity and recapitalization of $3,000. There were no comparable results for the prior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continue to seek to expand and diversify the types of licensed products being produced under the Isaac Mizrahi brand, as well as diversify the distribution channels within which licensed products are sold, in an effort to reduce dependence on any particular retailer, consumer or market sector. The success of our company, however, will still remain largely dependent on our ability to build and maintain brand awareness and contract with and retain key licensees and on our licensees’ ability to accurately predict upcoming fashion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8%, the expected effect on net income would be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filed or submitted under the Securities Exchange Act of 1934 (the "Exchange Act") is recorded, processed, summarized and reported, within the time period specified in the SEC's rules and forms. Disclosure controls and procedures include, without limitation, controls and procedures designed to ensure that information required to be disclosed in the reports filed under the Exchange Act are accumulated and communicated to management, including our Chief Executive Officer ("CEO") and Chief Financial Officer ("CFO"), as appropriate, to allow timely decisions regarding required disclosure. As of the end of the period covered by this report, we carried out an evaluation, under the supervision and with participation of our management, including our CEO and CFO, of the effectiveness of the design and operation of our disclosure controls and procedures. Based upon and as of June 30, 2012, the date of that evaluation, the CEO and CFO concluded that our disclosure controls and procedures are effective to ensure that information required to be disclosed in the reports we file and submit under the Exchange Act are recorded, processed, summarized and reported as and when required.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1, Item 1A, “Risk Factors” of our Annual Report on Form 10-K for the year ended December 31, 2011 are not the only risks we face. Additional risks and uncertainties not currently known to us or that we currently deem to be immaterial also may materially adversely affect our financial condition and/or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Rule 13a-14(a)/15d-14(a) Certification (CEO)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31.2 Rule 13a-14(a)/15d-14(a) Certification (CFO)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32.1 Section 1350 Certification (CEO)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32.2 Section 1350 Certification (CFO)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14, 2012</w:t>
            </w:r>
          </w:p>
        </w:tc>
        <w:tc>
          <w:tcPr>
            <w:tcW w:w="2400" w:type="dxa"/>
            <w:vAlign w:val="bottom"/>
          </w:tcPr>
          <w:p>
            <w:pPr>
              <w:ind w:left="19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560" w:type="dxa"/>
            <w:vAlign w:val="bottom"/>
          </w:tcPr>
          <w:p>
            <w:pPr>
              <w:spacing w:after="0"/>
              <w:rPr>
                <w:sz w:val="24"/>
                <w:szCs w:val="24"/>
                <w:color w:val="auto"/>
              </w:rPr>
            </w:pPr>
          </w:p>
        </w:tc>
        <w:tc>
          <w:tcPr>
            <w:tcW w:w="2400" w:type="dxa"/>
            <w:vAlign w:val="bottom"/>
          </w:tcPr>
          <w:p>
            <w:pPr>
              <w:ind w:left="19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w:t>
            </w: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2012,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August 14, 2012</w:t>
            </w:r>
          </w:p>
        </w:tc>
        <w:tc>
          <w:tcPr>
            <w:tcW w:w="8080" w:type="dxa"/>
            <w:vAlign w:val="bottom"/>
            <w:gridSpan w:val="2"/>
          </w:tcPr>
          <w:p>
            <w:pPr>
              <w:ind w:left="2160"/>
              <w:spacing w:after="0"/>
              <w:rPr>
                <w:sz w:val="20"/>
                <w:szCs w:val="20"/>
                <w:color w:val="auto"/>
              </w:rPr>
            </w:pPr>
            <w:r>
              <w:rPr>
                <w:rFonts w:ascii="Arial" w:cs="Arial" w:eastAsia="Arial" w:hAnsi="Arial"/>
                <w:sz w:val="18"/>
                <w:szCs w:val="18"/>
                <w:color w:val="auto"/>
              </w:rPr>
              <w:t>By:  /s/ Robert W. D’Loren</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48"/>
        </w:trPr>
        <w:tc>
          <w:tcPr>
            <w:tcW w:w="3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2012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August 14, 2012</w:t>
            </w:r>
          </w:p>
        </w:tc>
        <w:tc>
          <w:tcPr>
            <w:tcW w:w="8080" w:type="dxa"/>
            <w:vAlign w:val="bottom"/>
            <w:gridSpan w:val="2"/>
          </w:tcPr>
          <w:p>
            <w:pPr>
              <w:ind w:left="2160"/>
              <w:spacing w:after="0"/>
              <w:rPr>
                <w:sz w:val="20"/>
                <w:szCs w:val="20"/>
                <w:color w:val="auto"/>
              </w:rPr>
            </w:pPr>
            <w:r>
              <w:rPr>
                <w:rFonts w:ascii="Arial" w:cs="Arial" w:eastAsia="Arial" w:hAnsi="Arial"/>
                <w:sz w:val="18"/>
                <w:szCs w:val="18"/>
                <w:color w:val="auto"/>
              </w:rPr>
              <w:t>By:  /s/ James Haran</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June 30, 2012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August 14, 2012</w:t>
            </w:r>
          </w:p>
        </w:tc>
        <w:tc>
          <w:tcPr>
            <w:tcW w:w="7900" w:type="dxa"/>
            <w:vAlign w:val="bottom"/>
            <w:gridSpan w:val="2"/>
          </w:tcPr>
          <w:p>
            <w:pPr>
              <w:ind w:left="2300"/>
              <w:spacing w:after="0"/>
              <w:rPr>
                <w:sz w:val="20"/>
                <w:szCs w:val="20"/>
                <w:color w:val="auto"/>
              </w:rPr>
            </w:pPr>
            <w:r>
              <w:rPr>
                <w:rFonts w:ascii="Arial" w:cs="Arial" w:eastAsia="Arial" w:hAnsi="Arial"/>
                <w:sz w:val="18"/>
                <w:szCs w:val="18"/>
                <w:color w:val="auto"/>
              </w:rPr>
              <w:t>By:  /s/ Robert W. D’Loren</w:t>
            </w:r>
          </w:p>
        </w:tc>
      </w:tr>
      <w:tr>
        <w:trPr>
          <w:trHeight w:val="195"/>
        </w:trPr>
        <w:tc>
          <w:tcPr>
            <w:tcW w:w="3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48"/>
        </w:trPr>
        <w:tc>
          <w:tcPr>
            <w:tcW w:w="35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June 30, 2012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August 14, 2012</w:t>
            </w:r>
          </w:p>
        </w:tc>
        <w:tc>
          <w:tcPr>
            <w:tcW w:w="7900" w:type="dxa"/>
            <w:vAlign w:val="bottom"/>
            <w:gridSpan w:val="2"/>
          </w:tcPr>
          <w:p>
            <w:pPr>
              <w:ind w:left="2300"/>
              <w:spacing w:after="0"/>
              <w:rPr>
                <w:sz w:val="20"/>
                <w:szCs w:val="20"/>
                <w:color w:val="auto"/>
              </w:rPr>
            </w:pPr>
            <w:r>
              <w:rPr>
                <w:rFonts w:ascii="Arial" w:cs="Arial" w:eastAsia="Arial" w:hAnsi="Arial"/>
                <w:sz w:val="18"/>
                <w:szCs w:val="18"/>
                <w:color w:val="auto"/>
              </w:rPr>
              <w:t>By:  /s/ James Haran</w:t>
            </w:r>
          </w:p>
        </w:tc>
      </w:tr>
      <w:tr>
        <w:trPr>
          <w:trHeight w:val="195"/>
        </w:trPr>
        <w:tc>
          <w:tcPr>
            <w:tcW w:w="3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5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5"/>
    </w:lvl>
  </w:abstractNum>
  <w:abstractNum w:abstractNumId="10">
    <w:nsid w:val="431BD7B7"/>
    <w:multiLevelType w:val="hybridMultilevel"/>
    <w:lvl w:ilvl="0">
      <w:lvlJc w:val="left"/>
      <w:lvlText w:val="%1."/>
      <w:numFmt w:val="decimal"/>
      <w:start w:val="6"/>
    </w:lvl>
  </w:abstractNum>
  <w:abstractNum w:abstractNumId="11">
    <w:nsid w:val="3F2DBA31"/>
    <w:multiLevelType w:val="hybridMultilevel"/>
    <w:lvl w:ilvl="0">
      <w:lvlJc w:val="left"/>
      <w:lvlText w:val="%1."/>
      <w:numFmt w:val="decimal"/>
      <w:start w:val="7"/>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4"/>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2019-12-09T13:14:23Z</dcterms:created>
  <dcterms:modified xsi:type="dcterms:W3CDTF">2019-12-09T13:14:23Z</dcterms:modified>
</cp:coreProperties>
</file>