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40" w:right="2240" w:hanging="2189"/>
        <w:spacing w:after="0" w:line="282" w:lineRule="auto"/>
        <w:tabs>
          <w:tab w:leader="none" w:pos="26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SECURITES EXCHANGE ACT OF 1934</w:t>
      </w:r>
    </w:p>
    <w:p>
      <w:pPr>
        <w:spacing w:after="0" w:line="18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NETFABRIC HOLDINGS,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Small Business Issuer as Specified in Its Charter)</w:t>
      </w:r>
    </w:p>
    <w:p>
      <w:pPr>
        <w:sectPr>
          <w:pgSz w:w="11900" w:h="16838" w:orient="portrait"/>
          <w:cols w:equalWidth="0" w:num="1">
            <w:col w:w="11220"/>
          </w:cols>
          <w:pgMar w:left="240" w:top="472" w:right="439" w:bottom="1440" w:gutter="0" w:footer="0" w:header="0"/>
        </w:sectPr>
      </w:pPr>
    </w:p>
    <w:p>
      <w:pPr>
        <w:spacing w:after="0" w:line="238"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680" w:space="720"/>
            <w:col w:w="3820"/>
          </w:cols>
          <w:pgMar w:left="240" w:top="472" w:right="439" w:bottom="1440" w:gutter="0" w:footer="0" w:header="0"/>
          <w:type w:val="continuous"/>
        </w:sectPr>
      </w:pP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(Address of Principal Executive Offices)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299 Cherry Hill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Parsippany, New Jersey 07054</w:t>
      </w:r>
    </w:p>
    <w:p>
      <w:pPr>
        <w:sectPr>
          <w:pgSz w:w="11900" w:h="16838" w:orient="portrait"/>
          <w:cols w:equalWidth="0" w:num="1">
            <w:col w:w="11220"/>
          </w:cols>
          <w:pgMar w:left="240" w:top="472" w:right="439" w:bottom="1440" w:gutter="0" w:footer="0" w:header="0"/>
          <w:type w:val="continuous"/>
        </w:sectPr>
      </w:pP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(973)-537-0077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address, if changed since last report)</w:t>
      </w:r>
    </w:p>
    <w:p>
      <w:pPr>
        <w:spacing w:after="0" w:line="23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 Yes o No x</w:t>
      </w:r>
    </w:p>
    <w:p>
      <w:pPr>
        <w:spacing w:after="0" w:line="208"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Website, if any, every Interactive Data File required to be submitted and posted pursuant to Rule 405 of Regulation S-T ( 232.405 of this chapter) during the preceding 12 months ( or for such shorter period that the registrant was required to submit and post such files) Yes o No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r5eporting company.</w:t>
      </w:r>
    </w:p>
    <w:p>
      <w:pPr>
        <w:sectPr>
          <w:pgSz w:w="11900" w:h="16838" w:orient="portrait"/>
          <w:cols w:equalWidth="0" w:num="1">
            <w:col w:w="11220"/>
          </w:cols>
          <w:pgMar w:left="240" w:top="472" w:right="439" w:bottom="1440" w:gutter="0" w:footer="0" w:header="0"/>
          <w:type w:val="continuous"/>
        </w:sect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4180"/>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80" w:space="720"/>
            <w:col w:w="5520"/>
          </w:cols>
          <w:pgMar w:left="240" w:top="472"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 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 x</w:t>
      </w:r>
    </w:p>
    <w:p>
      <w:pPr>
        <w:spacing w:after="0" w:line="200" w:lineRule="exact"/>
        <w:rPr>
          <w:sz w:val="24"/>
          <w:szCs w:val="24"/>
          <w:color w:val="auto"/>
        </w:rPr>
      </w:pPr>
    </w:p>
    <w:p>
      <w:pPr>
        <w:sectPr>
          <w:pgSz w:w="11900" w:h="16838" w:orient="portrait"/>
          <w:cols w:equalWidth="0" w:num="2">
            <w:col w:w="4980" w:space="720"/>
            <w:col w:w="5520"/>
          </w:cols>
          <w:pgMar w:left="240" w:top="472" w:right="4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o  No x</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 As of January 8, 2010, 97,053,044 shares of common stock, $.001 par value per share, of the issuer were outstanding. Transitional Small Business Disclosure Format (check one):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20" w:type="dxa"/>
            <w:vAlign w:val="bottom"/>
          </w:tcPr>
          <w:p>
            <w:pPr>
              <w:ind w:left="3660"/>
              <w:spacing w:after="0"/>
              <w:rPr>
                <w:sz w:val="20"/>
                <w:szCs w:val="20"/>
                <w:color w:val="auto"/>
              </w:rPr>
            </w:pPr>
            <w:r>
              <w:rPr>
                <w:rFonts w:ascii="Arial" w:cs="Arial" w:eastAsia="Arial" w:hAnsi="Arial"/>
                <w:sz w:val="18"/>
                <w:szCs w:val="18"/>
                <w:b w:val="1"/>
                <w:bCs w:val="1"/>
                <w:color w:val="auto"/>
              </w:rPr>
              <w:t>NETFABRIC HOLDINGS, INC.</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20" w:type="dxa"/>
            <w:vAlign w:val="bottom"/>
          </w:tcPr>
          <w:p>
            <w:pPr>
              <w:ind w:left="4640"/>
              <w:spacing w:after="0"/>
              <w:rPr>
                <w:sz w:val="20"/>
                <w:szCs w:val="20"/>
                <w:color w:val="auto"/>
              </w:rPr>
            </w:pPr>
            <w:r>
              <w:rPr>
                <w:rFonts w:ascii="Arial" w:cs="Arial" w:eastAsia="Arial" w:hAnsi="Arial"/>
                <w:sz w:val="18"/>
                <w:szCs w:val="18"/>
                <w:color w:val="auto"/>
              </w:rPr>
              <w:t>INDEX</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FINANCIAL INFORMATION</w:t>
            </w:r>
          </w:p>
        </w:tc>
        <w:tc>
          <w:tcPr>
            <w:tcW w:w="6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Financial Statements (Unaudited)</w:t>
            </w:r>
          </w:p>
        </w:tc>
        <w:tc>
          <w:tcPr>
            <w:tcW w:w="6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Balance Sheets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Statements of Operations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Statements of Cash Flows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Notes to Interim Condensed Consolidated Financial Statements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Controls and Procedures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Legal Proceedings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Defaults Upon Senior Securities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Submission of Matters to a Vote of Security Holders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Exhibits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Signatures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358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2008</w:t>
            </w:r>
          </w:p>
        </w:tc>
        <w:tc>
          <w:tcPr>
            <w:tcW w:w="18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(See 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37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6,061</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Trade accounts receivable, net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2,872,553</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1,758,821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184,511</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3,063,125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1,808,057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5,704,000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intangibles, net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494,676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659,687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22,921</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9,430,748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8,401,002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Convertible debentures, net of unamortized discounts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Short term borrowings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4,493,912</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443,128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revenues and customer advances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572,680</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Convertible note, net of unamortized discount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1,317,232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Revolving note, net of unamortized discount</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1,389,376</w:t>
            </w:r>
          </w:p>
        </w:tc>
        <w:tc>
          <w:tcPr>
            <w:tcW w:w="2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FFCC"/>
          </w:tcPr>
          <w:p>
            <w:pPr>
              <w:spacing w:after="0"/>
              <w:rPr>
                <w:sz w:val="21"/>
                <w:szCs w:val="21"/>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9,116,328</w:t>
            </w:r>
          </w:p>
        </w:tc>
        <w:tc>
          <w:tcPr>
            <w:tcW w:w="1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6,745,206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 net of unamortized discount</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9,116,328</w:t>
            </w: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7,685,438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 :</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$.001 par value, authorized shares 200,000,000, 97,053,044 and 96,053,044 shares issued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outstanding, respectively</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97,053</w:t>
            </w:r>
          </w:p>
        </w:tc>
        <w:tc>
          <w:tcPr>
            <w:tcW w:w="1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38,043,162</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37,802,940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(37,825,795)</w:t>
            </w: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(37,183,429)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314,420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9,430,748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8,401,002</w:t>
            </w:r>
          </w:p>
        </w:tc>
        <w:tc>
          <w:tcPr>
            <w:tcW w:w="0" w:type="dxa"/>
            <w:vAlign w:val="bottom"/>
          </w:tcPr>
          <w:p>
            <w:pPr>
              <w:spacing w:after="0"/>
              <w:rPr>
                <w:sz w:val="1"/>
                <w:szCs w:val="1"/>
                <w:color w:val="auto"/>
              </w:rPr>
            </w:pPr>
          </w:p>
        </w:tc>
      </w:tr>
      <w:tr>
        <w:trPr>
          <w:trHeight w:val="21"/>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w w:val="94"/>
              </w:rPr>
              <w:t>The accompanying notes should be read in conjunction with the condensed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280" w:type="dxa"/>
            <w:vAlign w:val="bottom"/>
            <w:gridSpan w:val="2"/>
          </w:tcPr>
          <w:p>
            <w:pPr>
              <w:jc w:val="right"/>
              <w:ind w:right="23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1"/>
              </w:rPr>
              <w:t>Three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1"/>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Nine Months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Nine 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4"/>
          </w:tcPr>
          <w:p>
            <w:pPr>
              <w:ind w:left="620"/>
              <w:spacing w:after="0"/>
              <w:rPr>
                <w:sz w:val="20"/>
                <w:szCs w:val="20"/>
                <w:color w:val="auto"/>
              </w:rPr>
            </w:pPr>
            <w:r>
              <w:rPr>
                <w:rFonts w:ascii="Arial" w:cs="Arial" w:eastAsia="Arial" w:hAnsi="Arial"/>
                <w:sz w:val="13"/>
                <w:szCs w:val="13"/>
                <w:b w:val="1"/>
                <w:bCs w:val="1"/>
                <w:color w:val="auto"/>
                <w:w w:val="95"/>
              </w:rPr>
              <w:t>September 30, 2008</w:t>
            </w:r>
          </w:p>
        </w:tc>
        <w:tc>
          <w:tcPr>
            <w:tcW w:w="1240" w:type="dxa"/>
            <w:vAlign w:val="bottom"/>
            <w:gridSpan w:val="4"/>
          </w:tcPr>
          <w:p>
            <w:pPr>
              <w:ind w:left="80"/>
              <w:spacing w:after="0"/>
              <w:rPr>
                <w:sz w:val="20"/>
                <w:szCs w:val="20"/>
                <w:color w:val="auto"/>
              </w:rPr>
            </w:pPr>
            <w:r>
              <w:rPr>
                <w:rFonts w:ascii="Arial" w:cs="Arial" w:eastAsia="Arial" w:hAnsi="Arial"/>
                <w:sz w:val="13"/>
                <w:szCs w:val="13"/>
                <w:b w:val="1"/>
                <w:bCs w:val="1"/>
                <w:color w:val="auto"/>
                <w:w w:val="93"/>
              </w:rPr>
              <w:t>September 30, 2007</w:t>
            </w:r>
          </w:p>
        </w:tc>
        <w:tc>
          <w:tcPr>
            <w:tcW w:w="1260" w:type="dxa"/>
            <w:vAlign w:val="bottom"/>
            <w:gridSpan w:val="4"/>
          </w:tcPr>
          <w:p>
            <w:pPr>
              <w:ind w:left="100"/>
              <w:spacing w:after="0"/>
              <w:rPr>
                <w:sz w:val="20"/>
                <w:szCs w:val="20"/>
                <w:color w:val="auto"/>
              </w:rPr>
            </w:pPr>
            <w:r>
              <w:rPr>
                <w:rFonts w:ascii="Arial" w:cs="Arial" w:eastAsia="Arial" w:hAnsi="Arial"/>
                <w:sz w:val="13"/>
                <w:szCs w:val="13"/>
                <w:b w:val="1"/>
                <w:bCs w:val="1"/>
                <w:color w:val="auto"/>
                <w:w w:val="93"/>
              </w:rPr>
              <w:t>September 30, 2008</w:t>
            </w:r>
          </w:p>
        </w:tc>
        <w:tc>
          <w:tcPr>
            <w:tcW w:w="1240" w:type="dxa"/>
            <w:vAlign w:val="bottom"/>
            <w:gridSpan w:val="4"/>
          </w:tcPr>
          <w:p>
            <w:pPr>
              <w:ind w:left="100"/>
              <w:spacing w:after="0"/>
              <w:rPr>
                <w:sz w:val="20"/>
                <w:szCs w:val="20"/>
                <w:color w:val="auto"/>
              </w:rPr>
            </w:pPr>
            <w:r>
              <w:rPr>
                <w:rFonts w:ascii="Arial" w:cs="Arial" w:eastAsia="Arial" w:hAnsi="Arial"/>
                <w:sz w:val="13"/>
                <w:szCs w:val="13"/>
                <w:b w:val="1"/>
                <w:bCs w:val="1"/>
                <w:color w:val="auto"/>
                <w:w w:val="92"/>
              </w:rPr>
              <w:t>September 30, 2007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Revenues</w:t>
            </w:r>
          </w:p>
        </w:tc>
        <w:tc>
          <w:tcPr>
            <w:tcW w:w="5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ind w:left="620"/>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6,269,900</w:t>
            </w:r>
          </w:p>
        </w:tc>
        <w:tc>
          <w:tcPr>
            <w:tcW w:w="140" w:type="dxa"/>
            <w:vAlign w:val="bottom"/>
            <w:shd w:val="clear" w:color="auto" w:fill="CCFFCC"/>
          </w:tcPr>
          <w:p>
            <w:pPr>
              <w:spacing w:after="0"/>
              <w:rPr>
                <w:sz w:val="12"/>
                <w:szCs w:val="12"/>
                <w:color w:val="auto"/>
              </w:rPr>
            </w:pPr>
          </w:p>
        </w:tc>
        <w:tc>
          <w:tcPr>
            <w:tcW w:w="180" w:type="dxa"/>
            <w:vAlign w:val="bottom"/>
            <w:gridSpan w:val="2"/>
            <w:shd w:val="clear" w:color="auto" w:fill="CCFFCC"/>
          </w:tcPr>
          <w:p>
            <w:pPr>
              <w:ind w:left="8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3,636,721</w:t>
            </w:r>
          </w:p>
        </w:tc>
        <w:tc>
          <w:tcPr>
            <w:tcW w:w="220" w:type="dxa"/>
            <w:vAlign w:val="bottom"/>
            <w:gridSpan w:val="2"/>
            <w:shd w:val="clear" w:color="auto" w:fill="CCFFCC"/>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17,618,214</w:t>
            </w:r>
          </w:p>
        </w:tc>
        <w:tc>
          <w:tcPr>
            <w:tcW w:w="200" w:type="dxa"/>
            <w:vAlign w:val="bottom"/>
            <w:gridSpan w:val="2"/>
            <w:shd w:val="clear" w:color="auto" w:fill="CCFFCC"/>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12,016,185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tcBorders>
              <w:top w:val="single" w:sz="8" w:color="CCFFCC"/>
            </w:tcBorders>
          </w:tcPr>
          <w:p>
            <w:pPr>
              <w:spacing w:after="0"/>
              <w:rPr>
                <w:sz w:val="11"/>
                <w:szCs w:val="11"/>
                <w:color w:val="auto"/>
              </w:rPr>
            </w:pPr>
          </w:p>
        </w:tc>
        <w:tc>
          <w:tcPr>
            <w:tcW w:w="520" w:type="dxa"/>
            <w:vAlign w:val="bottom"/>
            <w:tcBorders>
              <w:top w:val="single" w:sz="8" w:color="CCFFCC"/>
            </w:tcBorders>
          </w:tcPr>
          <w:p>
            <w:pPr>
              <w:spacing w:after="0"/>
              <w:rPr>
                <w:sz w:val="11"/>
                <w:szCs w:val="11"/>
                <w:color w:val="auto"/>
              </w:rPr>
            </w:pPr>
          </w:p>
        </w:tc>
        <w:tc>
          <w:tcPr>
            <w:tcW w:w="62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201,222</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86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5"/>
              </w:rPr>
              <w:t>Direct employee compensation and consultant expenses (includes share based compensation of $18,250, $11,396</w:t>
            </w:r>
          </w:p>
        </w:tc>
        <w:tc>
          <w:tcPr>
            <w:tcW w:w="620" w:type="dxa"/>
            <w:vAlign w:val="bottom"/>
          </w:tcPr>
          <w:p>
            <w:pPr>
              <w:jc w:val="right"/>
              <w:ind w:right="117"/>
              <w:spacing w:after="0" w:line="121" w:lineRule="exact"/>
              <w:rPr>
                <w:sz w:val="20"/>
                <w:szCs w:val="20"/>
                <w:color w:val="auto"/>
              </w:rPr>
            </w:pPr>
            <w:r>
              <w:rPr>
                <w:rFonts w:ascii="Arial" w:cs="Arial" w:eastAsia="Arial" w:hAnsi="Arial"/>
                <w:sz w:val="13"/>
                <w:szCs w:val="13"/>
                <w:color w:val="auto"/>
                <w:w w:val="89"/>
              </w:rPr>
              <w:t>$37,830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320"/>
              <w:spacing w:after="0"/>
              <w:rPr>
                <w:sz w:val="20"/>
                <w:szCs w:val="20"/>
                <w:color w:val="auto"/>
              </w:rPr>
            </w:pPr>
            <w:r>
              <w:rPr>
                <w:rFonts w:ascii="Arial" w:cs="Arial" w:eastAsia="Arial" w:hAnsi="Arial"/>
                <w:sz w:val="13"/>
                <w:szCs w:val="13"/>
                <w:color w:val="auto"/>
              </w:rPr>
              <w:t>and $34,188)</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5,048,795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2,788,865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13,940,766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9,272,344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40" w:type="dxa"/>
            <w:vAlign w:val="bottom"/>
            <w:shd w:val="clear" w:color="auto" w:fill="CCFFCC"/>
          </w:tcPr>
          <w:p>
            <w:pPr>
              <w:ind w:left="160"/>
              <w:spacing w:after="0" w:line="121" w:lineRule="exact"/>
              <w:rPr>
                <w:sz w:val="20"/>
                <w:szCs w:val="20"/>
                <w:color w:val="auto"/>
              </w:rPr>
            </w:pPr>
            <w:r>
              <w:rPr>
                <w:rFonts w:ascii="Arial" w:cs="Arial" w:eastAsia="Arial" w:hAnsi="Arial"/>
                <w:sz w:val="13"/>
                <w:szCs w:val="13"/>
                <w:color w:val="auto"/>
                <w:w w:val="86"/>
              </w:rPr>
              <w:t>Selling, general and administrative expenses (includes share based compensation of $78,824, $83,237,</w:t>
            </w:r>
          </w:p>
        </w:tc>
        <w:tc>
          <w:tcPr>
            <w:tcW w:w="1240" w:type="dxa"/>
            <w:vAlign w:val="bottom"/>
            <w:gridSpan w:val="3"/>
            <w:shd w:val="clear" w:color="auto" w:fill="CCFFCC"/>
          </w:tcPr>
          <w:p>
            <w:pPr>
              <w:ind w:left="40"/>
              <w:spacing w:after="0" w:line="121" w:lineRule="exact"/>
              <w:rPr>
                <w:sz w:val="20"/>
                <w:szCs w:val="20"/>
                <w:color w:val="auto"/>
              </w:rPr>
            </w:pPr>
            <w:r>
              <w:rPr>
                <w:rFonts w:ascii="Arial" w:cs="Arial" w:eastAsia="Arial" w:hAnsi="Arial"/>
                <w:sz w:val="13"/>
                <w:szCs w:val="13"/>
                <w:color w:val="auto"/>
              </w:rPr>
              <w:t>$163,392 and</w:t>
            </w:r>
          </w:p>
        </w:tc>
        <w:tc>
          <w:tcPr>
            <w:tcW w:w="9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FFCC"/>
          </w:tcPr>
          <w:p>
            <w:pPr>
              <w:ind w:left="320"/>
              <w:spacing w:after="0"/>
              <w:rPr>
                <w:sz w:val="20"/>
                <w:szCs w:val="20"/>
                <w:color w:val="auto"/>
              </w:rPr>
            </w:pPr>
            <w:r>
              <w:rPr>
                <w:rFonts w:ascii="Arial" w:cs="Arial" w:eastAsia="Arial" w:hAnsi="Arial"/>
                <w:sz w:val="13"/>
                <w:szCs w:val="13"/>
                <w:color w:val="auto"/>
              </w:rPr>
              <w:t>$337,076)</w:t>
            </w:r>
          </w:p>
        </w:tc>
        <w:tc>
          <w:tcPr>
            <w:tcW w:w="5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981,070</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1,070,006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2,876,702</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3,978,922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160"/>
              <w:spacing w:after="0" w:line="135" w:lineRule="exact"/>
              <w:rPr>
                <w:sz w:val="20"/>
                <w:szCs w:val="20"/>
                <w:color w:val="auto"/>
              </w:rPr>
            </w:pPr>
            <w:r>
              <w:rPr>
                <w:rFonts w:ascii="Arial" w:cs="Arial" w:eastAsia="Arial" w:hAnsi="Arial"/>
                <w:sz w:val="13"/>
                <w:szCs w:val="13"/>
                <w:color w:val="auto"/>
              </w:rPr>
              <w:t>Non-cash goodwill impairment</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3,397,451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5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71,706</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41,466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227,751</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239,229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top w:val="single" w:sz="8" w:color="CCFFCC"/>
            </w:tcBorders>
          </w:tcPr>
          <w:p>
            <w:pPr>
              <w:ind w:left="320"/>
              <w:spacing w:after="0" w:line="135" w:lineRule="exact"/>
              <w:rPr>
                <w:sz w:val="20"/>
                <w:szCs w:val="20"/>
                <w:color w:val="auto"/>
              </w:rPr>
            </w:pPr>
            <w:r>
              <w:rPr>
                <w:rFonts w:ascii="Arial" w:cs="Arial" w:eastAsia="Arial" w:hAnsi="Arial"/>
                <w:sz w:val="13"/>
                <w:szCs w:val="13"/>
                <w:color w:val="auto"/>
              </w:rPr>
              <w:t>Total operating expenses</w:t>
            </w:r>
          </w:p>
        </w:tc>
        <w:tc>
          <w:tcPr>
            <w:tcW w:w="520" w:type="dxa"/>
            <w:vAlign w:val="bottom"/>
            <w:tcBorders>
              <w:top w:val="single" w:sz="8" w:color="CCFFCC"/>
            </w:tcBorders>
          </w:tcPr>
          <w:p>
            <w:pPr>
              <w:spacing w:after="0"/>
              <w:rPr>
                <w:sz w:val="11"/>
                <w:szCs w:val="11"/>
                <w:color w:val="auto"/>
              </w:rPr>
            </w:pPr>
          </w:p>
        </w:tc>
        <w:tc>
          <w:tcPr>
            <w:tcW w:w="62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6,101,571</w:t>
            </w:r>
          </w:p>
        </w:tc>
        <w:tc>
          <w:tcPr>
            <w:tcW w:w="14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3,900,337</w:t>
            </w: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17,045,219</w:t>
            </w: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color w:val="auto"/>
              </w:rPr>
              <w:t>16,887,946</w:t>
            </w: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FFCC"/>
            </w:tcBorders>
            <w:shd w:val="clear" w:color="auto" w:fill="CCFFCC"/>
          </w:tcPr>
          <w:p>
            <w:pPr>
              <w:spacing w:after="0"/>
              <w:rPr>
                <w:sz w:val="12"/>
                <w:szCs w:val="12"/>
                <w:color w:val="auto"/>
              </w:rPr>
            </w:pPr>
          </w:p>
        </w:tc>
        <w:tc>
          <w:tcPr>
            <w:tcW w:w="520" w:type="dxa"/>
            <w:vAlign w:val="bottom"/>
            <w:tcBorders>
              <w:bottom w:val="single" w:sz="8" w:color="CCFFCC"/>
            </w:tcBorders>
            <w:shd w:val="clear" w:color="auto" w:fill="CCFFCC"/>
          </w:tcPr>
          <w:p>
            <w:pPr>
              <w:spacing w:after="0"/>
              <w:rPr>
                <w:sz w:val="12"/>
                <w:szCs w:val="12"/>
                <w:color w:val="auto"/>
              </w:rPr>
            </w:pPr>
          </w:p>
        </w:tc>
        <w:tc>
          <w:tcPr>
            <w:tcW w:w="6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auto"/>
            </w:tcBorders>
            <w:shd w:val="clear" w:color="auto" w:fill="CCFFCC"/>
          </w:tcPr>
          <w:p>
            <w:pPr>
              <w:spacing w:after="0"/>
              <w:rPr>
                <w:sz w:val="12"/>
                <w:szCs w:val="12"/>
                <w:color w:val="auto"/>
              </w:rPr>
            </w:pPr>
          </w:p>
        </w:tc>
        <w:tc>
          <w:tcPr>
            <w:tcW w:w="940" w:type="dxa"/>
            <w:vAlign w:val="bottom"/>
            <w:tcBorders>
              <w:bottom w:val="single" w:sz="8" w:color="auto"/>
            </w:tcBorders>
            <w:shd w:val="clear" w:color="auto" w:fill="CCFFCC"/>
          </w:tcPr>
          <w:p>
            <w:pPr>
              <w:spacing w:after="0"/>
              <w:rPr>
                <w:sz w:val="12"/>
                <w:szCs w:val="12"/>
                <w:color w:val="auto"/>
              </w:rPr>
            </w:pPr>
          </w:p>
        </w:tc>
        <w:tc>
          <w:tcPr>
            <w:tcW w:w="140" w:type="dxa"/>
            <w:vAlign w:val="bottom"/>
            <w:tcBorders>
              <w:bottom w:val="single" w:sz="8" w:color="CCFFCC"/>
            </w:tcBorders>
            <w:shd w:val="clear" w:color="auto" w:fill="CCFFCC"/>
          </w:tcPr>
          <w:p>
            <w:pPr>
              <w:spacing w:after="0"/>
              <w:rPr>
                <w:sz w:val="12"/>
                <w:szCs w:val="12"/>
                <w:color w:val="auto"/>
              </w:rPr>
            </w:pPr>
          </w:p>
        </w:tc>
        <w:tc>
          <w:tcPr>
            <w:tcW w:w="8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auto"/>
            </w:tcBorders>
            <w:shd w:val="clear" w:color="auto" w:fill="CCFFCC"/>
          </w:tcPr>
          <w:p>
            <w:pPr>
              <w:spacing w:after="0"/>
              <w:rPr>
                <w:sz w:val="12"/>
                <w:szCs w:val="12"/>
                <w:color w:val="auto"/>
              </w:rPr>
            </w:pPr>
          </w:p>
        </w:tc>
        <w:tc>
          <w:tcPr>
            <w:tcW w:w="940" w:type="dxa"/>
            <w:vAlign w:val="bottom"/>
            <w:tcBorders>
              <w:bottom w:val="single" w:sz="8" w:color="auto"/>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20" w:type="dxa"/>
            <w:vAlign w:val="bottom"/>
            <w:tcBorders>
              <w:bottom w:val="single" w:sz="8" w:color="auto"/>
            </w:tcBorders>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spacing w:after="0"/>
              <w:rPr>
                <w:sz w:val="12"/>
                <w:szCs w:val="12"/>
                <w:color w:val="auto"/>
              </w:rPr>
            </w:pPr>
          </w:p>
        </w:tc>
        <w:tc>
          <w:tcPr>
            <w:tcW w:w="1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auto"/>
            </w:tcBorders>
            <w:shd w:val="clear" w:color="auto" w:fill="CCFFCC"/>
          </w:tcPr>
          <w:p>
            <w:pPr>
              <w:spacing w:after="0"/>
              <w:rPr>
                <w:sz w:val="12"/>
                <w:szCs w:val="12"/>
                <w:color w:val="auto"/>
              </w:rPr>
            </w:pPr>
          </w:p>
        </w:tc>
        <w:tc>
          <w:tcPr>
            <w:tcW w:w="940" w:type="dxa"/>
            <w:vAlign w:val="bottom"/>
            <w:tcBorders>
              <w:bottom w:val="single" w:sz="8" w:color="auto"/>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color w:val="auto"/>
              </w:rPr>
              <w:t>Income (loss) from operations</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168,329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(263,616)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572,995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(4,871,761)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b w:val="1"/>
                <w:bCs w:val="1"/>
                <w:color w:val="auto"/>
              </w:rPr>
              <w:t>OTHER INCOME / (EXPENSE):</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160"/>
              <w:spacing w:after="0" w:line="135" w:lineRule="exact"/>
              <w:rPr>
                <w:sz w:val="20"/>
                <w:szCs w:val="20"/>
                <w:color w:val="auto"/>
              </w:rPr>
            </w:pPr>
            <w:r>
              <w:rPr>
                <w:rFonts w:ascii="Arial" w:cs="Arial" w:eastAsia="Arial" w:hAnsi="Arial"/>
                <w:sz w:val="13"/>
                <w:szCs w:val="13"/>
                <w:color w:val="auto"/>
              </w:rPr>
              <w:t>Amortization of debt discounts</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(234,104)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(182,799)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(602,365)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(552,272)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Amortization of debt issuance costs</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(118,000)</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(112,000)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(371,373)</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(112,000)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160"/>
              <w:spacing w:after="0" w:line="135" w:lineRule="exact"/>
              <w:rPr>
                <w:sz w:val="20"/>
                <w:szCs w:val="20"/>
                <w:color w:val="auto"/>
              </w:rPr>
            </w:pPr>
            <w:r>
              <w:rPr>
                <w:rFonts w:ascii="Arial" w:cs="Arial" w:eastAsia="Arial" w:hAnsi="Arial"/>
                <w:sz w:val="13"/>
                <w:szCs w:val="13"/>
                <w:color w:val="auto"/>
              </w:rPr>
              <w:t>Interest and bank charges</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(53,664)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(78,359)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(241,623)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(240,202)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Debt extinguishment costs</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(539,043)</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(539,043)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Total other income / (expense)</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(405,768)</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(912,201)</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(1,215,361)</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(1,443,517)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Loss before provision for income taxes</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(237,439)</w:t>
            </w: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(1,175,817)</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(642,366)</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(6,315,278)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Provision for income taxes</w:t>
            </w:r>
          </w:p>
        </w:tc>
        <w:tc>
          <w:tcPr>
            <w:tcW w:w="5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tcBorders>
              <w:top w:val="single" w:sz="8" w:color="CCFFCC"/>
            </w:tcBorders>
          </w:tcPr>
          <w:p>
            <w:pPr>
              <w:spacing w:after="0"/>
              <w:rPr>
                <w:sz w:val="11"/>
                <w:szCs w:val="11"/>
                <w:color w:val="auto"/>
              </w:rPr>
            </w:pPr>
          </w:p>
        </w:tc>
        <w:tc>
          <w:tcPr>
            <w:tcW w:w="520" w:type="dxa"/>
            <w:vAlign w:val="bottom"/>
            <w:tcBorders>
              <w:top w:val="single" w:sz="8" w:color="CCFFCC"/>
            </w:tcBorders>
          </w:tcPr>
          <w:p>
            <w:pPr>
              <w:spacing w:after="0"/>
              <w:rPr>
                <w:sz w:val="11"/>
                <w:szCs w:val="11"/>
                <w:color w:val="auto"/>
              </w:rPr>
            </w:pPr>
          </w:p>
        </w:tc>
        <w:tc>
          <w:tcPr>
            <w:tcW w:w="62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LOSS FROM CONTINUING OPERATIONS</w:t>
            </w:r>
          </w:p>
        </w:tc>
        <w:tc>
          <w:tcPr>
            <w:tcW w:w="5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(237,439)</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(1,175,817)</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(642,366)</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(6,315,278)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tcBorders>
              <w:top w:val="single" w:sz="8" w:color="CCFFCC"/>
            </w:tcBorders>
          </w:tcPr>
          <w:p>
            <w:pPr>
              <w:spacing w:after="0"/>
              <w:rPr>
                <w:sz w:val="11"/>
                <w:szCs w:val="11"/>
                <w:color w:val="auto"/>
              </w:rPr>
            </w:pPr>
          </w:p>
        </w:tc>
        <w:tc>
          <w:tcPr>
            <w:tcW w:w="520" w:type="dxa"/>
            <w:vAlign w:val="bottom"/>
            <w:tcBorders>
              <w:top w:val="single" w:sz="8" w:color="CCFFCC"/>
            </w:tcBorders>
          </w:tcPr>
          <w:p>
            <w:pPr>
              <w:spacing w:after="0"/>
              <w:rPr>
                <w:sz w:val="11"/>
                <w:szCs w:val="11"/>
                <w:color w:val="auto"/>
              </w:rPr>
            </w:pPr>
          </w:p>
        </w:tc>
        <w:tc>
          <w:tcPr>
            <w:tcW w:w="62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DISCONTINUED OPERATIONS:</w:t>
            </w: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ind w:left="320"/>
              <w:spacing w:after="0" w:line="135" w:lineRule="exact"/>
              <w:rPr>
                <w:sz w:val="20"/>
                <w:szCs w:val="20"/>
                <w:color w:val="auto"/>
              </w:rPr>
            </w:pPr>
            <w:r>
              <w:rPr>
                <w:rFonts w:ascii="Arial" w:cs="Arial" w:eastAsia="Arial" w:hAnsi="Arial"/>
                <w:sz w:val="13"/>
                <w:szCs w:val="13"/>
                <w:color w:val="auto"/>
              </w:rPr>
              <w:t>Loss from operations of discontinued operations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(53,398)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520" w:type="dxa"/>
            <w:vAlign w:val="bottom"/>
          </w:tcPr>
          <w:p>
            <w:pPr>
              <w:spacing w:after="0"/>
              <w:rPr>
                <w:sz w:val="11"/>
                <w:szCs w:val="11"/>
                <w:color w:val="auto"/>
              </w:rPr>
            </w:pPr>
          </w:p>
        </w:tc>
        <w:tc>
          <w:tcPr>
            <w:tcW w:w="7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(237,439)</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(1,175,817)</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(642,366)</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(6,368,676)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color w:val="auto"/>
              </w:rPr>
              <w:t>Net loss from continuing operations per common share, basic and diluted</w:t>
            </w:r>
          </w:p>
        </w:tc>
        <w:tc>
          <w:tcPr>
            <w:tcW w:w="520" w:type="dxa"/>
            <w:vAlign w:val="bottom"/>
          </w:tcPr>
          <w:p>
            <w:pPr>
              <w:spacing w:after="0"/>
              <w:rPr>
                <w:sz w:val="11"/>
                <w:szCs w:val="11"/>
                <w:color w:val="auto"/>
              </w:rPr>
            </w:pPr>
          </w:p>
        </w:tc>
        <w:tc>
          <w:tcPr>
            <w:tcW w:w="7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(0.00)</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(0.01)</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(0.01)</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color w:val="auto"/>
              </w:rPr>
              <w:t>Net loss from discontinued operations per common share, basic and diluted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color w:val="auto"/>
              </w:rPr>
              <w:t>Net loss per common share, basic and diluted</w:t>
            </w:r>
          </w:p>
        </w:tc>
        <w:tc>
          <w:tcPr>
            <w:tcW w:w="520" w:type="dxa"/>
            <w:vAlign w:val="bottom"/>
          </w:tcPr>
          <w:p>
            <w:pPr>
              <w:spacing w:after="0"/>
              <w:rPr>
                <w:sz w:val="11"/>
                <w:szCs w:val="11"/>
                <w:color w:val="auto"/>
              </w:rPr>
            </w:pPr>
          </w:p>
        </w:tc>
        <w:tc>
          <w:tcPr>
            <w:tcW w:w="72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(0.00)</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(0.01)</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(0.01)</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tcPr>
          <w:p>
            <w:pPr>
              <w:spacing w:after="0" w:line="135" w:lineRule="exact"/>
              <w:rPr>
                <w:sz w:val="20"/>
                <w:szCs w:val="20"/>
                <w:color w:val="auto"/>
              </w:rPr>
            </w:pPr>
            <w:r>
              <w:rPr>
                <w:rFonts w:ascii="Arial" w:cs="Arial" w:eastAsia="Arial" w:hAnsi="Arial"/>
                <w:sz w:val="13"/>
                <w:szCs w:val="13"/>
                <w:color w:val="auto"/>
              </w:rPr>
              <w:t>Weighted average number of shares outstanding, basic and diluted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97,053,044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91,148,533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96,764,723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80,763,179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should be read in conjunction with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8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rPr>
              <w:t>NETFABRIC HOLDINGS, INC. AND SUBSIDIARIES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8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rPr>
              <w:t>UNAUDITED CONDENSED CONSOLIDATED</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w w:val="99"/>
              </w:rPr>
              <w:t>STATEMENT OF CASH FLOWS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NINE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4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0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2008</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September 30,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3140" w:type="dxa"/>
            <w:vAlign w:val="bottom"/>
            <w:gridSpan w:val="2"/>
            <w:shd w:val="clear" w:color="auto" w:fill="CCFFCC"/>
          </w:tcPr>
          <w:p>
            <w:pPr>
              <w:ind w:left="304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(642,366)</w:t>
            </w:r>
          </w:p>
        </w:tc>
        <w:tc>
          <w:tcPr>
            <w:tcW w:w="160" w:type="dxa"/>
            <w:vAlign w:val="bottom"/>
            <w:gridSpan w:val="2"/>
            <w:shd w:val="clear" w:color="auto" w:fill="CCFFCC"/>
          </w:tcPr>
          <w:p>
            <w:pPr>
              <w:ind w:left="8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(6,368,676)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1"/>
              </w:rPr>
              <w:t>Adjustments to reconcile net loss to net cash provided by (used in)</w:t>
            </w:r>
          </w:p>
        </w:tc>
        <w:tc>
          <w:tcPr>
            <w:tcW w:w="31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operating activities:</w:t>
            </w: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Common stock, options and warrants issued for services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charge for employee share based compensation</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201,222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Non-cash charge on debt extinguishment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539,043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financing fees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Amortization of debt discounts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552,272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Amortization of debt issuance costs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371,373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Non-cash goodwill impairment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227,751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Trade accounts receivable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(1,113,732)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(150,499)</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514,948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(111,752)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44,653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Deferred revenues and advances</w:t>
            </w:r>
          </w:p>
        </w:tc>
        <w:tc>
          <w:tcPr>
            <w:tcW w:w="30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460,680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689,821</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Net cash provided by continuing operations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used in discontinued operations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FFCC"/>
          </w:tcPr>
          <w:p>
            <w:pPr>
              <w:spacing w:after="0"/>
              <w:rPr>
                <w:sz w:val="2"/>
                <w:szCs w:val="2"/>
                <w:color w:val="auto"/>
              </w:rPr>
            </w:pPr>
          </w:p>
        </w:tc>
        <w:tc>
          <w:tcPr>
            <w:tcW w:w="30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(50,471)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304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5,981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(11,504)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(95,010)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(5,523)</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top w:val="single" w:sz="8" w:color="CCFFCC"/>
            </w:tcBorders>
          </w:tcPr>
          <w:p>
            <w:pPr>
              <w:spacing w:after="0"/>
              <w:rPr>
                <w:sz w:val="18"/>
                <w:szCs w:val="18"/>
                <w:color w:val="auto"/>
              </w:rPr>
            </w:pPr>
          </w:p>
        </w:tc>
        <w:tc>
          <w:tcPr>
            <w:tcW w:w="30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FINANCING ACTIVITIES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Proceed from a private sale of common stock</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Short term borrowings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760,000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Repayment of short term borrowings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(880,000)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 of convertible debentures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Proceeds from issuance (repayment) of revolving note,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Debt issuance costs</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(371,373)</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FFCC"/>
          </w:tcPr>
          <w:p>
            <w:pPr>
              <w:spacing w:after="0"/>
              <w:rPr>
                <w:sz w:val="2"/>
                <w:szCs w:val="2"/>
                <w:color w:val="auto"/>
              </w:rPr>
            </w:pPr>
          </w:p>
        </w:tc>
        <w:tc>
          <w:tcPr>
            <w:tcW w:w="30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(368,917)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140,913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304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beginning of period</w:t>
            </w:r>
          </w:p>
        </w:tc>
        <w:tc>
          <w:tcPr>
            <w:tcW w:w="3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15,224</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top w:val="single" w:sz="8" w:color="CCFFCC"/>
            </w:tcBorders>
          </w:tcPr>
          <w:p>
            <w:pPr>
              <w:spacing w:after="0"/>
              <w:rPr>
                <w:sz w:val="18"/>
                <w:szCs w:val="18"/>
                <w:color w:val="auto"/>
              </w:rPr>
            </w:pPr>
          </w:p>
        </w:tc>
        <w:tc>
          <w:tcPr>
            <w:tcW w:w="30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end of period</w:t>
            </w:r>
          </w:p>
        </w:tc>
        <w:tc>
          <w:tcPr>
            <w:tcW w:w="3140" w:type="dxa"/>
            <w:vAlign w:val="bottom"/>
            <w:gridSpan w:val="2"/>
            <w:shd w:val="clear" w:color="auto" w:fill="CCFFCC"/>
          </w:tcPr>
          <w:p>
            <w:pPr>
              <w:ind w:left="304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6,061</w:t>
            </w:r>
          </w:p>
        </w:tc>
        <w:tc>
          <w:tcPr>
            <w:tcW w:w="140" w:type="dxa"/>
            <w:vAlign w:val="bottom"/>
            <w:shd w:val="clear" w:color="auto" w:fill="CCFFCC"/>
          </w:tcPr>
          <w:p>
            <w:pPr>
              <w:spacing w:after="0"/>
              <w:rPr>
                <w:sz w:val="22"/>
                <w:szCs w:val="22"/>
                <w:color w:val="auto"/>
              </w:rPr>
            </w:pPr>
          </w:p>
        </w:tc>
        <w:tc>
          <w:tcPr>
            <w:tcW w:w="160" w:type="dxa"/>
            <w:vAlign w:val="bottom"/>
            <w:gridSpan w:val="2"/>
            <w:shd w:val="clear" w:color="auto" w:fill="CCFFCC"/>
          </w:tcPr>
          <w:p>
            <w:pPr>
              <w:ind w:left="8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FFCC"/>
            </w:tcBorders>
          </w:tcPr>
          <w:p>
            <w:pPr>
              <w:spacing w:after="0"/>
              <w:rPr>
                <w:sz w:val="18"/>
                <w:szCs w:val="18"/>
                <w:color w:val="auto"/>
              </w:rPr>
            </w:pPr>
          </w:p>
        </w:tc>
        <w:tc>
          <w:tcPr>
            <w:tcW w:w="30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3140" w:type="dxa"/>
            <w:vAlign w:val="bottom"/>
            <w:gridSpan w:val="2"/>
          </w:tcPr>
          <w:p>
            <w:pPr>
              <w:ind w:left="304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243,000</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should be read in conjunction with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August 24, 2009, the “Company” along with its wholly-owned subsidiary, NetFabric Technologies, Inc., d/b/a UCA Services, Inc. (“UCA”) and Fortify Infrastructure Services, Inc.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issued by UCA to Fortify was cancelled, releases of certain obligations of the parties were granted as specified in the Amendment , and the commencement date and measurement period for the earn-out and bonuses provided for in the Option Agreement were modified.</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March 13, 2009, the Company along with its wholly-owned subsidiary, UCA entered into a Convertible Note Purchase Agreement dated March 12, 2009 with Fortify. Pursuant to the Convertible Note Purchase Agreement, Fortify purchased a Secured Convertible Promissory Note (the “Note”) from UCA in the principal amount of $5 million with the Company being a guarantor for UCA’s borrowings. Fortify, UCA and the Company also entered into the Option Agreement. Pursuant to the Option Agreement, Fortify has an option to acquire all of the outstanding shares of common stock of UCA.</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holders of a majority of the Company’s outstanding common stock had previously approved the terms of the Option Agreement by a written consent as detailed in the Company’s Definitive Schedule 14 C Information Statement filed with the Securities and Exchange Commission (the “SEC”) on July 9,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MANAGEMENT'S PLANS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NetFabric Holdings, Inc. ("Holdings" or the "Company") (formerly known as Houston Operating Company) was incorporated under the laws of the State of Delaware on August 31, 1989. On December 9, 2004, Holdings entered into an exchange agreement (the "Acquisition Agreement" or "Share Exchange") with all of the stockholders of NetFabric Corporation, a Delaware corporation ("NetFabric") whereby Holdings acquired all of the issued and outstanding capital stock of NetFabric and NetFabric became a wholly-owned subsidiary of Holdings. Upon completion of the merger, the NetFabric stockholders controlled approximately 95% of the then issued and outstanding stock. NetFabric's business activities were the activities of the merged company and Holdings was a shell corporation without any operations. As a result of these factors, this transaction was treated as a reverse merger for financial reporting purposes.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NetFabric was incorporated on December 17, 2002 and began operations in July 2003. NetFabric developed and marketed Voice over Internet Protocol ("VoIP") appliances that simplified the integration of standard telephone systems with an IP infrastructure. On May 5, 2006, the Company announced its decision to exit from the hardware-based VoIP communications product line (including resale of transport services) that is targeted at small to mid-sized businesses ("SMBs"). In accordance with Statement of Financial Accounting Standards No. 144 "Accounting for the Impairment or Disposal of Long-Lived Assets", ("SFAS No. 144"), the Company has presented the results of operations from its VoIP business segment as “discontinued operations” in the accompanying consolidated balance sheets, statements of operations and statements of cash flows (Note 3).</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20, 2005, Holdings entered into and closed on a share exchange agreement ("Exchange Agreement"), whereby Holdings acquired all of the issued and outstanding shares of UCA Services, Inc., a New Jersey company ("UCA Services") , from its shareholders in exchange for the issuance of 24,096,154 shares of common stock of Holdings (see Note 8). Holdings emerged from the development stage upon the acquisition of UCA Services. In May 2007, UCA Services changed its legal name to NetFabric Technologies, Inc.</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UCA Services, a New Jersey company, is an information technology ("IT") services company that serves the information and communications needs of a wide range of Fortune 500 and small to mid-size business clients in the financial markets industry as well as the pharmaceutical, health care and hospitality sectors. UCA Services delivers a broad range of IT services in the practice areas of infrastructure builds and maintenance, managed services and professional services.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Management's plans</w:t>
      </w:r>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on a going concern basis. As shown in the accompanying unaudited condensed consolidated financial statements, the Company has incurred accumulated losses totaling $37,825,795 and has a working capital deficit of $6,053,023 at September 30, 2008. These factors, among others, indicate that the Company may be unable to continue as a going concern. The unaudited condensed consolidated financial statements do not include any adjustments that might result from the outcome of this uncertainty.</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Management recognizes that the Company's continuation as a going concern is dependent upon its ability to generate sufficient cash flow to allow the Company to continue the development of its business plans and satisfy its current and long-term obligations on a timely basis. The Company believes that it will be able to complete the necessary steps in order to meet its cash requirements throughout fiscal 2008 and continue its business development efforts.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the company entered into a transaction with Fortify Infrastructure Services, Inc. See Note 2. Pursuant the transaction, the Company will transfer its ownership interest in UCA Services. Out of proceeds from the transaction, the Company repaid all of its debt. After the eventual divesture of UCA, the Company will not have any operations. However, the Company will be debt free. The Company will explore strategic alternatives including merger with another entity. Currently, the Company does not have any agreement or understanding with any entity and there is no assurance that such a transaction will ever be consummated .</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 INTERIM FINANCIAL STATEMENTS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("SEC"), except for the condensed consolidated balance sheet as of December 31, 2008, which was derived from audited financial statements. Certain information and footnote disclosures normally included in financial statements prepared in accordance with generally accepted accounting principles in the United States of America have been omitted pursuant to such rules and regulations. However the Company believes that the disclosures are adequate to make the information presented not misleading. The financial statements reflect all adjustments (consisting only of normal recurring adjustments) that are, in the opinion of management, necessary for a fair presentation of the Company's financial position and results of operations. The operating results for the three months ended September 30, 2009 and September30, 2008 are not necessarily indicative of the results to be expected for any other interim period or any future year. The accompanying unaudited condensed consolidated financial statements should be read in conjunction with the Company's December 31, 2007 consolidated financial statements, including the notes thereto, which are included in the Company's Annual Report on Form 10-K for the fiscal year ended December 31, 2007 filed on February 18,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the prior periods’ consolidated financial statements to conform to the current period’s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the condensed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The accounting estimates that require management's most difficult and subjective judgments include provisions for bad debts, depreciable/amortizable lives, impairment of long-lived assets, accounting for goodwill and other intangible assets, the fair value of the Company's common stock, the fair value of options and warrants issued for services, the allocation of proceeds from certain financings to equity instruments and the computation of other reserves. Because of the uncertainty inherent in such estimates, actual results may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 The Company reduces its credit risk by placing its cash and cash equivalents with major financial institutions with high credit ratings. At times, such amounts may exceed Federally insured limits. The Company reduces its credit risk related to accounts receivable by routinely assessing the financial strength of its customers and maintaining an appropriate allowance for doubtful accounts.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services have been provided primarily to a limited number of clients located in a variety of industries. The Company had revenues from one client representing a total of 54% of revenues during the three months ended September 30, 2008. For the nine months ended September 30, 2008, the Company had revenues from two clients representing a total of 62% (49% and 13%, respectively).</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generally does not require its clients to provide collateral. Additionally, the Company is subject to a concentration of credit risk with respect to its accounts receivable. The Company had 2 clients accounting for 67% (56% and 11%, respectively) of total gross accounts receivable as of September 30,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calculates earnings (loss) per share in accordance with SFAS No. 128, "Earnings per Share" (“SFAS No. 128”). SFAS No. 128 computes basic earnings (loss) per share by dividing the net income (loss) by the weighted average number of shares of common stock outstanding during the period. Diluted earnings (loss) per share is computed by dividing the net income (loss) by the weighted average number of shares of common stock outstanding during the period plus the effects of any dilutive securities.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Diluted earnings (loss) per share considers the impact of potentially dilutive securities except in periods in which there is a loss because the inclusion of the potential common shares would have an anti-dilutive effect. The Company's potentially dilutive securities include common shares which may be issued upon exercise of its stock options, exercise of warrants or conversion of convertible debt.</w:t>
      </w:r>
    </w:p>
    <w:p>
      <w:pPr>
        <w:spacing w:after="0" w:line="2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Diluted loss per share for the three and six months ended September 30, 2008 and 2007 exclude potentially issuable common shares of approximately 12,408,856 and 14,353,856, respectively, primarily related to the Company's outstanding stock options, warrants and convertible debt, because the assumed issuance of such potential common shares is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No. 157”), which defines fair value, establishes a framework for using fair value to measure assets and liabilities, and expands disclosures about fair value measurements. SFAS No. 157 applies whenever other statements require or permit assets or liabilities to be measured at fair value. SFAS No. 157 is effective for fiscal years beginning after November 15, 2007. The Company adopted SFAS No. 157 effective January 1, 2008 and determined that it did not have a material effect on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2007, FASB issued FASB Statement No. 159, The Fair Value Option for Financial Assets and Financial Liabilities. (“FAS 159”) is effective for fiscal years beginning after November 15, 2007. Early adoption is permitted subject to specific requirements outlined in FAS 159. Therefore, calendar-year companies may be able to adopt FAS 159 for their first quarter 2007 financial statements.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FAS 159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also establishes presentation and disclosure requirements designed to draw comparisons between entities that elect different measurement attributes for similar assets and liabilities. Management is currently evaluating the effect of this pronouncement on financial statements.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2007, the FASB issued SFAS No. 141(R), “Business Combinations,” which replaces FASB Statement No. 141, “Business Combinations.” SFAS No. 141(R) establishes principles and requirements for how an acquirer recognizes and measures in its financial statements the identifiable assets acquired, the liabilities assumed, any non-controlling interest in the acquired, and the goodwill acquired. The Statement also establishes disclosure requirements that will enable users to evaluate the nature and financial effects of the business combination. SFAS No. 141(R) is effective for business combinations for which the acquisition date is on or after the beginning of the first annual reporting period beginning on or after December 15, 2008. The Company has not completed its evaluation of the potential impact, if any, of the adoption of SFAS No. 141(R) on its consolidated financial position, results of operations, and cash flows.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Accounting Research Bulletin No. 51,” which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The Statement also establishes reporting requirements that provide sufficient disclosures that clearly identify and distinguish between the interests of the parent and the interests of the noncontrolling owners. SFAS No.160 is effective as of the beginning of an entity’s fiscal year that begins after December 15, 2008 (our Fiscal 2010). The Company has not completed its evaluation of the potential impact, if any, of the adoption of SFAS No. 160 on our consolidated financial position, results of operations, and cash flows.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effective, accounting standards, if currently adopted will have material effect on the Company’s consolidated financial position,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DEBT FINANCINGS</w:t>
      </w:r>
    </w:p>
    <w:p>
      <w:pPr>
        <w:spacing w:after="0" w:line="25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During the six months ended September30,2008, the Company and Laurus entered into a waiver/ amendment agreement, pursuant to which Laurus waived the Company’s non compliance of certain terms of the Security Agreement. In exchange for the waivers the Company issued Laurus 1,000,000 shares of its common stock. The fair value of the shares was $40,000 and was charged to operations expense during the six months ended September30,2008.</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September 30,2008 the Company borrowed an aggregate of $760,000 from six individuals and repaid an aggregate of $880,000 of previously borrowed amounts. The aggregate amount of short term borrowings outstanding as of September 30, 2008 is $850,000. The borrowings outstanding at September 30, 2008 are due at various dates through February 2009. The borrowings are unsecured and bear nominal interest. The Company</w:t>
      </w:r>
    </w:p>
    <w:p>
      <w:pPr>
        <w:sectPr>
          <w:pgSz w:w="11900" w:h="16838" w:orient="portrait"/>
          <w:cols w:equalWidth="0" w:num="1">
            <w:col w:w="11420"/>
          </w:cols>
          <w:pgMar w:left="240" w:top="513" w:right="239" w:bottom="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paid financing costs of $371,373 to third parties and lenders and this amount is being amortized over the term of the borrowings. During three months ended September 30, 2008, $371,373 was charged to operations as amortization of debt issuance costs.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w w:val="97"/>
              </w:rPr>
              <w:t>Debt Financings consist of the following as of September 30, 2008:</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w w:val="96"/>
              </w:rPr>
              <w:t>Unamortized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Principal</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debt discount</w:t>
            </w:r>
          </w:p>
        </w:tc>
        <w:tc>
          <w:tcPr>
            <w:tcW w:w="20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Laurus Revolving Note Due in March 2009</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1,499,405</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(110,029)</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1,389,376</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Laurus Convertible Note Due in March 2009</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(182,768)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1,317,232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2006 Convertible Debentures</w:t>
            </w:r>
          </w:p>
        </w:tc>
        <w:tc>
          <w:tcPr>
            <w:tcW w:w="1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Short term borrowings</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CCFFCC"/>
          </w:tcPr>
          <w:p>
            <w:pPr>
              <w:spacing w:after="0"/>
              <w:rPr>
                <w:sz w:val="22"/>
                <w:szCs w:val="22"/>
                <w:color w:val="auto"/>
              </w:rPr>
            </w:pP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3,899,405</w:t>
            </w:r>
          </w:p>
        </w:tc>
        <w:tc>
          <w:tcPr>
            <w:tcW w:w="200" w:type="dxa"/>
            <w:vAlign w:val="bottom"/>
            <w:shd w:val="clear" w:color="auto" w:fill="CCFFCC"/>
          </w:tcPr>
          <w:p>
            <w:pPr>
              <w:spacing w:after="0"/>
              <w:rPr>
                <w:sz w:val="22"/>
                <w:szCs w:val="22"/>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(292,797)</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3,606,608</w:t>
            </w:r>
          </w:p>
        </w:tc>
        <w:tc>
          <w:tcPr>
            <w:tcW w:w="100" w:type="dxa"/>
            <w:vAlign w:val="bottom"/>
            <w:shd w:val="clear" w:color="auto" w:fill="CCFFCC"/>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40" w:type="dxa"/>
            <w:vAlign w:val="bottom"/>
            <w:tcBorders>
              <w:top w:val="single" w:sz="8" w:color="CCFFCC"/>
            </w:tcBorders>
          </w:tcPr>
          <w:p>
            <w:pPr>
              <w:spacing w:after="0"/>
              <w:rPr>
                <w:sz w:val="24"/>
                <w:szCs w:val="24"/>
                <w:color w:val="auto"/>
              </w:rPr>
            </w:pPr>
          </w:p>
        </w:tc>
        <w:tc>
          <w:tcPr>
            <w:tcW w:w="1440" w:type="dxa"/>
            <w:vAlign w:val="bottom"/>
            <w:tcBorders>
              <w:top w:val="single" w:sz="8" w:color="CCFFCC"/>
            </w:tcBorders>
          </w:tcPr>
          <w:p>
            <w:pPr>
              <w:jc w:val="right"/>
              <w:ind w:right="79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NOTE 3. STOCKHOLDERS' EQUITY</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36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w w:val="92"/>
              </w:rPr>
              <w:t>Outstanding warrant securities consist of the following at September 30,2008</w:t>
            </w: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color w:val="auto"/>
              </w:rPr>
              <w:t>Exercise</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Price</w:t>
            </w:r>
          </w:p>
        </w:tc>
        <w:tc>
          <w:tcPr>
            <w:tcW w:w="720" w:type="dxa"/>
            <w:vAlign w:val="bottom"/>
          </w:tcPr>
          <w:p>
            <w:pPr>
              <w:spacing w:after="0"/>
              <w:rPr>
                <w:sz w:val="20"/>
                <w:szCs w:val="20"/>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rPr>
              <w:t>Expiration</w:t>
            </w:r>
          </w:p>
        </w:tc>
        <w:tc>
          <w:tcPr>
            <w:tcW w:w="0" w:type="dxa"/>
            <w:vAlign w:val="bottom"/>
          </w:tcPr>
          <w:p>
            <w:pPr>
              <w:spacing w:after="0"/>
              <w:rPr>
                <w:sz w:val="1"/>
                <w:szCs w:val="1"/>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Laurus Warrants</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554,282</w:t>
            </w:r>
          </w:p>
        </w:tc>
        <w:tc>
          <w:tcPr>
            <w:tcW w:w="54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0.001</w:t>
            </w:r>
          </w:p>
        </w:tc>
        <w:tc>
          <w:tcPr>
            <w:tcW w:w="4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See (1)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2006 Private Placement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1,350,000</w:t>
            </w:r>
          </w:p>
        </w:tc>
        <w:tc>
          <w:tcPr>
            <w:tcW w:w="5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4500" w:type="dxa"/>
            <w:vAlign w:val="bottom"/>
          </w:tcPr>
          <w:p>
            <w:pPr>
              <w:ind w:left="60"/>
              <w:spacing w:after="0"/>
              <w:rPr>
                <w:sz w:val="20"/>
                <w:szCs w:val="20"/>
                <w:color w:val="auto"/>
              </w:rPr>
            </w:pPr>
            <w:r>
              <w:rPr>
                <w:rFonts w:ascii="Arial" w:cs="Arial" w:eastAsia="Arial" w:hAnsi="Arial"/>
                <w:sz w:val="18"/>
                <w:szCs w:val="18"/>
                <w:color w:val="auto"/>
              </w:rPr>
              <w:t>April to November 2009</w:t>
            </w:r>
          </w:p>
        </w:tc>
        <w:tc>
          <w:tcPr>
            <w:tcW w:w="0" w:type="dxa"/>
            <w:vAlign w:val="bottom"/>
          </w:tcPr>
          <w:p>
            <w:pPr>
              <w:spacing w:after="0"/>
              <w:rPr>
                <w:sz w:val="1"/>
                <w:szCs w:val="1"/>
                <w:color w:val="auto"/>
              </w:rPr>
            </w:pP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2007 Short Term Financing</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890,000</w:t>
            </w:r>
          </w:p>
        </w:tc>
        <w:tc>
          <w:tcPr>
            <w:tcW w:w="54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4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April to November 2010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w w:val="98"/>
              </w:rPr>
              <w:t>$0.15 to</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Others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1,766,137</w:t>
            </w:r>
          </w:p>
        </w:tc>
        <w:tc>
          <w:tcPr>
            <w:tcW w:w="14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$0.82</w:t>
            </w:r>
          </w:p>
        </w:tc>
        <w:tc>
          <w:tcPr>
            <w:tcW w:w="4500" w:type="dxa"/>
            <w:vAlign w:val="bottom"/>
          </w:tcPr>
          <w:p>
            <w:pPr>
              <w:ind w:left="60"/>
              <w:spacing w:after="0"/>
              <w:rPr>
                <w:sz w:val="20"/>
                <w:szCs w:val="20"/>
                <w:color w:val="auto"/>
              </w:rPr>
            </w:pPr>
            <w:r>
              <w:rPr>
                <w:rFonts w:ascii="Arial" w:cs="Arial" w:eastAsia="Arial" w:hAnsi="Arial"/>
                <w:sz w:val="18"/>
                <w:szCs w:val="18"/>
                <w:color w:val="auto"/>
              </w:rPr>
              <w:t>December 2008 to June 2011</w:t>
            </w:r>
          </w:p>
        </w:tc>
        <w:tc>
          <w:tcPr>
            <w:tcW w:w="0" w:type="dxa"/>
            <w:vAlign w:val="bottom"/>
          </w:tcPr>
          <w:p>
            <w:pPr>
              <w:spacing w:after="0"/>
              <w:rPr>
                <w:sz w:val="1"/>
                <w:szCs w:val="1"/>
                <w:color w:val="auto"/>
              </w:rPr>
            </w:pPr>
          </w:p>
        </w:tc>
      </w:tr>
      <w:tr>
        <w:trPr>
          <w:trHeight w:val="257"/>
        </w:trPr>
        <w:tc>
          <w:tcPr>
            <w:tcW w:w="436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4,560,419</w:t>
            </w:r>
          </w:p>
        </w:tc>
        <w:tc>
          <w:tcPr>
            <w:tcW w:w="54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45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360" w:type="dxa"/>
            <w:vAlign w:val="bottom"/>
            <w:tcBorders>
              <w:top w:val="single" w:sz="8" w:color="CCFFCC"/>
            </w:tcBorders>
          </w:tcPr>
          <w:p>
            <w:pPr>
              <w:ind w:left="500"/>
              <w:spacing w:after="0"/>
              <w:rPr>
                <w:sz w:val="20"/>
                <w:szCs w:val="20"/>
                <w:color w:val="auto"/>
              </w:rPr>
            </w:pPr>
            <w:r>
              <w:rPr>
                <w:rFonts w:ascii="Arial" w:cs="Arial" w:eastAsia="Arial" w:hAnsi="Arial"/>
                <w:sz w:val="18"/>
                <w:szCs w:val="18"/>
                <w:color w:val="auto"/>
              </w:rPr>
              <w:t>(1)  No expiration .</w:t>
            </w: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540" w:type="dxa"/>
            <w:vAlign w:val="bottom"/>
            <w:tcBorders>
              <w:top w:val="single" w:sz="8" w:color="CCFFCC"/>
            </w:tcBorders>
          </w:tcPr>
          <w:p>
            <w:pPr>
              <w:spacing w:after="0"/>
              <w:rPr>
                <w:sz w:val="19"/>
                <w:szCs w:val="19"/>
                <w:color w:val="auto"/>
              </w:rPr>
            </w:pPr>
          </w:p>
        </w:tc>
        <w:tc>
          <w:tcPr>
            <w:tcW w:w="720" w:type="dxa"/>
            <w:vAlign w:val="bottom"/>
            <w:tcBorders>
              <w:top w:val="single" w:sz="8" w:color="CCFFCC"/>
            </w:tcBorders>
          </w:tcPr>
          <w:p>
            <w:pPr>
              <w:spacing w:after="0"/>
              <w:rPr>
                <w:sz w:val="19"/>
                <w:szCs w:val="19"/>
                <w:color w:val="auto"/>
              </w:rPr>
            </w:pPr>
          </w:p>
        </w:tc>
        <w:tc>
          <w:tcPr>
            <w:tcW w:w="45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Share-based compensation expense recognized under SFAS 123(R) for the three months ended September 30, 2008 and 2007 was $97,074 and $94,633, respectively. For the nine months ended September 30, 2008 and 2007 share-based compensation expenses was $201,222 and $293,664, respectively. Share-based compensation expense recognized in the Company's condensed consolidated statements of operations includes compensation expense for share-based payment awards granted prior to, but not yet vested as of December 31, 2005, based on the grant-date fair value estimated in accordance with the provisions of SFAS 123(R).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and analysis and results of operations should be read in conjunction with the unaudited condensed consolidated financial statements and accompanying notes and the other financial information appearing elsewhere in this report and reports included herein by reference. The following discussion contains forward-looking statements that reflect our plans, estimates and beliefs. Our actual results could differ materially from those discussed in the forward-looking statements.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registered public accounting firm has indicated in their report, dated May 11, 2009, on our December 31, 2007 financial statements since we have experienced net losses since inception and have a working capital deficiency their report indicates that these matters raise substantial doubt about our ability to continue as a going concern. Our plan with regard to this matter is discussed elsewhere in this document. The consolidated financial statements do not include any adjustments that might result from the outcome of this uncertainty.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were formerly known as Houston Operating Company and were incorporated in Delaware on August 31, 1989. On December 9, 2004, we entered into an Acquisition Agreement with all of the stockholders of NetFabric Corp., a Delaware corporation. NetFabric Corp. was incorporated in Delaware on December 17, 2002 and began operations in July 2003. At the closing, which occurred simultaneously with the execution of the Acquisition Agreement, we acquired all of the issued and outstanding capital stock of NetFabric Corp. from the stockholders in exchange for an aggregate of 32,137,032 newly-issued shares of our common stock. The acquisition was accounted for as a reverse merger whereby NetFabric Corp. was treated as the acquirer. On April 19, 2005, our name was changed from Houston Operating Company to NetFabric Holdings, Inc. and our stock symbol was changed from "HOOC" to "NFBH."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UCA SERVICES, INC. ACQUISITION</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May 20, 2005, we entered into and closed on a share exchange agreement, whereby we purchased all of the issued and outstanding shares of UCA Services, Inc., a New Jersey company (“UCA Services”) from its shareholders in exchange for the issuance of 24,096,154 shares of our common stock. UCA Services is an IT services and solutions company that serves the information needs of a wide range of Fortune 500 clients in the financial markets industry and the pharmaceutical, health care and hospitality sectors. UCA Services delivers a broad range of IT services in managed services, professional services, infrastructure building and maintenance, application development and maintenance areas. The acquisition was accounted for using the purchase method of accounting with UCA Service’s results of operations included in our consolidated financial statements from the date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Prior to acquiring NetFabric Corp., Houston Operating Company did not have any operations, and we were a shell company whose primary business objective was to merge and become public.</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6"/>
          <w:szCs w:val="16"/>
          <w:color w:val="auto"/>
        </w:rPr>
        <w:t>NetFabric Corp. was a provider of hardware and services to small to mid-sized businesses ("SMBs") that utilized the Internet for telephone communications or Voice over Internet Protocol ("VoIP"). It developed and marketed appliances or Customer Premises Equipment ("CPE") that simplified the integration of standard telephone systems with an IP infrastructure. In addition, NetFabric Corp resold transport services of a third party VoIP transport provider.</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prior to the UCA Services acquisition, consisted of developing VoIP appliances, including research and product development activities. We also hired additional personnel for sales and marketing and developed our sales and marketing programs.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minimal revenues from VoIP operations, we concluded that we could not implement our original business plan for VoIP operations within our resources or with the additional capital we could raise in the near term. On May 5, 2006, our Board of Directors decided that the Company should exit the hardware-based VoIP communications product line (including resale of transport services) that is targeted to SMBs. In accordance with Statement of Financial Accounting Standards (‘SFAS’) No. 144 "Accounting for the Impairment or Disposal of Long-Lived Assets", ("SFAS No. 144"), the results of operations from the VoIP business segment has been reclassified as discontinued operations for all periods presented. After the discontinuation of VoIP operations, our only operations are that of UCA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UCA SERVICES BUSINESS</w:t>
      </w:r>
    </w:p>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UCA Services derives revenues primarily from managed IT services, professional services, application development services and business process management services. Service arrangements with customers are generally on a time and material basis or fixed-price, fixed-timeframe revenue basis. UCA Services principal operating expenses are direct employee costs, consultant expenses and selling, general and administrative expenses. The principal components of selling, general and administrative expenses are salaries of sales and support personnel, and office rent. Direct employee costs and consultant expenses are comprised primarily of the costs of consultant labor, including employees, subcontractors and independent contractors, and related employee benefits. Approximately 50% of our consultants are employees and the remainder are subcontractors and independent contractors.</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compensate most of our consultants only for the hours that we bill to our clients for projects undertaken, which allows us to better match our labor costs with our revenue generation. With respect to our consultant employees, we are responsible for employment-related taxes, medical and health care costs and workers' compensation. Labor costs are sensitive to shifts in the supply and demand of IT professionals, as well as increases in the costs of benefits and taxes.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220" w:firstLine="90"/>
        <w:spacing w:after="0" w:line="257" w:lineRule="auto"/>
        <w:rPr>
          <w:sz w:val="20"/>
          <w:szCs w:val="20"/>
          <w:color w:val="auto"/>
        </w:rPr>
      </w:pPr>
      <w:r>
        <w:rPr>
          <w:rFonts w:ascii="Arial" w:cs="Arial" w:eastAsia="Arial" w:hAnsi="Arial"/>
          <w:sz w:val="18"/>
          <w:szCs w:val="18"/>
          <w:color w:val="auto"/>
        </w:rPr>
        <w:t>As previously noted, the December 9, 2004 acquisition of NetFabric Corp. was accounted for as a reverse merger whereby NetFabric Corp. was treated as the acquirer. Accordingly, the historical financial statements of NetFabric Corp. have been presented for all periods required. NetFabric Corp. began operations in January 2003 and was a development stage company until the UCA Services acquisition. The UCA Services acquisition was accounted for using the purchase method of accounting with the results of the operations included in the Company's consolidated financial statements from the date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AND SIX MONTHS ENDED SEPTEMBER30,2008 AND 2007: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Revenues for the three months ended September 30, 2008, increased by $2,633,179 or 72.4% compared to the same period of the prior year. For the nine months ended September 30, 2008, revenues increased by $5,602,029 or 46.6%. The increase in revenues were due to new projects undertaken in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 employee compensation and consultant expenses.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Excluding non-cash share based compensation, for the three months ended September 30 ,2008, our direct employee compensation and consultant expenses increased by $2,253,076 or 81.1% to $5,030,545. For the nine months ended September 30, 2008, our direct employee compensation and consultant expenses excluding non-cash share based compensation increased by $4,664,780 or 50.5% to $13,902,936 compared to the same period of the prior year. Excluding non-cash share based compensation as a percentage of revenues our direct employee compensation and consultant expenses for the three and nine months ended September 30, 2008 were 80.2 and 78.9% , respectively, compared to 76.3% and 76.9%, respectively in 2007. The increases in employee compensation and consultant expenses as a percentage of revenues were due to the nature of projects performed in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Excluding non-cash share based compensation, our selling, general and administrative expenses decreased for the three months ended September 30, 2008 by $84,523, or 8.6%, to $902,246 compared to 2007. For the nine months ended September 30, 2008, our selling, general and administrative expenses excluding non-cash share based compensation decreased by $928,536 or 25.5% to $2,713,310 compared to the same period of prior year. During the nine months ended September 30, 2007, we incurred approximately $162,000 in expenses ($240,000 including the fair value of shares of common stock issued) for an acquisition of an entity and the related financing. We terminated the acquisition related negotiation in April 2007 and the entire amount incurred was charged to operations during the three months ended March 31, 2007. The decreases in our selling, general and administrative expenses for the three and nine months ended September 30, 2008 compared to the same period of prior year were due to expense reductions implemented in the third quarter of 2007.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three months ended September 30, 2008, depreciation and amortization increased by $30,240 or 72.9%, to $71,706. For nine months ended September 30, 2008, depreciation and amortization decreased by $11,478 or 4.8%, to $227,751.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w:t>
      </w:r>
    </w:p>
    <w:p>
      <w:pPr>
        <w:spacing w:after="0" w:line="23"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Amortization of debt discount for the three months ended September 30, 2008 increased by $51,305, or 28.1%, to $234,104. For the nine months ended September 30, 2008 amortization of debt discount increased by $50,093 or 9.1% to $602,365 As of September 30, 2008, the aggregate unamortized debt discount was $292,797, which will be amortized and charged to operations over the term of the respective debt.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For the three months ended September 30, 2008, interest expense decreased by $24,695. Interest expense for the nine months ended September 30, 2008, increased by $1,421. The increase was due to additional interest payable to Laurus due to different terms negotiated with Laurus.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May 5, 2006, our Board of Directors decided to exit from the hardware-based VoIP communications product line (including resale of transport services) that is targeted to SMBs. In accordance with SFAS No. 144 "Accounting for the Impairment or Disposal of Long-Lived Assets", ("SFAS No. 144"), the results of operations from the VoIP business segment has been reclassified as discontinued operations for all periods presented. For the three months and six months ended September 30, 2008, losses from discontinued operations were $0 and $0, respectively. For the nine months ended September 30, 2007, losses from discontinued operations were $53,398. Revenues from VoIP operations have been nominal in all periods presented and operating expenses are the losses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SFAS No. 142 “Goodwill and Other Intangibles Assets,” (“SFAS No. 142”), the Company performed its annual testing of goodwill impairment for the second quarter ended June 30, 2007. As a part of goodwill impairment testing, management reviewed various factors, such as the market price of the Company’s common stock, discounted cash flows from projected earnings and values of comparable companies to determine whether impairment exists. Based on this evaluation it was determined that the goodwill was impaired. The impairment was due to a continued decline in our market capitalization during the nine months ended September 30, 2007 and due to lower future cash flows expected to be generated by the business due to working capital constraints. The implied value of the goodwill was $10,585,000 compared to a carrying value of $13,982,451, indicating an impairment of $3,397,451. The impairment loss was charged to operations during the three months ended June 30, 2007.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As a result of the foregoing, for the three months ended September 30, 2008, net loss decreased by $938,378, or 79.8%, to a loss of $237,439, compared to a net loss of $1,175,817 in the three months ended September 30, 2007. For the nine months ended September 30, 2008, net loss decreased by $5,726,310 or 89.9% to a loss of $642,366 compared to a net loss of $6,368,676 in the nine months ended September 30, 2007.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September 30, 2008, our working capital deficiency was $6,053,203, compared to a working capital deficiency of $4,937,149 on December 31, 2007. The increase in the working capital deficiency was principally due to operating losses and due to reclassification of convertible note due in March 2009 as a current liability. During the nine months ended September 30, 2008, our operating activities from continuing operations provided approximately $365,000 of cash, compared to approximately $3,000 provided during the nine months ended September 30, 2007.</w:t>
      </w:r>
    </w:p>
    <w:p>
      <w:pPr>
        <w:sectPr>
          <w:pgSz w:w="11900" w:h="16838" w:orient="portrait"/>
          <w:cols w:equalWidth="0" w:num="1">
            <w:col w:w="11420"/>
          </w:cols>
          <w:pgMar w:left="240" w:top="517" w:right="239" w:bottom="19"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6"/>
          <w:szCs w:val="16"/>
          <w:color w:val="auto"/>
        </w:rPr>
        <w:t>During the six months ended September 30, 2008, our operating losses, after adjusting for non-cash items, provided approximately $766,000 of cash, and working capital items used approximately $400,000 of cash. The principal component of these working capital changes was an increase in our deferred revenues and accounts payable off set by an increase in accounts receivable. During the nine months ended September 30, 2007, our operating losses, after adjusting for non-cash items, utilized approximately $1,104,000 of cash, and working capital items provided approximately $1,107,000 of cash.</w:t>
      </w:r>
    </w:p>
    <w:p>
      <w:pPr>
        <w:spacing w:after="0" w:line="181" w:lineRule="exact"/>
        <w:rPr>
          <w:sz w:val="20"/>
          <w:szCs w:val="20"/>
          <w:color w:val="auto"/>
        </w:rPr>
      </w:pPr>
    </w:p>
    <w:p>
      <w:pPr>
        <w:jc w:val="both"/>
        <w:ind w:firstLine="50"/>
        <w:spacing w:after="0" w:line="264" w:lineRule="auto"/>
        <w:rPr>
          <w:sz w:val="20"/>
          <w:szCs w:val="20"/>
          <w:color w:val="auto"/>
        </w:rPr>
      </w:pPr>
      <w:r>
        <w:rPr>
          <w:rFonts w:ascii="Arial" w:cs="Arial" w:eastAsia="Arial" w:hAnsi="Arial"/>
          <w:sz w:val="18"/>
          <w:szCs w:val="18"/>
          <w:color w:val="auto"/>
        </w:rPr>
        <w:t>During the nine months ended September 30,2008 we borrowed an aggregate of $760,000 repaid an aggregate of $880,000 of previously borrowed amounts from five individuals. The aggregate amount of short term borrowings outstanding as of September30, 2008 is $850,000. The borrowings outstanding at September30, 2008 are due at various dates through February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several options for obtaining financing to fund our working capital requirements and to retire our debt upon maturity. We had approximately $3.8 million debt that was due in the first quarter of 2009. After several discussions and negotiations, we concluded that the most viable option would be to sell the operations of UCA Services. This would not only provide us financing but also enable UCA Services to grow to its optimal potential with appropriate financial backing.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2009, we along with our wholly-owned subsidiary, NetFabric Technologies, Inc., d/b/a UCA Services, Inc. (“UCA”) entered into a Convertible Note Purchase Agreement with Fortify Infrastructure Services, Inc. (“Fortify). Pursuant to the Convertible Note Purchase Agreement, Fortify purchased a Secured Convertible Promissory Note (the “Note”) from UCA in the principal amount of $5 million with the Company being a guarantor for UCA’s borrowings.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 has a six-month term, and bears interest at 8% per annum, compounded annually. The Note is secured by (i) all of the assets of UCA and the Company, and (ii) all of the equity securities of UCA currently owned or hereafter acquired by the Company. At the exclusive option of Fortify, Fortify may convert the entire principal amount of, and accrued and unpaid interest on, the Note into shares of Series A Preferred Stock of UCA. The conversion price shall be at a price equal to the price per share reflecting a valuation of UCA equal to $5 million, on an as-converted basis.</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Fortify, UCA and the Company also entered into a Credit Agreement whereby Fortify agreed to provide UCA a revolving line of credit of up to $1 million for working capital purposes. Amounts borrowed under the line of credit are secured by (i) all of the assets of UCA and the Company and (ii) all of the equity securities of UCA currently owned or hereafter acquired by the Company.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Fortify, UCA and the Company also entered into an Option and Purchase Agreement (“Option Agreement’). Pursuant to the Option Agreement, Fortify has an option to acquire all of the outstanding shares of common stock of UCA upon effectiveness of this Information Statement. Upon exercise of the Option by Fortify, we will (a) receive an aggregate purchase price of $500,000,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amount of accrued and unpaid interest, if any, on the Note, and (b) be released from the guaranty obligations of the Note. The Company and certain employees of UCA will also be eligible to receive earn-out payments in connection with the closing of the Option based upon achievement of certain financial thresholds during a 24-month period following the closing.</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approximately $3 million from the proceeds of the Note to repay all amounts owed to Laurus Master Fund. The balance of the proceeds was used for repayment of debt, other payables and for working capital purposes.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24, 2009, we along with our wholly-owned subsidiary, UCA and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issued by UCA to Fortify was cancelled, releases of certain obligations of the parties were granted as specified in the Amendment , and the commencement date and measurement period for the earn-out and bonuses provided for in the Option Agreement were modified.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divesture of UCA, we will have no operations. However, the Company will be debt free. We will explore strategic alternatives, including merging with another entity. Currently, we do not have any agreement or understanding with any entity and there is no assurance that such a transaction will ever be consummated.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the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from time to time is involved in routine legal matters incidental to business. In the opinion of management, the ultimate resolution of such matters will not have a material adverse effect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Section 13 or 15(d) of the Securities Exchange Act , the registrant has caused this report to be signed on its behalf by the undersigned, thereunto duly authorized.</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Fahad Syed</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5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Principal Financial Officer and Vice President</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Fahad Syed certify that:</w:t>
      </w:r>
    </w:p>
    <w:p>
      <w:pPr>
        <w:spacing w:after="0" w:line="25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NetFabric Holdings, Inc. (the “ Company”).</w:t>
      </w:r>
    </w:p>
    <w:p>
      <w:pPr>
        <w:spacing w:after="0" w:line="252"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73" w:lineRule="exact"/>
        <w:rPr>
          <w:rFonts w:ascii="Arial" w:cs="Arial" w:eastAsia="Arial" w:hAnsi="Arial"/>
          <w:sz w:val="17"/>
          <w:szCs w:val="17"/>
          <w:color w:val="auto"/>
        </w:rPr>
      </w:pPr>
    </w:p>
    <w:p>
      <w:pPr>
        <w:ind w:right="20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97" w:lineRule="exact"/>
        <w:rPr>
          <w:sz w:val="20"/>
          <w:szCs w:val="20"/>
          <w:color w:val="auto"/>
        </w:rPr>
      </w:pPr>
    </w:p>
    <w:p>
      <w:pPr>
        <w:ind w:right="100" w:firstLine="8"/>
        <w:spacing w:after="0" w:line="264"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right="140" w:firstLine="8"/>
        <w:spacing w:after="0" w:line="26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277"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97" w:lineRule="exact"/>
        <w:rPr>
          <w:sz w:val="20"/>
          <w:szCs w:val="20"/>
          <w:color w:val="auto"/>
        </w:rPr>
      </w:pPr>
    </w:p>
    <w:p>
      <w:pPr>
        <w:ind w:right="6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200" w:firstLine="8"/>
        <w:spacing w:after="0" w:line="277"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Fahad Syed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Vasan Thatham certify that:</w:t>
      </w:r>
    </w:p>
    <w:p>
      <w:pPr>
        <w:spacing w:after="0" w:line="25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NetFabric Holdings, Inc. (the “ Company”).</w:t>
      </w:r>
    </w:p>
    <w:p>
      <w:pPr>
        <w:spacing w:after="0" w:line="252"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73" w:lineRule="exact"/>
        <w:rPr>
          <w:rFonts w:ascii="Arial" w:cs="Arial" w:eastAsia="Arial" w:hAnsi="Arial"/>
          <w:sz w:val="17"/>
          <w:szCs w:val="17"/>
          <w:color w:val="auto"/>
        </w:rPr>
      </w:pPr>
    </w:p>
    <w:p>
      <w:pPr>
        <w:ind w:right="20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97" w:lineRule="exact"/>
        <w:rPr>
          <w:sz w:val="20"/>
          <w:szCs w:val="20"/>
          <w:color w:val="auto"/>
        </w:rPr>
      </w:pPr>
    </w:p>
    <w:p>
      <w:pPr>
        <w:ind w:right="100" w:firstLine="8"/>
        <w:spacing w:after="0" w:line="264"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right="140" w:firstLine="8"/>
        <w:spacing w:after="0" w:line="264"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277"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97" w:lineRule="exact"/>
        <w:rPr>
          <w:sz w:val="20"/>
          <w:szCs w:val="20"/>
          <w:color w:val="auto"/>
        </w:rPr>
      </w:pPr>
    </w:p>
    <w:p>
      <w:pPr>
        <w:ind w:right="6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200" w:firstLine="8"/>
        <w:spacing w:after="0" w:line="277"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NetFabric Holdings, Inc. (the “ Company”) on Form 10-Q for the period ended September 30, 2008 as filed with the Securities and Exchange Commission on the date hereof (the “Report”), I, Fahad Syed certify, pursuant to 18 U.S.C. Section 1350, as adopted pursuant to Section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Fahad Syed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September 30, 2008 as filed with the Securities and Exchange Commission on the date hereof (the “Report”), I, Vasan Thatham, certify, pursuant to 18 U.S.C. Section 1350, as adopted pursuant to Section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3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2019-12-10T17:52:04Z</dcterms:created>
  <dcterms:modified xsi:type="dcterms:W3CDTF">2019-12-10T17:52:04Z</dcterms:modified>
</cp:coreProperties>
</file>