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left="4640" w:right="2420" w:hanging="2202"/>
        <w:spacing w:after="0" w:line="282" w:lineRule="auto"/>
        <w:tabs>
          <w:tab w:leader="none" w:pos="26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COMMISSION FILE NUMBER: 0-31553</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188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5880" w:type="dxa"/>
            <w:vAlign w:val="bottom"/>
            <w:gridSpan w:val="3"/>
          </w:tcPr>
          <w:p>
            <w:pPr>
              <w:jc w:val="right"/>
              <w:ind w:right="770"/>
              <w:spacing w:after="0"/>
              <w:rPr>
                <w:sz w:val="20"/>
                <w:szCs w:val="20"/>
                <w:color w:val="auto"/>
              </w:rPr>
            </w:pPr>
            <w:r>
              <w:rPr>
                <w:rFonts w:ascii="Arial" w:cs="Arial" w:eastAsia="Arial" w:hAnsi="Arial"/>
                <w:sz w:val="18"/>
                <w:szCs w:val="18"/>
                <w:color w:val="auto"/>
              </w:rPr>
              <w:t>76-0307819</w:t>
            </w: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540" w:type="dxa"/>
            <w:vAlign w:val="bottom"/>
          </w:tcPr>
          <w:p>
            <w:pPr>
              <w:jc w:val="center"/>
              <w:ind w:left="85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280" w:type="dxa"/>
            <w:vAlign w:val="bottom"/>
          </w:tcPr>
          <w:p>
            <w:pPr>
              <w:jc w:val="center"/>
              <w:spacing w:after="0"/>
              <w:rPr>
                <w:sz w:val="20"/>
                <w:szCs w:val="20"/>
                <w:color w:val="auto"/>
              </w:rPr>
            </w:pPr>
            <w:r>
              <w:rPr>
                <w:rFonts w:ascii="Arial" w:cs="Arial" w:eastAsia="Arial" w:hAnsi="Arial"/>
                <w:sz w:val="18"/>
                <w:szCs w:val="18"/>
                <w:color w:val="auto"/>
                <w:w w:val="91"/>
              </w:rPr>
              <w:t>Incorporation or Organization)</w:t>
            </w: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5880" w:type="dxa"/>
            <w:vAlign w:val="bottom"/>
            <w:gridSpan w:val="3"/>
          </w:tcPr>
          <w:p>
            <w:pPr>
              <w:jc w:val="center"/>
              <w:ind w:right="2690"/>
              <w:spacing w:after="0"/>
              <w:rPr>
                <w:sz w:val="20"/>
                <w:szCs w:val="20"/>
                <w:color w:val="auto"/>
              </w:rPr>
            </w:pPr>
            <w:r>
              <w:rPr>
                <w:rFonts w:ascii="Arial" w:cs="Arial" w:eastAsia="Arial" w:hAnsi="Arial"/>
                <w:sz w:val="18"/>
                <w:szCs w:val="18"/>
                <w:color w:val="auto"/>
                <w:w w:val="91"/>
              </w:rPr>
              <w:t>475 Tenth Ave, 4th Floor</w:t>
            </w:r>
          </w:p>
        </w:tc>
      </w:tr>
      <w:tr>
        <w:trPr>
          <w:trHeight w:val="190"/>
        </w:trPr>
        <w:tc>
          <w:tcPr>
            <w:tcW w:w="2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120" w:type="dxa"/>
            <w:vAlign w:val="bottom"/>
            <w:gridSpan w:val="2"/>
          </w:tcPr>
          <w:p>
            <w:pPr>
              <w:jc w:val="center"/>
              <w:ind w:right="3450"/>
              <w:spacing w:after="0" w:line="190" w:lineRule="exact"/>
              <w:rPr>
                <w:sz w:val="20"/>
                <w:szCs w:val="20"/>
                <w:color w:val="auto"/>
              </w:rPr>
            </w:pPr>
            <w:r>
              <w:rPr>
                <w:rFonts w:ascii="Arial" w:cs="Arial" w:eastAsia="Arial" w:hAnsi="Arial"/>
                <w:sz w:val="18"/>
                <w:szCs w:val="18"/>
                <w:color w:val="auto"/>
                <w:w w:val="93"/>
              </w:rPr>
              <w:t>New York, NY 10018</w:t>
            </w:r>
          </w:p>
        </w:tc>
      </w:tr>
      <w:tr>
        <w:trPr>
          <w:trHeight w:val="20"/>
        </w:trPr>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7"/>
        </w:trPr>
        <w:tc>
          <w:tcPr>
            <w:tcW w:w="2280" w:type="dxa"/>
            <w:vAlign w:val="bottom"/>
          </w:tcPr>
          <w:p>
            <w:pPr>
              <w:spacing w:after="0"/>
              <w:rPr>
                <w:sz w:val="20"/>
                <w:szCs w:val="20"/>
                <w:color w:val="auto"/>
              </w:rPr>
            </w:pPr>
          </w:p>
        </w:tc>
        <w:tc>
          <w:tcPr>
            <w:tcW w:w="5880" w:type="dxa"/>
            <w:vAlign w:val="bottom"/>
            <w:gridSpan w:val="3"/>
          </w:tcPr>
          <w:p>
            <w:pPr>
              <w:jc w:val="center"/>
              <w:ind w:right="269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(347)727-2474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Exchange Act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00"/>
          </w:cols>
          <w:pgMar w:left="240" w:top="445" w:right="259" w:bottom="1440" w:gutter="0" w:footer="0" w:header="0"/>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42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680"/>
          </w:cols>
          <w:pgMar w:left="240" w:top="445" w:right="25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000" w:space="720"/>
            <w:col w:w="1980" w:space="120"/>
            <w:col w:w="3580"/>
          </w:cols>
          <w:pgMar w:left="240" w:top="445" w:right="259" w:bottom="1440"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As of August 12, 2015, there were 17,997,856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60" w:type="dxa"/>
            <w:vAlign w:val="bottom"/>
            <w:gridSpan w:val="7"/>
          </w:tcPr>
          <w:p>
            <w:pPr>
              <w:jc w:val="center"/>
              <w:ind w:right="3760"/>
              <w:spacing w:after="0"/>
              <w:rPr>
                <w:sz w:val="20"/>
                <w:szCs w:val="20"/>
                <w:color w:val="auto"/>
              </w:rPr>
            </w:pPr>
            <w:r>
              <w:rPr>
                <w:rFonts w:ascii="Arial" w:cs="Arial" w:eastAsia="Arial" w:hAnsi="Arial"/>
                <w:sz w:val="18"/>
                <w:szCs w:val="18"/>
                <w:b w:val="1"/>
                <w:bCs w:val="1"/>
                <w:color w:val="auto"/>
                <w:w w:val="98"/>
              </w:rPr>
              <w:t>XCEL BRANDS,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gridSpan w:val="5"/>
          </w:tcPr>
          <w:p>
            <w:pPr>
              <w:jc w:val="center"/>
              <w:ind w:right="4460"/>
              <w:spacing w:after="0"/>
              <w:rPr>
                <w:sz w:val="20"/>
                <w:szCs w:val="20"/>
                <w:color w:val="auto"/>
              </w:rPr>
            </w:pPr>
            <w:r>
              <w:rPr>
                <w:rFonts w:ascii="Arial" w:cs="Arial" w:eastAsia="Arial" w:hAnsi="Arial"/>
                <w:sz w:val="18"/>
                <w:szCs w:val="18"/>
                <w:color w:val="auto"/>
              </w:rPr>
              <w:t>INDEX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 of Stockholders’ Equity</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360" w:type="dxa"/>
            <w:vAlign w:val="bottom"/>
            <w:tcBorders>
              <w:top w:val="single" w:sz="8" w:color="CCEEFF"/>
              <w:bottom w:val="single" w:sz="8" w:color="auto"/>
            </w:tcBorders>
            <w:gridSpan w:val="14"/>
          </w:tcPr>
          <w:p>
            <w:pPr>
              <w:jc w:val="right"/>
              <w:ind w:right="300"/>
              <w:spacing w:after="0"/>
              <w:rPr>
                <w:sz w:val="20"/>
                <w:szCs w:val="20"/>
                <w:color w:val="auto"/>
              </w:rPr>
            </w:pPr>
            <w:r>
              <w:rPr>
                <w:rFonts w:ascii="Arial" w:cs="Arial" w:eastAsia="Arial" w:hAnsi="Arial"/>
                <w:sz w:val="18"/>
                <w:szCs w:val="18"/>
                <w:color w:val="auto"/>
              </w:rPr>
              <w:t>2</w:t>
            </w:r>
          </w:p>
        </w:tc>
        <w:tc>
          <w:tcPr>
            <w:tcW w:w="1320" w:type="dxa"/>
            <w:vAlign w:val="bottom"/>
            <w:tcBorders>
              <w:top w:val="single" w:sz="8" w:color="CCEEFF"/>
              <w:bottom w:val="single" w:sz="8" w:color="auto"/>
            </w:tcBorders>
          </w:tcPr>
          <w:p>
            <w:pPr>
              <w:spacing w:after="0"/>
              <w:rPr>
                <w:sz w:val="24"/>
                <w:szCs w:val="24"/>
                <w:color w:val="auto"/>
              </w:rPr>
            </w:pPr>
          </w:p>
        </w:tc>
        <w:tc>
          <w:tcPr>
            <w:tcW w:w="31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40" w:type="dxa"/>
            <w:vAlign w:val="bottom"/>
          </w:tcPr>
          <w:p>
            <w:pPr>
              <w:jc w:val="center"/>
              <w:ind w:left="150"/>
              <w:spacing w:after="0"/>
              <w:rPr>
                <w:sz w:val="20"/>
                <w:szCs w:val="20"/>
                <w:color w:val="auto"/>
              </w:rPr>
            </w:pPr>
            <w:r>
              <w:rPr>
                <w:rFonts w:ascii="Arial" w:cs="Arial" w:eastAsia="Arial" w:hAnsi="Arial"/>
                <w:sz w:val="18"/>
                <w:szCs w:val="18"/>
                <w:b w:val="1"/>
                <w:bCs w:val="1"/>
                <w:color w:val="auto"/>
              </w:rPr>
              <w:t>PART 1. FINANCIAL INFORMATION</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2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4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Xcel Brands, Inc. and Subsidiaries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40" w:type="dxa"/>
            <w:vAlign w:val="bottom"/>
          </w:tcPr>
          <w:p>
            <w:pPr>
              <w:ind w:left="1360"/>
              <w:spacing w:after="0"/>
              <w:rPr>
                <w:sz w:val="20"/>
                <w:szCs w:val="20"/>
                <w:color w:val="auto"/>
              </w:rPr>
            </w:pPr>
            <w:r>
              <w:rPr>
                <w:rFonts w:ascii="Arial" w:cs="Arial" w:eastAsia="Arial" w:hAnsi="Arial"/>
                <w:sz w:val="18"/>
                <w:szCs w:val="18"/>
                <w:b w:val="1"/>
                <w:bCs w:val="1"/>
                <w:color w:val="auto"/>
              </w:rPr>
              <w:t>Condensed Consolidated Balance Sheets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June 30, 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See 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6,566,000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3,641,000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assets held for disposition from discontinued retail operations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10,567,000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Trademarks and other intangibles,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97,379,000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97,679,000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12,371,000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Deferred finance costs,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888,000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assets held for disposition from discontinued retail operations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non-current other assets</w:t>
            </w:r>
          </w:p>
        </w:tc>
        <w:tc>
          <w:tcPr>
            <w:tcW w:w="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112,304,000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111,068,000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123,564,000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125,741,000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56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2,296,000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206,000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Installment obligations in connection with the acquisition of the Ripka Brand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2,766,000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5,766,000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liabilities held for disposition from discontinued retail operations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13,288,000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17,609,000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Long-term debt, less current portion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32,501,000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39,648,000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7,946,000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238,000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40,685,000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47,908,000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53,973,000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65,517,000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3"/>
              </w:rPr>
              <w:t>Common stock, $.001 par value, 35,000,000 shares authorized at June 30, 2015 and December 31, 2014 and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w w:val="96"/>
              </w:rPr>
              <w:t>15,191,689 and 14,011,896 issued and outstanding at June 30, 2015 and December 31, 2014, respectively</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64,308,000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56,718,000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5,268,000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3,492,000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69,591,000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60,224,000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123,564,000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125,741,000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540" w:type="dxa"/>
            <w:vAlign w:val="bottom"/>
            <w:gridSpan w:val="8"/>
          </w:tcPr>
          <w:p>
            <w:pPr>
              <w:ind w:left="500"/>
              <w:spacing w:after="0"/>
              <w:rPr>
                <w:sz w:val="20"/>
                <w:szCs w:val="20"/>
                <w:color w:val="auto"/>
              </w:rPr>
            </w:pPr>
            <w:r>
              <w:rPr>
                <w:rFonts w:ascii="Arial" w:cs="Arial" w:eastAsia="Arial" w:hAnsi="Arial"/>
                <w:sz w:val="18"/>
                <w:szCs w:val="18"/>
                <w:b w:val="1"/>
                <w:bCs w:val="1"/>
                <w:color w:val="auto"/>
                <w:w w:val="94"/>
              </w:rPr>
              <w:t>For the Three Months Ended June 30,</w:t>
            </w:r>
          </w:p>
        </w:tc>
        <w:tc>
          <w:tcPr>
            <w:tcW w:w="288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w w:val="92"/>
              </w:rPr>
              <w:t>For the 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Net licensing revenue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6,269,000</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6,064,000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12,793,000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9,604,000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e-commerce sales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119,000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5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12,912,000</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6,286,000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6,068,000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12,832,000</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9,608,000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3,073,000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Other design and marketing costs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808,000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1,108,000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1,818,000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2,121,000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3,383,000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580,000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5,842,000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5,341,000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11,490,000</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expenses (income)</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reduction of contingent obligation</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760,000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1,371,000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net</w:t>
            </w: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(1,629,000</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1,327,000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2,971,000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 expense - term debt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309,000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226,000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621,000</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interest and finance charges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323,000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interest and finance expense</w:t>
            </w:r>
          </w:p>
        </w:tc>
        <w:tc>
          <w:tcPr>
            <w:tcW w:w="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944,000</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2,251,000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918,000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2,027,000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320,000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2,161,000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598,000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2,043,000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(267,000)</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2,107,000</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409,000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1,776,000</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(546,000)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Discontinued operations, net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 net</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w:t>
            </w:r>
          </w:p>
        </w:tc>
        <w:tc>
          <w:tcPr>
            <w:tcW w:w="5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14,850,874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11,713,813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14,462,305</w:t>
            </w:r>
          </w:p>
        </w:tc>
        <w:tc>
          <w:tcPr>
            <w:tcW w:w="2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11,274,503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weighted average common shares outstanding</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15,963,975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12,710,184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15,575,406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11,274,503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Retained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Share</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Earnings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2015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14,011,896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56,718,000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in connection with restricted stock</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grants, net of forfeitures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579,792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in connection with stock options,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warrants and restricted stock</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the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Ripka Seller Notes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9"/>
              </w:rPr>
              <w:t>Tax benefit from vested stock grants and exercised options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 ended June 30, 2015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Balances, June 30, 2015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15,191,689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64,308,000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5,268,000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40" w:type="dxa"/>
            <w:vAlign w:val="bottom"/>
            <w:gridSpan w:val="8"/>
          </w:tcPr>
          <w:p>
            <w:pPr>
              <w:ind w:left="20"/>
              <w:spacing w:after="0"/>
              <w:rPr>
                <w:sz w:val="20"/>
                <w:szCs w:val="20"/>
                <w:color w:val="auto"/>
              </w:rPr>
            </w:pPr>
            <w:r>
              <w:rPr>
                <w:rFonts w:ascii="Arial" w:cs="Arial" w:eastAsia="Arial" w:hAnsi="Arial"/>
                <w:sz w:val="18"/>
                <w:szCs w:val="18"/>
                <w:b w:val="1"/>
                <w:bCs w:val="1"/>
                <w:color w:val="auto"/>
                <w:w w:val="93"/>
              </w:rPr>
              <w:t>For the 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operating activities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1,776,000</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Loss from discontinued operations, net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267,000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77,000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2,121,000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Recovery of doubtful accounts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note discount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from vested stock grants and exercised options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Gain on reduction of contingent obligation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(2,903,000)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(204,000)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cash (used in) provided by operating activities from continuing operations</w:t>
            </w:r>
          </w:p>
        </w:tc>
        <w:tc>
          <w:tcPr>
            <w:tcW w:w="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 from discontinued operations, net</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(748,000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consideration for asset acquisition of the Ripka Brand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Cash consideration for asset acquisition of the H Halston Brand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Restricted cash for security deposit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(1,109,000)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 deposit related to trademark acquisition</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(12,502,000)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from discontinued operations, net</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(1,470,000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(12,811,000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term debt related to the Ripka Brand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Shares repurchased on vesting of restricted stock</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exercise of stock options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Tax benefit from vested stock grants and exercised options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69,000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contingent obligation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Payment of deferred finance costs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associated with equity offering</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Payment of long-term debt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(1,256,000)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installment obligations related to the acquisition of the Ripka Brand</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(2,183,000)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(3,696,000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8,389,000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(5,914,000)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(2,354,000)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8,531,000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7,461,000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2,617,000</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5,107,000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as payment for notes payable</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5,401,000</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Issuance of Notes payable as partial consideration in the acquisition of the Ripka Brand</w:t>
            </w:r>
          </w:p>
        </w:tc>
        <w:tc>
          <w:tcPr>
            <w:tcW w:w="7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4,165,000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Issuance of common stock in connection with acquisition of the Ripka Brand</w:t>
            </w: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160"/>
              <w:spacing w:after="0"/>
              <w:rPr>
                <w:sz w:val="20"/>
                <w:szCs w:val="20"/>
                <w:color w:val="auto"/>
              </w:rPr>
            </w:pPr>
            <w:r>
              <w:rPr>
                <w:rFonts w:ascii="Arial" w:cs="Arial" w:eastAsia="Arial" w:hAnsi="Arial"/>
                <w:sz w:val="18"/>
                <w:szCs w:val="18"/>
                <w:color w:val="auto"/>
              </w:rPr>
              <w:t>Contingent obligation related to acquisition of the Ripka Brand</w:t>
            </w:r>
          </w:p>
        </w:tc>
        <w:tc>
          <w:tcPr>
            <w:tcW w:w="7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3,786,000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437,000</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during the period for interest</w:t>
            </w:r>
          </w:p>
        </w:tc>
        <w:tc>
          <w:tcPr>
            <w:tcW w:w="7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610,000</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904" w:right="239" w:bottom="86"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It is the opinion of Xcel Brands, Inc., (the “Company”), however, that the accompanying unaudited condensed consolidated financial statements include all adjustments, which are of a normal recurring nature, necessary for a fair presentation of the financial position, operating results and cash flows for the periods presented.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Company’s Annual Report on Form 10-K for the year ended December 31, 2014, as filed with the SEC on March 31, 2015, which contains the audited consolidated financial statements and notes thereto, together with Management’s Discussion and Analysis of Financial Condition and Results of Operations, for the years ended December 31, 2014 and 2013. The financial information as of December 31, 2014 is derived from the audited consolidated financial statements presented in the Company’s Annual Report on Form 10-K for the year ended December 31, 2014. The interim results for the three and six months ended June 30, 2015 are not necessarily indicative of the results to be expected for the year ending December 31, 2015 or for any future interim periods.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a brand development and media company engaged in the design, licensing, marketing and direct to consumer sales of branded apparel, footwear, accessories, jewelry and home goods, and the acquisition of additional high profile consumer lifestyle brands, including the Isaac Mizrahi brand (the "Isaac Mizrahi Brand"), the Judith Ripka brand (the “Ripka Brand”), the H by Halston and H Halston brands (collectively, the “H Halston Brands”), the C Wonder brand acquired on July 31, 2015 (see Note 10, Subsequent Events) and certain rights of the Liz Claiborne New York brand (“LCNY Brand”) through July 31, 2016. Going forward, our focus shall be on our wholly-owned brands.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operates in a “working capital light” business model, wherein the Company licenses its brands to third parties, provides certain design services, and generates royalty and design and service fee revenues through licensing and other agreements with wholesale manufacturers, sourcing and design companies and retailers. This includes licensing its own brands for promotion and distribution through an omni-channel retail sales strategy, including distribution through direct-response television (i.e., QVC, Inc. (“QVC”) and The Shopping Channel), the internet and traditional brick-and-mortar retail channels. The Isaac Mizrahi Brand and LCNY Brand are licensed through the Company’s wholly-owned subsidiary, IM Brands, LLC (“IM Brands”) (the “Isaac Mizrahi Business”), the Ripka Brand is licensed through the Company’s wholly-owned subsidiary, JR Licensing, LLC (“JR Licensing”), the H Halston Brands are licensed through the Company’s wholly-owned subsidiary, H Licensing, LLC (“H Licensing”) and the C Wonder Brand is licensed through the Company’s wholly-owned subsidiary, C Wonder Licensing, LLC (“C Wonder”).</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June 2013 through December 2014, the Company operated its retail business through its wholly-owned subsidiary, IMNY Retail Management, LLC. In December 2014, the Company discontinued its retail stores. Accordingly, the Company’s retail operations are treated as discontinued operations and prior periods presented have been reclassified to give effect to this change (see Note 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Company's discontinued operations, certain reclassifications have been made to the prior period condensed consolidated financial statements to conform to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Financial Accounting Standard Board (the “FASB”) issued Accounting Standards Update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companies will need to use more judgment and make more estimates than under the current guidance. These may include identifying performance obligations in the contract, estimating the amount of variable consideration to include in the transaction price and allocating the transaction price to each separate performance obligation. ASU 2014-09 is effective for fiscal years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Early adoption is not permitted. The Company is currently evaluating the method and impact the adoption of ASU 2014-09 will have on the Company’s consolidated financial statements and disclosures. In July 2015, the FASB deferred the effective date of ASU 2014-09 for one year, and proposed some modifications to the original provisions.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96" w:gutter="0" w:footer="0" w:header="0"/>
        </w:sectPr>
      </w:pPr>
    </w:p>
    <w:bookmarkStart w:id="8" w:name="page9"/>
    <w:bookmarkEnd w:id="8"/>
    <w:p>
      <w:pPr>
        <w:jc w:val="both"/>
        <w:spacing w:after="0" w:line="272" w:lineRule="auto"/>
        <w:rPr>
          <w:sz w:val="20"/>
          <w:szCs w:val="20"/>
          <w:color w:val="auto"/>
        </w:rPr>
      </w:pPr>
      <w:r>
        <w:rPr>
          <w:rFonts w:ascii="Arial" w:cs="Arial" w:eastAsia="Arial" w:hAnsi="Arial"/>
          <w:sz w:val="17"/>
          <w:szCs w:val="17"/>
          <w:color w:val="auto"/>
        </w:rPr>
        <w:t>In April 2015, the FASB issued ASU No. 2015-03, “Interest - Imputation of Interest” (“ASU 2015-03”). ASU 2015-03 simplifies the presentation of debt issuance costs by requiring that debt issuance costs related to a recognized debt liability be presented in the balance sheet as a direct deduction from the carrying amount of that debt liability, consistent with debt discounts or premiums. The recognition and measurement guidance for debt issuance costs would not be affected by the amendments of ASU 2015-03. For public business entities, ASU 2015-03 is effective for financial statements issued for fiscal years beginning after December 31, 2015, and interim periods within those fiscal years. For all other entities, ASU 2015-03 is effective for financial statements issued for fiscal years beginning after December 15, 2015, and interim periods within fiscal years beginning after December 15, 2016. Early adoption is permitted for financial statements that have not been previously issued.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2.</w:t>
            </w:r>
          </w:p>
        </w:tc>
        <w:tc>
          <w:tcPr>
            <w:tcW w:w="7920" w:type="dxa"/>
            <w:vAlign w:val="bottom"/>
          </w:tcPr>
          <w:p>
            <w:pPr>
              <w:ind w:left="80"/>
              <w:spacing w:after="0"/>
              <w:rPr>
                <w:sz w:val="20"/>
                <w:szCs w:val="20"/>
                <w:color w:val="auto"/>
              </w:rPr>
            </w:pPr>
            <w:r>
              <w:rPr>
                <w:rFonts w:ascii="Arial" w:cs="Arial" w:eastAsia="Arial" w:hAnsi="Arial"/>
                <w:sz w:val="18"/>
                <w:szCs w:val="18"/>
                <w:b w:val="1"/>
                <w:bCs w:val="1"/>
                <w:color w:val="auto"/>
              </w:rPr>
              <w:t>Trademarks, Goodwill and Other Intangibles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June 30,</w:t>
            </w: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80" w:type="dxa"/>
            <w:vAlign w:val="bottom"/>
          </w:tcPr>
          <w:p>
            <w:pPr>
              <w:spacing w:after="0"/>
              <w:rPr>
                <w:sz w:val="20"/>
                <w:szCs w:val="20"/>
                <w:color w:val="auto"/>
              </w:rPr>
            </w:pPr>
          </w:p>
        </w:tc>
        <w:tc>
          <w:tcPr>
            <w:tcW w:w="79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96,676,000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96,662,000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Licensing agreements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Copyrights and other intellectual property</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(2,049,000)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(1,735,000)</w:t>
            </w:r>
          </w:p>
        </w:tc>
      </w:tr>
      <w:tr>
        <w:trPr>
          <w:trHeight w:val="223"/>
        </w:trPr>
        <w:tc>
          <w:tcPr>
            <w:tcW w:w="58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97,379,000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97,679,000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Amortization expense for intangible assets for the quarter ended June 30, 2015 (the “Current Quarter”) and the quarter ended June 30, 2014 (the “Prior Year Quarter”) was $157,000 and $139,000, respectively. Amortization expense for intangible assets for the six months ended June 30, 2015 (“Current Six Months”) and the six months ended June 30, 2014 (the “Prior Year Six Months”) was $314,000 and $272,000, respectively. The trademarks of the Isaac Mizrahi Brand, the Ripka Brand and the H Halston Brands have been determined to have indefinite useful lives and accordingly, consistent with Accounting Standards Codification (“ASC”) Topic 350, no amortization has been recorded in the Company’s unaudited condensed consolidated statements of operations.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2015 and December 31, 2014, the Company had $12.37 million of goodwill that represents the excess of the purchase price over the fair value of net assets acquired accounted for under the acquisition method of accounting relating to the acquisition of the Isaac Mizrahi Business. There was no change in goodwill during the Current Six Months.</w:t>
      </w:r>
    </w:p>
    <w:p>
      <w:pPr>
        <w:spacing w:after="0" w:line="17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 Royalties from QVC totaled $4.94 million and $4.32 million for the Current Quarter and Prior Year Quarter, respectively, representing 78% and 71% of the Company’s total revenues, respectively. Royalties from QVC totaled $10.09 million and $6.61 million for the Current Six Months and the Prior Year Six Months, respectively, representing 78% and 69% of the Company’s total revenues, respectively. As of June 30, 2015 and December 31, 2014, the Company had receivables from QVC of $5.43 million and $2.36 million, representing 83% and 65% of the Company’s receivables, respectively. The June 30, 2015 QVC receivables include $1.0 million of earned revenue that had been accrued but not billed as of June 30, 2015. The QVC receivables at December 31, 2014 had no earned revenue that was not billed.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380" w:type="dxa"/>
            <w:vAlign w:val="bottom"/>
          </w:tcPr>
          <w:p>
            <w:pPr>
              <w:ind w:left="80"/>
              <w:spacing w:after="0"/>
              <w:rPr>
                <w:sz w:val="20"/>
                <w:szCs w:val="20"/>
                <w:color w:val="auto"/>
              </w:rPr>
            </w:pPr>
            <w:r>
              <w:rPr>
                <w:rFonts w:ascii="Arial" w:cs="Arial" w:eastAsia="Arial" w:hAnsi="Arial"/>
                <w:sz w:val="18"/>
                <w:szCs w:val="18"/>
                <w:b w:val="1"/>
                <w:bCs w:val="1"/>
                <w:color w:val="auto"/>
              </w:rPr>
              <w:t>Debt</w:t>
            </w: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80" w:type="dxa"/>
            <w:vAlign w:val="bottom"/>
          </w:tcPr>
          <w:p>
            <w:pPr>
              <w:spacing w:after="0"/>
              <w:rPr>
                <w:sz w:val="20"/>
                <w:szCs w:val="20"/>
                <w:color w:val="auto"/>
              </w:rPr>
            </w:pPr>
          </w:p>
        </w:tc>
        <w:tc>
          <w:tcPr>
            <w:tcW w:w="63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 Term Loan</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12,250,000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12,750,000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JR Term Loan</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H Term Loan</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IM Seller Note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5,366,000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Contingent obligation - IM Seller (*)</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2,766,000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5,766,000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5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3,784,000</w:t>
            </w:r>
          </w:p>
        </w:tc>
        <w:tc>
          <w:tcPr>
            <w:tcW w:w="100" w:type="dxa"/>
            <w:vAlign w:val="bottom"/>
            <w:shd w:val="clear" w:color="auto" w:fill="CCEEFF"/>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638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43,017,000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51,064,000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w:t>
            </w:r>
          </w:p>
        </w:tc>
        <w:tc>
          <w:tcPr>
            <w:tcW w:w="15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10,516,000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11,416,000</w:t>
            </w:r>
          </w:p>
        </w:tc>
        <w:tc>
          <w:tcPr>
            <w:tcW w:w="100" w:type="dxa"/>
            <w:vAlign w:val="bottom"/>
            <w:shd w:val="clear" w:color="auto" w:fill="CCEEFF"/>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long-term debt</w:t>
            </w:r>
          </w:p>
        </w:tc>
        <w:tc>
          <w:tcPr>
            <w:tcW w:w="1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32,501,000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39,648,000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43"/>
        <w:spacing w:after="0" w:line="277" w:lineRule="auto"/>
        <w:tabs>
          <w:tab w:leader="none" w:pos="794" w:val="left"/>
        </w:tabs>
        <w:numPr>
          <w:ilvl w:val="0"/>
          <w:numId w:val="4"/>
        </w:numPr>
        <w:rPr>
          <w:rFonts w:ascii="Arial" w:cs="Arial" w:eastAsia="Arial" w:hAnsi="Arial"/>
          <w:sz w:val="18"/>
          <w:szCs w:val="18"/>
          <w:color w:val="auto"/>
        </w:rPr>
      </w:pPr>
      <w:r>
        <w:rPr>
          <w:rFonts w:ascii="Arial" w:cs="Arial" w:eastAsia="Arial" w:hAnsi="Arial"/>
          <w:sz w:val="18"/>
          <w:szCs w:val="18"/>
          <w:color w:val="auto"/>
        </w:rPr>
        <w:t>$2.77 million of the current portion of long-term debt consists of contingent obligation related to IM Brands, described below, which is payable in common stock or cash, at the Company’s option.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IM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 2013, IM Brands entered into a $13.0 million five year term loan with Bank of Hapoalim (“BHI”) (as amended, the “IM Term Loan”). The IM Term Loan is secured by all of the assets of IM Brands and the Company’s membership interest in IM Brands and bears interest at an annual fixed rate of 4.44%, payable quarterly in arrears each calendar quarter. The obligations under the IM Term Loan are also guaranteed by the Company. Scheduled principal payments are as follows: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(July 1 through December 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12,250,000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IM Brands is required to prepay the outstanding amount of the IM Term Loan from excess cash flow for each fiscal year commencing with the year ending December 31, 2015 in arrears in an amount equal to (i) fifty percent (50%) of the excess cash flow for such fiscal year, until such time as principal payments to BHI under the IM Term Loan and the JR Term Loan equal $1,000,000 in the aggregate, then twenty percent (20%) of the excess cash flow for such fiscal year. Excess cash flow means, for any fiscal period, cash provided by operating activities for such period less (a) capital expenditures not made through the incurrence of indebtedness less (b) all interest and principal (including indebtedness owed for the IM Term Loan) paid or payable during such period less (c) all income tax payments made during such period. The Company estimates that the principal payment due from excess cash flow for the year ending December 31, 2015 is $2,000,000 and is included in the current portion of long-term debt on the June 30, 2015 condensed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IM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JR Term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 2014, the Company entered into a $9 million five year term loan with BHI (as amended, the “JR Term Loan”). The JR Term Loan is secured by all of the assets of JR Licensing and a guarantee from the Company secured by a pledge of the Company’s membership interest in JR Licensing and by a guarantee from IM Brands, secured by a pledge of all of IM Brands’ assets. The JR Term Loan bears interest at an annual variable rate of either LIBOR plus 3.5% or Prime plus 0.50%, at JR Licensing’s option, payable, if the JR Term Loan is bearing interest based on LIBOR, on the last business day of the applicable interest period and, if the JR Term Loan is bearing interest based on Prime, quarterly in arrears on the first day of each calendar quarter. Scheduled principal payments are as follows: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(July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JR Licensing is required to prepay the outstanding amount of the JR Term Loan from excess cash flow (the “JR Cash Flow Recapture”) for each fiscal year commencing with the year ending December 31, 2015 in arrears in an amount equal to fifty percent (50%) of such JR Cash Flow Recapture. JR Cash Flow Recapture shall mean for any fiscal period, cash provided by operating activities for such period less (a) capital expenditures not made through the incurrence of indebtedness less (b) all interest and principal (including indebtedness owed for the JR Term Loan) paid or payable during such period less (c) the portion of the holdback amount paid or payable pursuant to the asset purchase agreement dated April 1, 2014 by and between JR Licensing and Judith Ripka Berk (“Ms. Berk”) and certain companies owned by Ms. Berk (collectively “Ripka”) during such period less (d) payments made during such period by JR Licensing to the Company equal to the estimated tax liability of the Company resulting from any taxable income (net of losses, including for prior years to the extent permitted to be deducted) of JR Licensing. JR Licensing also executed a guaranty of the IM Term Loan, secured by a pledge of all of JR Licensing’s assets. The Company estimates that there will not be a principal payment due from excess cash flow for the year ending December 31, 2015.</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JR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 Term Loan</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On December 22, 2014, H Licensing entered into a $10 million, five year term loan with BHI (“H Term Loan”). The H Term Loan is secured by (i) all of the assets of H Licensing, (ii) a guarantee by the Company, secured by a pledge of the Company’s membership interest in H Licensing, (iii) a guarantee from IM Brands, secured by a pledge of all of the assets of IM Brands, and (iv) a guarantee from JR Licensing, secured by a pledge of all of the assets of JR Licensing.</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H Term Loan bears interest at an annual rate, as elected by H Licensing, of LIBOR plus 3.50% or Prime rate plus 0.50%. Interest on the H Term Loan accruing at a rate based on LIBOR is payable on the last business day of the applicable interest period and interest on the H Term Loan accruing at a rate based on the Prime rate is payable quarterly in arrears on the first day of each calendar quarter. Scheduled principal payments of the H Loan are as follows: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35"/>
        <w:spacing w:after="0" w:line="254" w:lineRule="auto"/>
        <w:rPr>
          <w:sz w:val="20"/>
          <w:szCs w:val="20"/>
          <w:color w:val="auto"/>
        </w:rPr>
      </w:pPr>
      <w:r>
        <w:rPr>
          <w:rFonts w:ascii="Arial" w:cs="Arial" w:eastAsia="Arial" w:hAnsi="Arial"/>
          <w:sz w:val="18"/>
          <w:szCs w:val="18"/>
          <w:color w:val="auto"/>
        </w:rPr>
        <w:t>For any fiscal year commencing with the fiscal year ending December 31, 2015, H Licensing is required to prepay the outstanding amount of the H Term Loan from excess cash flow for the prior fiscal year in an amount equal to twenty percent (20%) of such excess cash flow. Excess cash flow is defined as, for any fiscal period, cash provided by operating activities for such period less (a) capital expenditures not made through the incurrence of indebtedness less (b) all cash interest and principal (including the H Term Loan) paid or payable during such period less (c) all taxes paid or payable during such period less (d) payments made during such period by H Licensing to the Company equal to the estimated tax liability of the Company resulting from any taxable income (net of losses, including for prior years to the extent permitted to be deducted) of H Licensing. H Licensing also executed a guarantee of the Company’s outstanding term loans with BHI. The Company estimates that there will not be a principal payment due from excess cash flow for the year ending December 31,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H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 Term Loans</w:t>
      </w:r>
    </w:p>
    <w:p>
      <w:pPr>
        <w:spacing w:after="0" w:line="225"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8"/>
          <w:szCs w:val="18"/>
          <w:color w:val="auto"/>
        </w:rPr>
        <w:t>The Company is required to maintain minimum fixed charge ratio and liquidity covenants and other non-monetary covenants, including reporting requirements and trademark preservation in accordance with the terms and conditions of the IM Term Loan, the JR Term Loan, and the H Term Loan (collectively, the “Term Loans”). In addition:</w:t>
      </w:r>
    </w:p>
    <w:p>
      <w:pPr>
        <w:spacing w:after="0" w:line="181" w:lineRule="exact"/>
        <w:rPr>
          <w:sz w:val="20"/>
          <w:szCs w:val="20"/>
          <w:color w:val="auto"/>
        </w:rPr>
      </w:pPr>
    </w:p>
    <w:p>
      <w:pPr>
        <w:jc w:val="both"/>
        <w:ind w:left="1160" w:hanging="463"/>
        <w:spacing w:after="0" w:line="25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(as defined in the respective term loan agreements) of the Company on a consolidated basis shall not be less than $7,500,000 for the year ending December 31, 2015, not less than $15,500,000 for the year ending December 31, 2016 and not less than $17,000,000 for year ending December 31, 2017 and each year end thereafter;</w:t>
      </w:r>
    </w:p>
    <w:p>
      <w:pPr>
        <w:jc w:val="both"/>
        <w:ind w:left="1160" w:hanging="463"/>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of the Company on a consolidated basis in any fiscal year shall not exceed $1,300,000, of which not more than $500,000 shall be capital expenditures for the retail division for the year ending December 31, 2015, and $500,000 for the year ending December 31, 2016 and each year end thereafter;</w:t>
      </w:r>
    </w:p>
    <w:p>
      <w:pPr>
        <w:spacing w:after="0" w:line="1" w:lineRule="exact"/>
        <w:rPr>
          <w:rFonts w:ascii="Arial" w:cs="Arial" w:eastAsia="Arial" w:hAnsi="Arial"/>
          <w:sz w:val="18"/>
          <w:szCs w:val="18"/>
          <w:color w:val="auto"/>
        </w:rPr>
      </w:pPr>
    </w:p>
    <w:p>
      <w:pPr>
        <w:ind w:left="1160" w:right="20" w:hanging="463"/>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any time;</w:t>
      </w:r>
    </w:p>
    <w:p>
      <w:pPr>
        <w:spacing w:after="0" w:line="9"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 assets of the Company on a consolidated basis shall not be less than $4,500,000 at any time after August 31, 2015;</w:t>
      </w:r>
    </w:p>
    <w:p>
      <w:pPr>
        <w:spacing w:after="0" w:line="9" w:lineRule="exact"/>
        <w:rPr>
          <w:rFonts w:ascii="Arial" w:cs="Arial" w:eastAsia="Arial" w:hAnsi="Arial"/>
          <w:sz w:val="18"/>
          <w:szCs w:val="18"/>
          <w:color w:val="auto"/>
        </w:rPr>
      </w:pPr>
    </w:p>
    <w:p>
      <w:pPr>
        <w:jc w:val="both"/>
        <w:ind w:left="1160" w:hanging="463"/>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of IM Brands (as defined in the agreement) shall not be less than $9,000,000 for the year ending December 31, 2015, not less than $11,000,000 for the year ending December 31, 2016 and not less than $12,500,000 for the year ending December 31, 2017 and each year end thereafter;</w:t>
      </w:r>
    </w:p>
    <w:p>
      <w:pPr>
        <w:spacing w:after="0" w:line="1" w:lineRule="exact"/>
        <w:rPr>
          <w:rFonts w:ascii="Arial" w:cs="Arial" w:eastAsia="Arial" w:hAnsi="Arial"/>
          <w:sz w:val="18"/>
          <w:szCs w:val="18"/>
          <w:color w:val="auto"/>
        </w:rPr>
      </w:pPr>
    </w:p>
    <w:p>
      <w:pPr>
        <w:ind w:left="1160" w:hanging="463"/>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of JR Licensing (as defined in the agreement) shall not be less than $4,000,000 for the year ending December 31, 2015 and not less than $5,000,000 for the year ending December 31, 2016 and each year end thereafter;</w:t>
      </w:r>
    </w:p>
    <w:p>
      <w:pPr>
        <w:jc w:val="both"/>
        <w:ind w:left="1160" w:hanging="463"/>
        <w:spacing w:after="0" w:line="255"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 Licensing’s loss, if any (prior to the Company’s allocable expenses) for the year ending December 31, 2015 cannot exceed $500,000 and EBITDA of H Licensing (as defined in the agreement) shall not be less than $4,500,000 for the year ending December 31, 2016 and not less than $5,000,000 for the year ending December 31, 2017 and each year end thereafter; and</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1160" w:hanging="463"/>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H Licensing shall have license royalty income of at least $6,000,000 each year commencing for the year ending December 31, 2016.</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25, 2015, the Company entered into an Amendment to Line Letter Agreements with BHI (the “Line Letter Amendment”), pursuant to which the parties amended the IM Term Loan, the JR Term Loan and the H Term Loan in order to amend the definition of “Liquid Assets” in each of the term loans to include cash on deposit with BHI to secure the reimbursement of obligations to BHI arising from the issuance of letters of credit by BHI for the benefit of the Company. Additionally, the term loans are amended to permit the Company and (a) JR Licensing (with respect to the JR Term Loan), (b) H Licensing (with respect to the H Term Loan) or (c) IM Brands (with respect to the IM Term Loan), as applicable, to incur additional indebtedness with BHI.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the Company was in compliance with all of the covenants under the Term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Quarter and the Prior Year Quarter, the Company incurred interest expense of $309,000 and $226,000, respectively, related to the Term Loans. For the Current Six Months and the Prior Year Six Months, the Company incurred interest expense of $621,000 and $370,000, respectively, related to the Term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is 0.25%. Management determined that this rate was below the Company’s expected borrowing rate, which was then estimated at 9.25% per annum. Therefore, the Company discounted the IM Seller Note by $1,740,000 using a 9.0% imputed annual interest rate, resulting in an initial value of $5,637,000. Also, on September 29, 2011, the Company prepaid $123,000 of interest on the IM Seller Note. The imputed interest amount is being amortized over the term of the IM Seller Note and recorded as other interest and finance expense on the Company’s unaudited condensed consolidated statements of operations.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24, 2013, the IM Seller Note was amended to (1) revise the maturity date to September 30, 2016 (the “Amended Maturity Date”), (2) revise the date to which the maturity date may be extended to September 30, 2018. The IM Seller Note also (1) provides the Company with a prepayment right with its Common Stock, subject to remitting in cash the required cash payments set forth below and a minimum Common Stock price of $4.50 per share, and (2) requires interim scheduled payments. The remaining scheduled principal payments (including amortization of imputed interest)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Payment</w:t>
            </w:r>
          </w:p>
        </w:tc>
      </w:tr>
      <w:tr>
        <w:trPr>
          <w:trHeight w:val="234"/>
        </w:trPr>
        <w:tc>
          <w:tcPr>
            <w:tcW w:w="10060" w:type="dxa"/>
            <w:vAlign w:val="bottom"/>
          </w:tcPr>
          <w:p>
            <w:pPr>
              <w:ind w:left="448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31, 2016 (i)</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September 30, 2016 (ii)</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4,377,000</w:t>
            </w:r>
          </w:p>
        </w:tc>
      </w:tr>
    </w:tbl>
    <w:p>
      <w:pPr>
        <w:spacing w:after="0" w:line="187" w:lineRule="exact"/>
        <w:rPr>
          <w:sz w:val="20"/>
          <w:szCs w:val="20"/>
          <w:color w:val="auto"/>
        </w:rPr>
      </w:pPr>
    </w:p>
    <w:p>
      <w:pPr>
        <w:ind w:left="980" w:hanging="648"/>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Payable in cash subject to BHI approving the cash payment. If BHI does not approve the cash payment, the amount shall be payable in shares of Common Stock.</w:t>
      </w:r>
    </w:p>
    <w:p>
      <w:pPr>
        <w:spacing w:after="0" w:line="1"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Payable in stock or cash at the Company’s sole discretion. Amounts paid in cash require BHI’s approval.</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Current Quarter and the Prior Year Quarter, the Company incurred interest expense of $78,000 and $85,000, respectively, which includes amortization of the discount on the IM Seller Note of $73,000 and $80,000, respectively. For the Current Six Months and the Prior Year Six Months, the Company incurred interest expense of $158,000 and $168,000, respectively, which includes amortization of the discount on the IM Seller Note of $149,000 and $158,000, respectively. The IM Seller Note balance, net of discount, at June 30, 2015 and December 31, 2014 was $4,765,000 and $5,366,000,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Ripka Seller Notes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On February 20, 2015, a portion of the Ripka Seller Notes was amended and satisfied.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determined that its expected borrowing rate is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condensed consolidated statements of operations.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20, 2015, the Company agreed to cancel Ripka Seller Notes in the principal amount of $3.0 million and execute in its place: (i) a $2.4 million principal amount promissory note issued in the name of Ripka (the “$2,400,000 Seller Note”) and (ii) a $600,000 principal amount promissory note issued in the name of Ripka (the “$600,000 Seller Note”), each with substantially the same terms as the Ripka Seller Notes; provided, however, that the Company and Ms. Ripka agreed that, upon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The $2,400,000 Seller Note was assigned by Ripka to Judith Ripka Creations, Inc. and then assigned by Judith Ripka Creations, Inc. to Thai Jewelry Manufacturer Co. LTD. (“Thai Jewelry”).</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97" w:lineRule="auto"/>
        <w:rPr>
          <w:sz w:val="20"/>
          <w:szCs w:val="20"/>
          <w:color w:val="auto"/>
        </w:rPr>
      </w:pPr>
      <w:r>
        <w:rPr>
          <w:rFonts w:ascii="Arial" w:cs="Arial" w:eastAsia="Arial" w:hAnsi="Arial"/>
          <w:sz w:val="16"/>
          <w:szCs w:val="16"/>
          <w:color w:val="auto"/>
        </w:rPr>
        <w:t>On February 20, 2015, the Company entered into a release letter (the “Release Letter”) with Thai Jewelry, pursuant to which the Company agreed to issue to Thai Jewelry an aggregate of 266,667 shares of the Company’s Common Stock in exchange for the cancellation of the $2,400,000 Seller Note. On March 25, 2015, the Company issued the shares of Common Stock pursuant to the Release Letter. The carrying value, net of the discount at the time of the redemption of the $2.4 million Ripka Seller Notes was $1.79 million and, as a result, the Company recorded a loss on the early extinguishment of debt of $0.61 million during the Current Six Months, which is included in the accompanying condensed consolidated statements of operations.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21, 2015, the Company satisfied an additional $3 million principal amount of the Ripka Seller Notes by issuing 333,334 shares of the Company’s common stock. The carrying value, net of the discount at the time of the redemption of the $3 million Ripka Seller Notes was $2.24 million and, as a result, the Company recorded a loss on the early extinguishment of debt of $0.76 million during the Current Quarter.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Current Quarter and Prior Year Quarter, the Company incurred interest expense of $9,000 and $75,000, respectively, which consists solely of amortization of the discount on the Ripka Seller Notes. For the Current Six Months and the Prior Year Six Months, the Company incurred interest expense of $88,000 and $75,000, respectively, which consists solely of amortization of the discount on the Ripka Seller Notes. The Ripka Seller Notes balance, net of discount, at June 30, 2015 and December 31, 2014 was $452,000 and $4,398,000,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Earn-Out Obligation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 Ready may earn additional shares of Common Stock with a value of up to $7,500,000 (the “IM Earn-Out Value”) for the 12-month period ending September 30, 2015, with the number of shares to be issued based upon the greater of (i) $4.50 per share and (ii) the average stock price for the last twenty days in such period, and with such earn-out payment contingent upon the Isaac Mizrahi Business achieving the net royalty income target set forth below (the “IM Earn-Out Obligation”). On December 24, 2013, the Company and IM Ready amended the terms of the IM Earn-Out Obligation and eliminated the additional consideration for the 12 months ending September 30, 2014 and the Company made a one-time cash payment of $315,000 to IM Ready in March 2014.</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 Earn-Out Obligation is recorded as the current portion of long-term debt in the amount of $0 and $3.0 million at June 30, 2015 and December 31, 2014, respectively, in the accompanying condensed consolidated balance sheets.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$3.0 million reduction during the Current Quarter and Current Six Months was recorded as a gain on the reduction of contingent obligations in the accompanying condensed consolidated statements of operations. Prior to the Current Quarter reduction, the IM Earn-Out Obligation was based on the $7.5 million Earn-Out Value multiplied by 40%, the applicable percentage. The applicable percentage was based on an estimated royalty target range. The reduction in the IM Earn-Out Obligation was based primarily on a revision of projected future net royalty income related to the Isaac Mizrahi Brand during the earn-out period ending September 30, 2015. The IM Earn-Out Obligation was reduced as a result of the timing of projected future net royalty income of the Isaac Mizrahi Business, which diminished the probability of achieving the remaining royalty target. This adjustment resulted from the Company having better visibility as to its 2015 royalties given current Isaac Mizrahi Brand product sales information.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change in the IM Earn-Out Obligation at September 30, 2015 will result in a reversal of the income recorded in the Current Quarter. In addition, a change in the IM Earn-Out Obligation in excess of the income recorded in the Current Quarter could result in an expense. The royalty targets and percentage of the potential earn-out value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Earn-Out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Royalty Target Period</w:t>
            </w: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Royalty Target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Royalty Target Period (October 1, 2014 to September 30, 2015)</w:t>
            </w:r>
          </w:p>
        </w:tc>
        <w:tc>
          <w:tcPr>
            <w:tcW w:w="1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24,000,000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IM Ready will receive a percentage of the IM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Earn-Out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1140"/>
              <w:spacing w:after="0"/>
              <w:rPr>
                <w:sz w:val="20"/>
                <w:szCs w:val="20"/>
                <w:color w:val="auto"/>
              </w:rPr>
            </w:pPr>
            <w:r>
              <w:rPr>
                <w:rFonts w:ascii="Arial" w:cs="Arial" w:eastAsia="Arial" w:hAnsi="Arial"/>
                <w:sz w:val="18"/>
                <w:szCs w:val="18"/>
                <w:b w:val="1"/>
                <w:bCs w:val="1"/>
                <w:color w:val="auto"/>
              </w:rPr>
              <w:t>Applicable Percentage</w:t>
            </w:r>
          </w:p>
        </w:tc>
        <w:tc>
          <w:tcPr>
            <w:tcW w:w="4760" w:type="dxa"/>
            <w:vAlign w:val="bottom"/>
          </w:tcPr>
          <w:p>
            <w:pPr>
              <w:spacing w:after="0"/>
              <w:rPr>
                <w:sz w:val="20"/>
                <w:szCs w:val="20"/>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Value Earned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Less than 76%</w:t>
            </w:r>
          </w:p>
        </w:tc>
        <w:tc>
          <w:tcPr>
            <w:tcW w:w="476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76% up to 80%</w:t>
            </w:r>
          </w:p>
        </w:tc>
        <w:tc>
          <w:tcPr>
            <w:tcW w:w="604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80% up to 90%</w:t>
            </w:r>
          </w:p>
        </w:tc>
        <w:tc>
          <w:tcPr>
            <w:tcW w:w="6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90% up to 95%</w:t>
            </w:r>
          </w:p>
        </w:tc>
        <w:tc>
          <w:tcPr>
            <w:tcW w:w="6040" w:type="dxa"/>
            <w:vAlign w:val="bottom"/>
            <w:gridSpan w:val="4"/>
          </w:tcPr>
          <w:p>
            <w:pPr>
              <w:jc w:val="right"/>
              <w:ind w:right="2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95% up to 100%</w:t>
            </w:r>
          </w:p>
        </w:tc>
        <w:tc>
          <w:tcPr>
            <w:tcW w:w="6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100% or greater</w:t>
            </w:r>
          </w:p>
        </w:tc>
        <w:tc>
          <w:tcPr>
            <w:tcW w:w="604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jc w:val="right"/>
              <w:ind w:right="313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IM Earn-Out Value is payable solely in stock. In accordance with ASC Topic 480, “Distinguishing Liabilities from Equity” (“ASC Topic 480”), the IM Earn-Out Obligation is treated as a liability in the accompanying condensed consolidated balance sheets because of the variable number of shares payable under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Earn-Out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obligated to pay IM Ready $2.76 million, payable in cash or Common Stock, at the Company’s option, contingent upon IM Brands receiving aggregate net royalty income of at least $2.5 million from QVC in the twelve-month period ending September 30, 2015 with the number of shares of such stock based upon the greater of (x) $4.50 per share, and (y) the average stock price for the last twenty business days prior to the time of such issuance (the “QVC Earn-Out”). Management has determined that the $2.5 million in net royalty income from QVC for the twelve-month period ending September 30, 2015 has been met. The QVC Earn-Out is recorded as a current liability in the accompanying condensed consolidated balance sheets because of the variable number of shares payable under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Ripka Earn-Out</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purchase of the Ripka Brand, the Company agreed to pay Ripka additional consideration of up to $5 million in aggregate (the “Ripka Earn-Out”), payable in cash or shares of the Company’s Common Stock based on the fair market value of the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shall not include any revenues generated by direct-response television sales or any revenue accelerated as a result of termination of any license agreement. The Ripka Earn-Out of $3.78 million is recorded as long-term debt at June 30, 2015 in the accompanying condensed consolidated balance sheets based on the difference between the fair value of the acquired assets of the Ripka Brand and the total consideration paid. In accordance with ASC Topic 480, the Ripka Earn-Out obligation is treated as a liability in the accompanying condensed consolidated balance sheet because of the variable number of shares payable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and December 31, 2014, total contingent obligations were $6.55 million and $9.55 million, respectively.</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8,000,000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 free rate is based on the U.S. Treasury rate for the expected life at the time of grant, volatility is based on the average long-term implied volatilities of peer companies, the expected life is based on the estimated average of the life of options and warrants using the simplified method, and forfeitures are estimated on the date of grant based on certain historical data.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Forfeitures are required to be estimated at the time of grant and revised, if necessary, in subsequent periods if actual forfeitures differ from those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Options granted under the Plan expire at various times, either five, seven or ten years from the date of grant, depending on the particular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stock options during the Current Six Months.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summary of the Company’s stock options for the Current Six Months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Number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c>
          <w:tcPr>
            <w:tcW w:w="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1,472,000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Outstanding and expected to vest at June 30, 2015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402,750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1,465,000</w:t>
            </w:r>
          </w:p>
        </w:tc>
        <w:tc>
          <w:tcPr>
            <w:tcW w:w="80" w:type="dxa"/>
            <w:vAlign w:val="bottom"/>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48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June 30, 2015</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332,750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1,327,000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preceding table does not include options to purchase 576 shares of Common Stock for $728 per share issued under the Company’s former equity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issue any equity awards under this plan.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$16,000 and $10,000, respectively. Compensation expense related to stock option grants for the Current Six Months and the Prior Year Six Months was $33,000 and $19,000, respectively. Total unrecognized compensation expense related to unvested stock options at June 30, 2015 amounts to $67,000 and is expected to be recognized over a weighted average period of 1.03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Six Months: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0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Number of</w:t>
            </w:r>
          </w:p>
        </w:tc>
        <w:tc>
          <w:tcPr>
            <w:tcW w:w="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0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Options</w:t>
            </w:r>
          </w:p>
        </w:tc>
        <w:tc>
          <w:tcPr>
            <w:tcW w:w="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Forfeited or Canceled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3"/>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either five, seven or ten years from the date of grant, depending on the particular grant.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2015 and December 31, 2014, there were 2,219,543 warrants outstanding and exercisable, with a weighted average exercise price of $6.07 per share. The weighted average remaining contractual life of the warrants outstanding and exercisable at June 30, 2015 and December 31, 2014 was 3.98 and 4.23 years, respectively, and the aggregate intrinsic value was $6,497,413 for both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warrants to purchase shares of Common Stock during the Current Six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was recorded in the Current Six Months or Prior Year Six Months related to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for the Current Six Months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30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3,208,410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980" w:type="dxa"/>
            <w:vAlign w:val="bottom"/>
            <w:gridSpan w:val="3"/>
          </w:tcPr>
          <w:p>
            <w:pPr>
              <w:jc w:val="right"/>
              <w:ind w:right="140"/>
              <w:spacing w:after="0"/>
              <w:rPr>
                <w:sz w:val="20"/>
                <w:szCs w:val="20"/>
                <w:color w:val="auto"/>
              </w:rPr>
            </w:pPr>
            <w:r>
              <w:rPr>
                <w:rFonts w:ascii="Arial" w:cs="Arial" w:eastAsia="Arial" w:hAnsi="Arial"/>
                <w:sz w:val="18"/>
                <w:szCs w:val="18"/>
                <w:color w:val="auto"/>
              </w:rPr>
              <w:t>585,667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3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Vested</w:t>
            </w:r>
          </w:p>
        </w:tc>
        <w:tc>
          <w:tcPr>
            <w:tcW w:w="3980" w:type="dxa"/>
            <w:vAlign w:val="bottom"/>
            <w:gridSpan w:val="3"/>
          </w:tcPr>
          <w:p>
            <w:pPr>
              <w:jc w:val="right"/>
              <w:ind w:right="80"/>
              <w:spacing w:after="0"/>
              <w:rPr>
                <w:sz w:val="20"/>
                <w:szCs w:val="20"/>
                <w:color w:val="auto"/>
              </w:rPr>
            </w:pPr>
            <w:r>
              <w:rPr>
                <w:rFonts w:ascii="Arial" w:cs="Arial" w:eastAsia="Arial" w:hAnsi="Arial"/>
                <w:sz w:val="18"/>
                <w:szCs w:val="18"/>
                <w:color w:val="auto"/>
              </w:rPr>
              <w:t>(69,905)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3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(5,875)</w:t>
            </w: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Outstanding at June 30, 2015</w:t>
            </w:r>
          </w:p>
        </w:tc>
        <w:tc>
          <w:tcPr>
            <w:tcW w:w="30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3,718,297</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20" w:type="dxa"/>
            <w:vAlign w:val="bottom"/>
            <w:vMerge w:val="restart"/>
          </w:tcPr>
          <w:p>
            <w:pPr>
              <w:jc w:val="right"/>
              <w:ind w:right="1930"/>
              <w:spacing w:after="0"/>
              <w:rPr>
                <w:sz w:val="20"/>
                <w:szCs w:val="20"/>
                <w:color w:val="auto"/>
              </w:rPr>
            </w:pPr>
            <w:r>
              <w:rPr>
                <w:rFonts w:ascii="Arial" w:cs="Arial" w:eastAsia="Arial" w:hAnsi="Arial"/>
                <w:sz w:val="18"/>
                <w:szCs w:val="18"/>
                <w:color w:val="auto"/>
              </w:rPr>
              <w:t>14</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968" w:gutter="0" w:footer="0" w:header="0"/>
        </w:sectPr>
      </w:pPr>
    </w:p>
    <w:bookmarkStart w:id="15" w:name="page16"/>
    <w:bookmarkEnd w:id="15"/>
    <w:p>
      <w:pPr>
        <w:jc w:val="both"/>
        <w:spacing w:after="0" w:line="288" w:lineRule="auto"/>
        <w:rPr>
          <w:sz w:val="20"/>
          <w:szCs w:val="20"/>
          <w:color w:val="auto"/>
        </w:rPr>
      </w:pPr>
      <w:r>
        <w:rPr>
          <w:rFonts w:ascii="Arial" w:cs="Arial" w:eastAsia="Arial" w:hAnsi="Arial"/>
          <w:sz w:val="16"/>
          <w:szCs w:val="16"/>
          <w:color w:val="auto"/>
        </w:rPr>
        <w:t>On January 1, 2015, the Company issued to a non-executive employee 25,000 shares of restricted stock. The shares of restricted stock vest evenly over two years, whereby 50% shall vest on January 1, 2016 and 50% shall vest on January 1, 2017. Notwithstanding the foregoing, the grantee may extend the first anniversary of all or a portion of the restricted stock by six months and, thereafter one or more times may further extend such date with respect to all or a</w:t>
      </w:r>
    </w:p>
    <w:p>
      <w:pPr>
        <w:jc w:val="both"/>
        <w:spacing w:after="0" w:line="205" w:lineRule="auto"/>
        <w:rPr>
          <w:sz w:val="20"/>
          <w:szCs w:val="20"/>
          <w:color w:val="auto"/>
        </w:rPr>
      </w:pPr>
      <w:r>
        <w:rPr>
          <w:rFonts w:ascii="Arial" w:cs="Arial" w:eastAsia="Arial" w:hAnsi="Arial"/>
          <w:sz w:val="18"/>
          <w:szCs w:val="18"/>
          <w:color w:val="auto"/>
        </w:rPr>
        <w:t>portion of the restricted stock until the next following July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or January 1st, as the case may be, by providing written notice of such election to extend such date with respect to all or a portion of the restricted stock prior to such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 January 6, 2015, the Company issued non-executive employees 18,167 shares of fully vested common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 2015, the Company issued to each non-management director 10,000 shares of restricted stock. The shares of restricted stock will vest evenly over two years, whereby 50% shall vest on March 31, 2016 and 50% shall vest on March 31, 2017.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19</w:t>
      </w:r>
      <w:r>
        <w:rPr>
          <w:rFonts w:ascii="Arial" w:cs="Arial" w:eastAsia="Arial" w:hAnsi="Arial"/>
          <w:sz w:val="18"/>
          <w:szCs w:val="18"/>
          <w:b w:val="1"/>
          <w:bCs w:val="1"/>
          <w:color w:val="auto"/>
        </w:rPr>
        <w:t>,</w:t>
      </w:r>
      <w:r>
        <w:rPr>
          <w:rFonts w:ascii="Arial" w:cs="Arial" w:eastAsia="Arial" w:hAnsi="Arial"/>
          <w:sz w:val="18"/>
          <w:szCs w:val="18"/>
          <w:color w:val="auto"/>
        </w:rPr>
        <w:t xml:space="preserve"> 2015, the Company issued certain executive officers and employees 417,500 shares of restricted stock. The shares of restricted stock vest evenly over two years, whereby 50% vest on April 30, 2016 and 50% vest on April 30, 2017. Notwithstanding the foregoing, each grantee may extend the first anniversary of all or a portion of the restricted stock by six months and, thereafter one or more times may further extend such date with respect to all or a portion of the restricted stock until the next following April 30th or October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 2015, the Company issued a non-management director 75,000 shares of restricted stock. The shares of restricted stock will vest evenly over three years, whereby 33.33% shall vest on each of May 31, 2016, 2017 and 2018, respectively. Notwithstanding the foregoing, the grantee may extend the first anniversary of all or a portion of the restricted stock by six months and, thereafter one or more times may further extend such date with respect to all or a portion of the restricted stock until the next following November 30th or May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restricted stock grants for the Current Quarter and Prior Year Quarter was $1,092,000 and $1,810,000, respectively. Compensation expense related to restricted stock grants for the Current Six Months and Prior Year Six Months was $2,088,000 and $3,368,000, respectively. Total unrecognized compensation expense related to unvested restricted stock grants at June 30, 2015 amounts to $6,988,000 and is expected to be recognized over a weighted average period of 1.55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2015, there were 3,114,716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2015, there were 5,737,009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and convertible debt, using the if-converted method. Diluted EPS excludes all potentially dilutive shares of common stock if their effect is anti-dilutive.</w:t>
      </w:r>
    </w:p>
    <w:p>
      <w:pPr>
        <w:sectPr>
          <w:pgSz w:w="11900" w:h="16838" w:orient="portrait"/>
          <w:cols w:equalWidth="0" w:num="1">
            <w:col w:w="11420"/>
          </w:cols>
          <w:pgMar w:left="240" w:top="908"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Shares used in calculating basic and diluted income (loss) per share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Effect of exercise of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54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166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14,850,874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5"/>
              </w:rPr>
              <w:t>11,713,813</w:t>
            </w:r>
          </w:p>
        </w:tc>
        <w:tc>
          <w:tcPr>
            <w:tcW w:w="2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14,462,305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5"/>
              </w:rPr>
              <w:t>11,274,503</w:t>
            </w:r>
          </w:p>
        </w:tc>
        <w:tc>
          <w:tcPr>
            <w:tcW w:w="40" w:type="dxa"/>
            <w:vAlign w:val="bottom"/>
            <w:gridSpan w:val="2"/>
          </w:tcPr>
          <w:p>
            <w:pPr>
              <w:spacing w:after="0"/>
              <w:rPr>
                <w:sz w:val="16"/>
                <w:szCs w:val="16"/>
                <w:color w:val="auto"/>
              </w:rPr>
            </w:pPr>
          </w:p>
        </w:tc>
      </w:tr>
      <w:tr>
        <w:trPr>
          <w:trHeight w:val="230"/>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971,873</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866,548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971,873</w:t>
            </w:r>
          </w:p>
        </w:tc>
        <w:tc>
          <w:tcPr>
            <w:tcW w:w="26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141,228</w:t>
            </w: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129,823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141,228</w:t>
            </w:r>
          </w:p>
        </w:tc>
        <w:tc>
          <w:tcPr>
            <w:tcW w:w="26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15,963,975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12,710,184</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15,575,406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11,274,503</w:t>
            </w:r>
          </w:p>
        </w:tc>
        <w:tc>
          <w:tcPr>
            <w:tcW w:w="20" w:type="dxa"/>
            <w:vAlign w:val="bottom"/>
            <w:tcBorders>
              <w:bottom w:val="single" w:sz="8" w:color="auto"/>
            </w:tcBorders>
          </w:tcPr>
          <w:p>
            <w:pPr>
              <w:spacing w:after="0"/>
              <w:rPr>
                <w:sz w:val="19"/>
                <w:szCs w:val="19"/>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60" w:space="120"/>
            <w:col w:w="5340"/>
          </w:cols>
          <w:pgMar w:left="240" w:top="908" w:right="239" w:bottom="1440" w:gutter="0" w:footer="0" w:header="0"/>
          <w:type w:val="continuous"/>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58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240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4"/>
        </w:trPr>
        <w:tc>
          <w:tcPr>
            <w:tcW w:w="420" w:type="dxa"/>
            <w:vAlign w:val="bottom"/>
          </w:tcPr>
          <w:p>
            <w:pPr>
              <w:spacing w:after="0"/>
              <w:rPr>
                <w:sz w:val="20"/>
                <w:szCs w:val="20"/>
                <w:color w:val="auto"/>
              </w:rPr>
            </w:pPr>
          </w:p>
        </w:tc>
        <w:tc>
          <w:tcPr>
            <w:tcW w:w="56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771,916</w:t>
            </w:r>
          </w:p>
        </w:tc>
        <w:tc>
          <w:tcPr>
            <w:tcW w:w="100" w:type="dxa"/>
            <w:vAlign w:val="bottom"/>
            <w:shd w:val="clear" w:color="auto" w:fill="CCEEFF"/>
          </w:tcPr>
          <w:p>
            <w:pPr>
              <w:spacing w:after="0"/>
              <w:rPr>
                <w:sz w:val="18"/>
                <w:szCs w:val="18"/>
                <w:color w:val="auto"/>
              </w:rPr>
            </w:pP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7.</w:t>
            </w:r>
          </w:p>
        </w:tc>
        <w:tc>
          <w:tcPr>
            <w:tcW w:w="5620" w:type="dxa"/>
            <w:vAlign w:val="bottom"/>
          </w:tcPr>
          <w:p>
            <w:pPr>
              <w:ind w:left="240"/>
              <w:spacing w:after="0"/>
              <w:rPr>
                <w:sz w:val="20"/>
                <w:szCs w:val="20"/>
                <w:color w:val="auto"/>
              </w:rPr>
            </w:pPr>
            <w:r>
              <w:rPr>
                <w:rFonts w:ascii="Arial" w:cs="Arial" w:eastAsia="Arial" w:hAnsi="Arial"/>
                <w:sz w:val="18"/>
                <w:szCs w:val="18"/>
                <w:b w:val="1"/>
                <w:bCs w:val="1"/>
                <w:color w:val="auto"/>
              </w:rPr>
              <w:t>Income Tax</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 income tax rate for the Current Quarter and the Prior Year Quarter from continuing operations was approximately 4% and 35%, respectively, resulting in a $0.09 million income tax expense and $0.32 million income tax expense, respectively. The effective income tax rate for the Current Six Months and the Prior Year Six Months was approximately (1)% and 44%, respectively, resulting in a $0.02 million and $0.17 million income tax benefit, respectively. During the Current Quarter and the Prior Year Quarter, the Company recorded a $3.0 million and a $0.6 million gain on the reduction of contingent obligations related to the acquisition of the Isaac Mizrahi Brand, respectively. This gain was not subject to tax and was treated as a discrete item occurring in the Current Quarter and the Prior Year Quarter and the Current Six Months and the Prior Year Six Months</w:t>
      </w:r>
    </w:p>
    <w:p>
      <w:pPr>
        <w:spacing w:after="0" w:line="17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Discontinued operations represents the net sales and expenses related to the Company’s retail operations. The Company will continue to operate e-commerce, which was previously reported as a component of retail operations, as a component of its licensing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summary of the Company’s results of discontinued operations of its retail business for the Current Quarter and Current Six Months, as well as the Prior Year Quarter and Prior Year Six Months and the Company’s assets and liabilities from discontinued operations of its retail business as of June 30, 2015 and December 31, 2014 are as follows:</w:t>
      </w:r>
    </w:p>
    <w:p>
      <w:pPr>
        <w:spacing w:after="0" w:line="16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580" w:type="dxa"/>
            <w:vAlign w:val="bottom"/>
            <w:gridSpan w:val="3"/>
          </w:tcPr>
          <w:p>
            <w:pPr>
              <w:ind w:left="80"/>
              <w:spacing w:after="0"/>
              <w:rPr>
                <w:sz w:val="20"/>
                <w:szCs w:val="20"/>
                <w:color w:val="auto"/>
              </w:rPr>
            </w:pPr>
            <w:r>
              <w:rPr>
                <w:rFonts w:ascii="Arial" w:cs="Arial" w:eastAsia="Arial" w:hAnsi="Arial"/>
                <w:sz w:val="18"/>
                <w:szCs w:val="18"/>
                <w:color w:val="auto"/>
              </w:rPr>
              <w:t>Results of discontinued operations: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8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(221,000)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(108,000)</w:t>
            </w: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(563,000)</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(31,000)</w:t>
            </w: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disposal of discontinued operations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Income tax benefit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166,000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174,000</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244,000</w:t>
            </w:r>
          </w:p>
        </w:tc>
      </w:tr>
      <w:tr>
        <w:trPr>
          <w:trHeight w:val="223"/>
        </w:trPr>
        <w:tc>
          <w:tcPr>
            <w:tcW w:w="4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per share from discontinued operations, net: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 w:type="dxa"/>
            <w:vAlign w:val="bottom"/>
          </w:tcPr>
          <w:p>
            <w:pPr>
              <w:spacing w:after="0"/>
              <w:rPr>
                <w:sz w:val="24"/>
                <w:szCs w:val="24"/>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(0.03)</w:t>
            </w:r>
          </w:p>
        </w:tc>
      </w:tr>
      <w:tr>
        <w:trPr>
          <w:trHeight w:val="197"/>
        </w:trPr>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CCEEFF"/>
              <w:bottom w:val="single" w:sz="8" w:color="CCEEFF"/>
            </w:tcBorders>
            <w:gridSpan w:val="2"/>
            <w:shd w:val="clear" w:color="auto" w:fill="CCEEFF"/>
          </w:tcPr>
          <w:p>
            <w:pPr>
              <w:ind w:left="240"/>
              <w:spacing w:after="0" w:line="190" w:lineRule="exact"/>
              <w:rPr>
                <w:sz w:val="20"/>
                <w:szCs w:val="20"/>
                <w:color w:val="auto"/>
              </w:rPr>
            </w:pPr>
            <w:r>
              <w:rPr>
                <w:rFonts w:ascii="Arial" w:cs="Arial" w:eastAsia="Arial" w:hAnsi="Arial"/>
                <w:sz w:val="18"/>
                <w:szCs w:val="18"/>
                <w:color w:val="auto"/>
              </w:rPr>
              <w:t>Diluted</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 w:type="dxa"/>
            <w:vAlign w:val="bottom"/>
          </w:tcPr>
          <w:p>
            <w:pPr>
              <w:spacing w:after="0"/>
              <w:rPr>
                <w:sz w:val="24"/>
                <w:szCs w:val="24"/>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14,850,874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11,713,813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14,462,305</w:t>
            </w: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11,274,503</w:t>
            </w:r>
          </w:p>
        </w:tc>
      </w:tr>
      <w:tr>
        <w:trPr>
          <w:trHeight w:val="197"/>
        </w:trPr>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CCEEFF"/>
              <w:bottom w:val="single" w:sz="8" w:color="CCEEFF"/>
            </w:tcBorders>
            <w:gridSpan w:val="2"/>
            <w:shd w:val="clear" w:color="auto" w:fill="CCEEFF"/>
          </w:tcPr>
          <w:p>
            <w:pPr>
              <w:ind w:left="240"/>
              <w:spacing w:after="0" w:line="190" w:lineRule="exact"/>
              <w:rPr>
                <w:sz w:val="20"/>
                <w:szCs w:val="20"/>
                <w:color w:val="auto"/>
              </w:rPr>
            </w:pPr>
            <w:r>
              <w:rPr>
                <w:rFonts w:ascii="Arial" w:cs="Arial" w:eastAsia="Arial" w:hAnsi="Arial"/>
                <w:sz w:val="18"/>
                <w:szCs w:val="18"/>
                <w:color w:val="auto"/>
              </w:rPr>
              <w:t>Diluted</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15,963,975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12,710,184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15,575,406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11,274,503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Assets and liabilities of discontinued operations:</w:t>
      </w:r>
    </w:p>
    <w:p>
      <w:pPr>
        <w:sectPr>
          <w:pgSz w:w="11900" w:h="16838" w:orient="portrait"/>
          <w:cols w:equalWidth="0" w:num="1">
            <w:col w:w="11420"/>
          </w:cols>
          <w:pgMar w:left="240" w:top="908" w:right="239" w:bottom="4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Prepaid expenses and other current assets</w:t>
      </w:r>
    </w:p>
    <w:p>
      <w:pPr>
        <w:spacing w:after="0" w:line="4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December</w:t>
      </w:r>
    </w:p>
    <w:p>
      <w:pPr>
        <w:spacing w:after="0" w:line="39"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b w:val="1"/>
          <w:bCs w:val="1"/>
          <w:color w:val="auto"/>
        </w:rPr>
        <w:t>June 30,</w:t>
      </w:r>
      <w:r>
        <w:rPr>
          <w:sz w:val="20"/>
          <w:szCs w:val="20"/>
          <w:color w:val="auto"/>
        </w:rPr>
        <w:tab/>
      </w:r>
      <w:r>
        <w:rPr>
          <w:rFonts w:ascii="Arial" w:cs="Arial" w:eastAsia="Arial" w:hAnsi="Arial"/>
          <w:sz w:val="15"/>
          <w:szCs w:val="15"/>
          <w:b w:val="1"/>
          <w:bCs w:val="1"/>
          <w:color w:val="auto"/>
        </w:rPr>
        <w:t>31,</w:t>
      </w:r>
    </w:p>
    <w:p>
      <w:pPr>
        <w:spacing w:after="0" w:line="9" w:lineRule="exact"/>
        <w:rPr>
          <w:sz w:val="20"/>
          <w:szCs w:val="20"/>
          <w:color w:val="auto"/>
        </w:rPr>
      </w:pPr>
    </w:p>
    <w:p>
      <w:pPr>
        <w:ind w:left="300"/>
        <w:spacing w:after="0"/>
        <w:tabs>
          <w:tab w:leader="none" w:pos="136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3" w:lineRule="exact"/>
        <w:rPr>
          <w:sz w:val="20"/>
          <w:szCs w:val="20"/>
          <w:color w:val="auto"/>
        </w:rPr>
      </w:pPr>
    </w:p>
    <w:p>
      <w:pPr>
        <w:ind w:left="880" w:hanging="875"/>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   214,000</w:t>
      </w:r>
    </w:p>
    <w:p>
      <w:pPr>
        <w:spacing w:after="0" w:line="23" w:lineRule="exact"/>
        <w:rPr>
          <w:sz w:val="20"/>
          <w:szCs w:val="20"/>
          <w:color w:val="auto"/>
        </w:rPr>
      </w:pPr>
    </w:p>
    <w:p>
      <w:pPr>
        <w:jc w:val="both"/>
        <w:ind w:left="540"/>
        <w:spacing w:after="0"/>
        <w:tabs>
          <w:tab w:leader="none" w:pos="1500" w:val="left"/>
        </w:tabs>
        <w:rPr>
          <w:sz w:val="20"/>
          <w:szCs w:val="20"/>
          <w:color w:val="auto"/>
        </w:rPr>
      </w:pPr>
      <w:r>
        <w:rPr>
          <w:rFonts w:ascii="Arial" w:cs="Arial" w:eastAsia="Arial" w:hAnsi="Arial"/>
          <w:sz w:val="18"/>
          <w:szCs w:val="18"/>
          <w:color w:val="auto"/>
        </w:rPr>
        <w:t>9,000</w:t>
      </w:r>
      <w:r>
        <w:rPr>
          <w:sz w:val="20"/>
          <w:szCs w:val="20"/>
          <w:color w:val="auto"/>
        </w:rPr>
        <w:tab/>
      </w:r>
      <w:r>
        <w:rPr>
          <w:rFonts w:ascii="Arial" w:cs="Arial" w:eastAsia="Arial" w:hAnsi="Arial"/>
          <w:sz w:val="18"/>
          <w:szCs w:val="18"/>
          <w:color w:val="auto"/>
        </w:rPr>
        <w:t>63,000</w:t>
      </w:r>
    </w:p>
    <w:p>
      <w:pPr>
        <w:spacing w:after="0" w:line="9" w:lineRule="exact"/>
        <w:rPr>
          <w:sz w:val="20"/>
          <w:szCs w:val="20"/>
          <w:color w:val="auto"/>
        </w:rPr>
      </w:pPr>
    </w:p>
    <w:p>
      <w:pPr>
        <w:ind w:left="1440" w:hanging="563"/>
        <w:spacing w:after="0"/>
        <w:tabs>
          <w:tab w:leader="none" w:pos="1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226,000</w:t>
      </w:r>
    </w:p>
    <w:p>
      <w:pPr>
        <w:spacing w:after="0" w:line="5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$9,000  $   503,000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-139065</wp:posOffset>
            </wp:positionV>
            <wp:extent cx="1277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7460" w:space="720"/>
            <w:col w:w="3240"/>
          </w:cols>
          <w:pgMar w:left="240" w:top="908" w:right="239" w:bottom="454"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660" w:type="dxa"/>
            <w:vAlign w:val="bottom"/>
            <w:tcBorders>
              <w:top w:val="single" w:sz="8" w:color="CCEEFF"/>
            </w:tcBorders>
            <w:shd w:val="clear" w:color="auto" w:fill="CCEEFF"/>
          </w:tcPr>
          <w:p>
            <w:pPr>
              <w:spacing w:after="0"/>
              <w:rPr>
                <w:sz w:val="20"/>
                <w:szCs w:val="20"/>
                <w:color w:val="auto"/>
              </w:rPr>
            </w:pPr>
          </w:p>
        </w:tc>
        <w:tc>
          <w:tcPr>
            <w:tcW w:w="33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Property and equipment, net</w:t>
            </w:r>
          </w:p>
        </w:tc>
        <w:tc>
          <w:tcPr>
            <w:tcW w:w="3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long-term assets</w:t>
            </w:r>
          </w:p>
        </w:tc>
        <w:tc>
          <w:tcPr>
            <w:tcW w:w="33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123,000</w:t>
            </w:r>
          </w:p>
        </w:tc>
        <w:tc>
          <w:tcPr>
            <w:tcW w:w="80" w:type="dxa"/>
            <w:vAlign w:val="bottom"/>
            <w:tcBorders>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6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155,000</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3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80" w:type="dxa"/>
            <w:vAlign w:val="bottom"/>
            <w:vMerge w:val="restart"/>
          </w:tcPr>
          <w:p>
            <w:pPr>
              <w:jc w:val="right"/>
              <w:ind w:right="233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454" w:gutter="0" w:footer="0" w:header="0"/>
          <w:type w:val="continuous"/>
        </w:sectPr>
      </w:pPr>
    </w:p>
    <w:bookmarkStart w:id="17" w:name="page18"/>
    <w:bookmarkEnd w:id="17"/>
    <w:p>
      <w:pPr>
        <w:ind w:right="8660" w:firstLine="8"/>
        <w:spacing w:after="0" w:line="503" w:lineRule="auto"/>
        <w:tabs>
          <w:tab w:leader="none" w:pos="64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Todd Slater</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29, 2011, the Company entered into an agreement, which was amended on October 4, 2011, with Todd Slater, who was appointed as a director of the Company commencing on October 17, 2011, for services related to the Company’s licensing strategy and introduction to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direct licensing costs with Mr. Slater from amortization of the one-time payment stated above for the Current Quarter and the Prior Year Quarter of $8,000 and $21,000, respectively. Direct licensing costs for the Current Six Months and the Prior Year Six Months amounted to $16,000 and $43,000,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 2011, the Company entered into a licensing agent agreement with Adam Dweck (“AD”), son of Jack Dweck, a former director of the Company, pursuant to which he is entitled to a five percent commission on any royalties the Company receives under any new license agreements that he procures for the Company for the initial term of such license agreements. AD earned $7,000 and $6,000 in fees for the Current Quarter and Prior Year Quarter, respectively, and earned $14,000 and $12,000 in fees for the Current Six Months and Prior Year Six Months,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Inc.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14, 2015, the Company entered into a consulting agreement with Jones Texas, Inc., ("JT Inc.") whose controlling shareholder is Edward Jones, a Director of the Company. The agreement provides for fees payable to JT Inc. up to $25,000. Fees paid to JT Inc. amounted to $12,500 during the Current Quarter and Current Six Months. On June 24, 2015 we amended the agreement to increase the fees up to $75,000. An additional $62,500 of fees was paid to Jones Texas in August 2015 (See Note 10, Subsequent Events, to the Unaudited Condensed Consolidated Financial Statements). Consulting services were for due diligence on the C Wonder brand prior to the acquisition. The increase was attributable to the increase in the scope of work.</w:t>
      </w:r>
    </w:p>
    <w:p>
      <w:pPr>
        <w:spacing w:after="0" w:line="154" w:lineRule="exact"/>
        <w:rPr>
          <w:sz w:val="20"/>
          <w:szCs w:val="20"/>
          <w:color w:val="auto"/>
        </w:rPr>
      </w:pPr>
    </w:p>
    <w:p>
      <w:pPr>
        <w:ind w:right="8980" w:firstLine="8"/>
        <w:spacing w:after="0" w:line="566" w:lineRule="auto"/>
        <w:tabs>
          <w:tab w:leader="none" w:pos="64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Acquisition of C Wonder Assets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31, 2015 (the “C Wonder Closing Date”), the Company and C Wonder Licensing, LLC, a wholly-owned subsidiary of the Company (“C Wonder Licensing” and, together with the Company, the “Buyers”), completed the acquisition of certain assets of Burch Acquisition, LLC (the “Seller”), including the “C Wonder” trademark and other intellectual property relating thereto, pursuant to an asset purchase agreement (the “Purchase Agreement”) dated as of July 16, 2015 among the Buyers, the Seller and, solely with respect to certain non-compete and confidentiality provisions of the Purchase Agreement, J. Christopher Burch.</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accordance with the Purchase Agreement, the Buyers delivered (i) $2,500,000 in cash and 500,000 shares of common stock of the Company to the Seller (the “Closing Consideration”) and (ii) $500,000 in cash and 500,000 shares of common stock of the Company into escrow in order to secure the indemnification obligations of the Seller (the “Escrow Consideration”). Notwithstanding an indemnity claim against Seller, the Company shall release from escrow the cash balance after the fifth anniversary from the C Wonder Closing Date. The shares of common stock shall be released, each of (x) the twelve</w:t>
      </w:r>
    </w:p>
    <w:p>
      <w:pPr>
        <w:spacing w:after="0" w:line="2" w:lineRule="exact"/>
        <w:rPr>
          <w:sz w:val="20"/>
          <w:szCs w:val="20"/>
          <w:color w:val="auto"/>
        </w:rPr>
      </w:pPr>
    </w:p>
    <w:p>
      <w:pPr>
        <w:ind w:right="40" w:firstLine="8"/>
        <w:spacing w:after="0" w:line="255" w:lineRule="auto"/>
        <w:tabs>
          <w:tab w:leader="none" w:pos="3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 anniversary of the C Wonder Closing Date, and (y) the twenty-four (24) month anniversary of the C Wonder Closing Date, at which time the Company shall cause the escrow agent to release from the Escrow Consideration to the Seller, 111,111 Xcel shares less the amounts set forth in any notices of escrow claim pending as of such date.</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the Closing Consideration and the Escrowed Consideration, the Seller will be eligible to earn additional consideration, which would be payable, if at all, in cash or shares of common stock of the Company, at the Company’s sole discretion, after June 30, 2019, with a value based on the royalties related directly to the assets the Company acquires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right="100"/>
        <w:spacing w:after="0" w:line="259" w:lineRule="auto"/>
        <w:rPr>
          <w:sz w:val="20"/>
          <w:szCs w:val="20"/>
          <w:color w:val="auto"/>
        </w:rPr>
      </w:pPr>
      <w:r>
        <w:rPr>
          <w:rFonts w:ascii="Arial" w:cs="Arial" w:eastAsia="Arial" w:hAnsi="Arial"/>
          <w:sz w:val="18"/>
          <w:szCs w:val="18"/>
          <w:color w:val="auto"/>
        </w:rPr>
        <w:t>Pursuant to the Purchase Agreement, the Company and the Seller entered into a voting agreement, pursuant to which the Seller appointed Robert J. D’Loren, Chief Executive Officer, President and Chairman of the Board of the Company, as its irrevocable proxy and attorney-in-fact with respect to the shares of the common stock of the Company received by it in connection with the transaction, including any shares issued pursuant to an earn-out. As proxy holder, Mr. D’Loren, shall vote in favor of matters recommended or approved by the board of directors.</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July 15, 2015, the Company and C Wonder Licensing entered into a license agreement with QVC, Inc. dated July 31, 2015, which became effective upon the closing of the C Wonder acquisition (the “QVC License Agreement”). Pursuant to the QVC License Agreement, C Wonder designs and QVC markets, promotes, distributes and sells various products under the C Wonder brand name in exchange for a royalty based on net retail sales of the products. The initial license period expires on December 31, 2020. After the initial term, the QVC License Agreement automatically renews for additional three-year terms in perpetuity unless either party notifies the other of its intention not to renew at least sixty (60) days prior to the end of the then-current term.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Equity Offering</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31, 2015, the Company, announced the pricing of an underwritten public offering of 1,800,000 shares of its common stock at a price of $9.00 per share (the “Offering”). On August 4, 2015 the Offering was consummated and the Company received gross proceeds of $16,200,000, before underwriting discounts and commissions and other offering expenses of approximately $1,239,000. In addition, the Company granted the underwriters an option to purchase up to an additional 270,000 shares of common stock. The shares began trading on the Nasdaq Global Market under the symbol "XELB" on July 31,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Real Property Lease Agreement</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July 8, 2015, the Company entered into a Sublease Agreement (the “Sublease”) with GBG USA Inc., a Delaware corporation (the “Sublandlord”), pursuant to which the Company has subleased approximately 29,566 rentable square feet of office space (the “Premises”). The term of the Sublease commences on January 1, 2016 and expires on October 30, 2027. The Company shall pay to the Sublandlord fixed rent of $117,032 per month (which fixed rent shall increase upon the 5 year anniversary of the commencement of the Sublease) for the Premises, with the first monthly installment paid upon the signing of the Sublease, together with certain amounts of additional rent.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Sublease, the Company obtained an Irrevocable Standby Letter of Credit (the “Letter of Credit”) from BHI in favor of Sublandlord, for a sum not exceeding $1,108,725. The Company has deposited this amount with BHI as collateral for the Letter of Credit and recorded the amount as restricted cash in the June 30, 2015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Safe Harbor Statement under the Private Securities Litigation Reform Act of 1995</w:t>
      </w:r>
      <w:r>
        <w:rPr>
          <w:rFonts w:ascii="Arial" w:cs="Arial" w:eastAsia="Arial" w:hAnsi="Arial"/>
          <w:sz w:val="17"/>
          <w:szCs w:val="17"/>
          <w:color w:val="auto"/>
        </w:rPr>
        <w:t>. The statements that are not historical facts contained in this report are</w:t>
      </w:r>
      <w:r>
        <w:rPr>
          <w:rFonts w:ascii="Arial" w:cs="Arial" w:eastAsia="Arial" w:hAnsi="Arial"/>
          <w:sz w:val="17"/>
          <w:szCs w:val="17"/>
          <w:i w:val="1"/>
          <w:iCs w:val="1"/>
          <w:color w:val="auto"/>
        </w:rPr>
        <w:t xml:space="preserve"> </w:t>
      </w:r>
      <w:r>
        <w:rPr>
          <w:rFonts w:ascii="Arial" w:cs="Arial" w:eastAsia="Arial" w:hAnsi="Arial"/>
          <w:sz w:val="17"/>
          <w:szCs w:val="17"/>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2014. The words “believe,” “anticipate,” “expect,” “confident,” “project,” “provide,” “plan,” “likely,” “future,” “ongoing,” “intend,” “may,” “should,” “would,” “could,” “guidance” and similar expressions identify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Xcel Brands, Inc. (“Xcel,” the “Company,” “we,” “us” or “our”) is a brand development and media company engaged in the design, licensing, marketing and direct to consumer sales of branded apparel, footwear, accessories, jewelry and home goods, and the acquisition of additional high profile consumer lifestyle brands. Our brand portfolio consists of the Isaac Mizrahi Brand, the Ripka Brand, the H by Halston and H Halston brands (collectively, the “H Halston Brands the H by Halston), the C Wonder brand (see Note 10, Subsequent Events in the Unaudited Condensed Consolidated Financial Statements) and certain rights of the Liz Claiborne New York brand (“LCNY Brand”) through July 31, 2016. Going forward, our focus shall be on our wholly-owned brands.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spacing w:after="0" w:line="17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Licensing our brands for distribution through direct-response television (i.e. QVC and The Shopping Channel); and</w:t>
      </w:r>
    </w:p>
    <w:p>
      <w:pPr>
        <w:spacing w:after="0" w:line="23"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Licensing our brands to wholesale manufacturers, sourcing and design companies and retailers for promotion and distribution through e-commerce, social commerce and traditional brick-and-mortar retail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licensors and customers for the following reasons:</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and marketing and social media;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omni-channel retail sales strategy across direct-response television, internet and retail channels.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license our brands to third parties, provide certain design and marketing services and generate royalty design and service fee revenues through licensing and other agreements with wholesale manufacturers, sourcing and design companies and retailers. This includes licensing our own brands for promotion and distribution through an omni-channel retail sales strategy, which includes distribution through direct-response television, the internet and traditional brick-and-mortar retail channels. We believe that this strategy distinguishes us from other brand management companies that rely primarily on their licensees for design and distribution and enables us to leverage the media reach of our direct-response television partners, including through television and social media, to drive sales of products under our brands across distribution channels.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vision is intended to reimagine shopping, entertainment and social as one. By leveraging social media content across all distribution channels, we seek to drive customer (follower) engagement and generate retail sales across our brands. Our strong relationships with leading retailers and direct-response television companies, such as QVC and The Shopping Channel, enable us to reach consumers in over 300 million homes worldwide.</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our business model provides significant competitive advantages as compared to traditional wholesale apparel companies that design, manufacture and distribute products. We remain focused on our core competencies of licensing, design, marketing, brand development and oversight, while outsourcing manufacturing and distribution to best-in-class licensing partners.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and marketing capabilities and retail and licensee relationships.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June 2013 through December 2014, the Company operated its retail business through its wholly-owned subsidiary, IMNY Retail Management, LLC (“Retail Management”). Retail Management launched an e-commerce platform under the Company’s Isaac Mizrahi Brand in May 2014. With the Ripka Brand acquisition, the Company also acquired the rights to the Ripka e-commerce site. In December 2014, the Company decided to discontinue its retail stores. The Company’s retail operations are treated as discontinued operations and prior periods presented have been reclassified to give effect to this change (see Note 8, Discontinued Operations, to the Unaudited Condensed Consolidated Financial Statements).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right="120"/>
        <w:spacing w:after="0" w:line="259" w:lineRule="auto"/>
        <w:rPr>
          <w:sz w:val="20"/>
          <w:szCs w:val="20"/>
          <w:color w:val="auto"/>
        </w:rPr>
      </w:pPr>
      <w:r>
        <w:rPr>
          <w:rFonts w:ascii="Arial" w:cs="Arial" w:eastAsia="Arial" w:hAnsi="Arial"/>
          <w:sz w:val="18"/>
          <w:szCs w:val="18"/>
          <w:color w:val="auto"/>
        </w:rPr>
        <w:t>On July 31, 2015, the Buyers completed the acquisition of certain assets of Burch Acquisition, LLC, including the “C Wonder” trademark and other intellectual property relating thereto, pursuant to an asset purchase agreement dated as of July 16, 2015 among the Buyers, the Seller and, solely with respect to certain non-compete and confidentiality provisions of the Purchase Agreement, J. Christopher Burch (See Note 10, Subsequent Events in the Unaudited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three months ended June 30, 2015 (the “Current Quarter”) compared to the three months ended June 30, 2014 (the “Prior Year Quarter”).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Current Quarter total revenues increased approximately $0.25 million to $6.32 million from $6.07 million in the Prior Year Quarter. This increase was primarily related to increases in, net licensing revenues of $0.21 million and e-commerce net sales of $0.04 million.</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licensing revenues for the Current Quarter increased by $0.21 million, compared to the Prior Year Quarter primarily due to the acquisition of the H Halston Brands, which were purchased in December 2014, and the continuing growth of the Isaac Mizrahi Brand, and partially offset by a decrease in promotional income. We continue to focus on our international expansion by marketing our Isaac Mizrahi Brand through direct-response television in Canada on The Shopping Channel. In addition, in May 2014, we brought the IsaacMizrahiLIVE brand to the United Kingdom through QVC. The increase in e-commerce net sales of $0.04 million was attributable to the launch of the e-commerce platform in May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Current Quarter was $6.29 million, compared to $6.07 million for the Prior Year Quarter. The increase in gross profit was primarily attributable to the increase in revenues. Gross profit for the Current Quarter includes $0.04 million of cost of goods sold related to our e-commerce business, which was launched in May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expenses totaled $5.84 million for the Current Quarter, compared to $5.34 million for the Prior Year Quarter. The increase of approximately $0.50 million was primarily related to an increase in compensation expense of $0.67 million and an increase in other design and marketing costs of $0.63 million, partially offset by a decrease in stock-based compensation of $0.71 million and general and administrative expenses of $0.17 million. The increase in compensation expense was primarily due to the staffing for the H Halston Brands acquired in December 2014. Increases in other design and marketing costs are attributable to the operations of the H Halston Brands and the growth of our existing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income, net for the Current Quarter consists of a $3.0 million gain on the reduction of contingent obligations, offset by a $0.76 million loss on extinguishment of debt. The gain on the reduction of contingent obligations was a result of the Company reducing the fair value of its contingent obligation on its earn-out obligation to the seller of the Isaac Mizrahi Brand. The reduction in the Earn-Out Obligation for the Current Quarter was based on a revision of the timing of projected future net royalty income related to the Isaac Mizrahi Business, therefore diminishing the probability of achieving the remaining royalty targets. This adjustment resulted from the Company having better visibility in its 2015 royalties given current Isaac Mizrahi Brand product sales information.</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loss on extinguishment of debt was as a result of the Company satisfying $3.0 million principal amount of Ripka Seller Notes by issuing 333,334 shares of our common stock in April 2015. The maturity date of the Ripka Seller Notes was originally March 31, 2019. The carrying value, net of the discount, of the Ripka Seller Notes at the redemption date was $2.24 million, resulting in a loss of $0.76 million.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for the Prior Year Quarter consists of a $0.6 million gain on the reduction of contingent obligations as a result of the Company reducing the fair value of its contingent obligations to the seller of the Isaac Mizrahi Brand.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Interest and finance expense for the Current Quarter increased by $0.02 million to $0.43 million, compared to $0.41 million in the Prior Year Quarter. This was primarily due to the higher term debt principal balance from financing a portion of the Ripka Brand acquisition and the H Halston Brands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effective income tax rate for the Current Quarter from continuing operations was approximately 4% resulting in a $0.09 million income tax provision. The effective income tax rate for the Prior Year Quarter was 35% which resulted in a $0.32 million income tax provision. During the Current Quarter and the Prior Year Quarter, the Company recorded a $3.0 million and a $0.6 million gain on the reduction of contingent obligations related to the acquisition of the Isaac Mizrahi Brand, respectively. This gain was not subject to tax and was treated as a discrete item occurring in the Current Quarter and the Prior Year Quarter.</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loss from discontinued operations, net, was attributable to the net loss related to our retail operations, as a result of our decision in December 2014 to discontinue our retail stores. The Current Quarter loss from discontinued operations, net, of $0.05 million mainly represents compensation expense, other general and administrative expenses and wind down costs associated with the closing of our retail stores, offset by an income tax benefit of $0.03 million. The Prior Year Quarter loss from discontinued operations, net, of $0.19 million mainly represents compensation expense and other general and administrative expenses, offset by an income tax benefit of $0.17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had net income of $2.11 million for the Current Quarter, compared to $0.41 million for the Prior Year Quarter. Net income for the Current Quarter and the Prior Year Quarter include certain non-cash components as described under “Liquidity and Capital Resources – Operating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had non-GAAP net income of $1.12 million, or $0.07 per diluted share (“non-GAAP diluted EPS”), for the Current Quarter, compared to non-GAAP net income of $1.98 million, or non-GAAP diluted EPS of $0.16, for the Prior Year Quarter. The $0.86 million decrease in non-GAAP net income from the Prior Year Quarter is primarily attributable to an increase in operating costs relating to the launch of the H Brands and to a lesser extent, the C Wonder brand (the Company incurred costs prior to acquiring the C Wonder brand in anticipation of launching the brand for Spring 2016). Non-GAAP net income is a non-GAAP unaudited term, which we define as net income, exclusive of stock-based compensation, non-cash interest expense from discounted debt related to acquired assets, gain on the reduction of contingent obligations, loss on extinguishment of debt, other non-cash adjustments and loss from discontinued operations, net.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had Adjusted EBITDA of $1.90 million for the Current Quarter, compared to Adjusted EBITDA of $2.80 million for the Prior Year Quarter. The $0.90 million decrease in non-Adjusted EBITDA from the Prior Year Quarter is primarily attributable to the items discussed for non-GAAP net income. Adjusted EBITDA is a non-GAAP unaudited term, which we define as net income before stock-based compensation, interest expense and other financing costs (including gain (loss) on extinguishment of debt), income taxes, other state and local franchise taxes, depreciation and amortization, gain on the reduction of contingent obligations, other non-cash adjustments and loss on discontinued operations of our retail business.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non-GAAP net income and Adjusted EBITDA was primarily due to increased operating costs incurred relating to the launch of H Brands and to a lesser extent, the C. Wonder brand without the benefit of normalized revenue expected to be recognized upon the launch of H Brands and the C. Wonder brand in the Fall of 2015 and Spring 2016,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they provide supplemental information to assist investors in evaluating the Company’s financial results.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presentation.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(loss) and other GAAP results, and not rely on any single financial measure.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340" w:type="dxa"/>
            <w:vAlign w:val="bottom"/>
            <w:gridSpan w:val="8"/>
          </w:tcPr>
          <w:p>
            <w:pPr>
              <w:ind w:left="2980"/>
              <w:spacing w:after="0"/>
              <w:rPr>
                <w:sz w:val="20"/>
                <w:szCs w:val="20"/>
                <w:color w:val="auto"/>
              </w:rPr>
            </w:pPr>
            <w:r>
              <w:rPr>
                <w:rFonts w:ascii="Arial" w:cs="Arial" w:eastAsia="Arial" w:hAnsi="Arial"/>
                <w:sz w:val="18"/>
                <w:szCs w:val="18"/>
                <w:b w:val="1"/>
                <w:bCs w:val="1"/>
                <w:color w:val="auto"/>
                <w:w w:val="91"/>
              </w:rPr>
              <w:t>Three Months Ended 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3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(3,000,000)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0" w:type="dxa"/>
            <w:vAlign w:val="bottom"/>
            <w:vMerge w:val="restart"/>
          </w:tcPr>
          <w:p>
            <w:pPr>
              <w:jc w:val="right"/>
              <w:ind w:right="207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The following table is a reconciliation of diluted income per share (our most directly comparable financial measure presented in accordance with GAAP) to non-GAAP diluted EPS: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140" w:type="dxa"/>
            <w:vAlign w:val="bottom"/>
            <w:gridSpan w:val="8"/>
          </w:tcPr>
          <w:p>
            <w:pPr>
              <w:ind w:left="1760"/>
              <w:spacing w:after="0"/>
              <w:rPr>
                <w:sz w:val="20"/>
                <w:szCs w:val="20"/>
                <w:color w:val="auto"/>
              </w:rPr>
            </w:pPr>
            <w:r>
              <w:rPr>
                <w:rFonts w:ascii="Arial" w:cs="Arial" w:eastAsia="Arial" w:hAnsi="Arial"/>
                <w:sz w:val="18"/>
                <w:szCs w:val="18"/>
                <w:b w:val="1"/>
                <w:bCs w:val="1"/>
                <w:color w:val="auto"/>
                <w:w w:val="92"/>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 (1)</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Non-GAAP weighted average diluted shares</w:t>
            </w: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15,963,975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12,710,184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unaudited condensed consolidated statements of operations, the Company reports net income for each period presented and in accordance with GAAP, diluted weighted average shares were 15,963,975 and 12,710,184 for the three months ended June 30, 2015 and 2014, respectively.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basic and diluted weighted average shares to (our most directly comparable financial measure presented in accordance with GAAP) non-GAAP weighted average diluted shares: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140" w:type="dxa"/>
            <w:vAlign w:val="bottom"/>
            <w:gridSpan w:val="5"/>
          </w:tcPr>
          <w:p>
            <w:pPr>
              <w:ind w:left="1760"/>
              <w:spacing w:after="0"/>
              <w:rPr>
                <w:sz w:val="20"/>
                <w:szCs w:val="20"/>
                <w:color w:val="auto"/>
              </w:rPr>
            </w:pPr>
            <w:r>
              <w:rPr>
                <w:rFonts w:ascii="Arial" w:cs="Arial" w:eastAsia="Arial" w:hAnsi="Arial"/>
                <w:sz w:val="18"/>
                <w:szCs w:val="18"/>
                <w:b w:val="1"/>
                <w:bCs w:val="1"/>
                <w:color w:val="auto"/>
                <w:w w:val="92"/>
              </w:rPr>
              <w:t>Three Months Ended June 30,</w:t>
            </w: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14,850,874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11,713,813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Effect of exercising warrants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971,873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866,548</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exercising stock options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141,228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129,823</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Non-GAAP weighted average diluted shares</w:t>
            </w:r>
          </w:p>
        </w:tc>
        <w:tc>
          <w:tcPr>
            <w:tcW w:w="17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15,963,975</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12,710,184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26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3"/>
              </w:rPr>
              <w:t>Three Months Ended June</w:t>
            </w:r>
          </w:p>
        </w:tc>
      </w:tr>
      <w:tr>
        <w:trPr>
          <w:trHeight w:val="234"/>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1,108,000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1,818,000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Loss from discontinued operations, net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 reduction of contingent obligations</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(3,000,000)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r>
      <w:tr>
        <w:trPr>
          <w:trHeight w:val="223"/>
        </w:trPr>
        <w:tc>
          <w:tcPr>
            <w:tcW w:w="20" w:type="dxa"/>
            <w:vAlign w:val="bottom"/>
          </w:tcPr>
          <w:p>
            <w:pPr>
              <w:spacing w:after="0"/>
              <w:rPr>
                <w:sz w:val="19"/>
                <w:szCs w:val="19"/>
                <w:color w:val="auto"/>
              </w:rPr>
            </w:pPr>
          </w:p>
        </w:tc>
        <w:tc>
          <w:tcPr>
            <w:tcW w:w="686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2,797,000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six months ended June 30, 2015 (the “Current Six Months”) compared to the six months ended June 30, 2014 (the “Prior Year Six Months”).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Current Six Months total revenues increased approximately $3.30 million to $12.91 million from $9.61 million in the Prior Year Six Months. This increase was primarily related to increases in net licensing revenues of $3.19 million and e-commerce net sales revenues of $0.11 million.</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licensing revenues for the Current Six Months increased by $3.19 million, compared to the Prior Year Six Months primarily due to the acquisition of the Ripka Brand, which was purchased in April 2014, the acquisition of the H Halston Brands, which were purchased in December 2014, and the continuing growth of the Isaac Mizrahi Brand. We continue to focus on our international expansion by marketing our Isaac Mizrahi Brand through direct-response television in Canada on The Shopping Channel. In addition, in May 2014, we brought the IsaacMizrahiLIVE brand to the United Kingdom through QVC. The increase in e-commerce net sales of $0.11 million was attributable to the launch of the e-commerce platform in May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Current Six Months was $12.83 million, compared to $9.61 million for the Prior Year Six Months. The increase in gross profit was primarily attributable to the increase in revenues. Gross profit for the Current Six Months includes $0.08 million of cost of goods sold related to our e-commerce business, which was launched in May 2014.</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totaled $11.49 million for the Current Six Months, compared to $9.96 million for the Prior Year Six Months. The increase of approximately $1.53 million was primarily related to an increase in compensation expense of $1.80 million and an increase in other design and marketing costs and general and administrative expenses of $0.88 million, partially offset by a decrease in stock-based compensation of $1.26 million. The increase in compensation expense was primarily due to the staffing for the Ripka Brand acquired in April 2014 and the H Halston Brands acquired in December 2014. Increases in other design and marketing costs and general and administrative expenses are attributable to the operations of the Ripka Brand, the H Halston Brands and the growth of our existing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income, net for the Current Six Months consists of a $3.0 million gain on the reduction of contingent obligations, offset by a $1.37 million loss on extinguishment of debt. The gain on the reduction of contingent obligations was a result of the Company reducing the fair value of its contingent obligation on its earn-out obligation to the seller of the Isaac Mizrahi Brand. The loss on extinguishment of debt was as a result of the Company satisfying $5.40 million principal amount of Ripka Seller Notes by issuing 600,001 shares of our common stock in March and April 2015. The maturity date of the Ripka Seller Notes was originally March 31, 2019. The carrying value, net of the discount, of the Ripka Seller Notes at the redemption date was $4.03 million, resulting in a loss of $1.37 million.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for the Prior Year Six Months consists of a $0.6 million gain on the reduction of contingent obligations as a result of the Company reducing the fair value of its contingent obligations to the seller of the Isaac Mizrahi brand.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and finance expense for the Current Six Months increased by $0.30 million to $0.94 million, compared to $0.65 million in the Prior Year Six Months. This was primarily due to the higher term debt principal balance from financing a portion of the Ripka Brand acquisition and the H Halston Brands acquisition.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effective income tax rate for the Current Six Months was approximately (1)% resulting in a $0.02 million income tax benefit. The effective income tax rate for the Prior Year Six Months was 44% which resulted in a $0.17 million income tax benefit. During the Current Six Months and the Prior Year Six Months, the Company recorded a $3.0 million and a $0.6 million gain on the reduction of contingent obligations related to the acquisition of the Isaac Mizrahi Brand, respectively. This gain was not subject to tax and was treated as a discrete item occurring in the Current Six Months and the Prior Year Six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loss from discontinued operations, net, was attributable to the net loss related to our retail operations, as a result of our decision in December 2014 to discontinue our retail stores. The Current Six Months’ loss from discontinued operations, net, of $0.27 million mainly represents compensation expense, other general and administrative expenses and wind down costs associated with the closing of our retail stores, offset by an income tax benefit of $0.17 million. The Prior Year Six Months loss from discontinued operations, net, of $0.32 million mainly represents compensation expense and other general and administrative expenses, offset by an income tax benefit of $0.24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net income of $1.78 million for the Current Six Months, compared to a net loss of $0.55 million for the Prior Year Six Months. Net income (loss) for the Current Six Months and the Prior Year Six Months include certain non-cash components as described in the following paragraph and detailed later in this section.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had non-GAAP net income of $2.78 million, or $0.18 non-GAAP diluted EPS for the Current Six Months, compared to non-GAAP net income of $2.80 million, or non-GAAP diluted EPS of $0.25 for the Prior Year Six Months.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Adjusted EBITDA of $4.10 million for the Current Six Months, compared to Adjusted EBITDA of $3.54 million for the Prior Year Six Months.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net income (loss) (our most directly comparable financial measure presented in accordance with GAAP) to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88"/>
              </w:rPr>
              <w:t>Six Months Ended June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30,</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(546,000)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3,383,000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1,371,000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(3,000,000)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non-cash adjustments</w:t>
            </w:r>
          </w:p>
        </w:tc>
        <w:tc>
          <w:tcPr>
            <w:tcW w:w="3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Non-GAAP net income</w:t>
            </w:r>
          </w:p>
        </w:tc>
        <w:tc>
          <w:tcPr>
            <w:tcW w:w="3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2,803,000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60" w:type="dxa"/>
            <w:vAlign w:val="bottom"/>
            <w:vMerge w:val="restart"/>
          </w:tcPr>
          <w:p>
            <w:pPr>
              <w:jc w:val="right"/>
              <w:ind w:right="233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954"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The following table is a reconciliation of basic and diluted income (loss) per share (our most directly comparable financial measure presented in accordance with GAAP) to non-GAAP diluted EPS: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040" w:type="dxa"/>
            <w:vAlign w:val="bottom"/>
            <w:gridSpan w:val="8"/>
          </w:tcPr>
          <w:p>
            <w:pPr>
              <w:ind w:left="18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 (1)</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spacing w:after="0"/>
              <w:rPr>
                <w:sz w:val="20"/>
                <w:szCs w:val="20"/>
                <w:color w:val="auto"/>
              </w:rPr>
            </w:pPr>
            <w:r>
              <w:rPr>
                <w:rFonts w:ascii="Arial" w:cs="Arial" w:eastAsia="Arial" w:hAnsi="Arial"/>
                <w:sz w:val="18"/>
                <w:szCs w:val="18"/>
                <w:color w:val="auto"/>
              </w:rPr>
              <w:t>Non-GAAP weighted average diluted shares</w:t>
            </w: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15,575,406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12,393,215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unaudited condensed consolidated statements of operations, the Company reports net income (loss) for each period presented and in accordance with GAAP, diluted weighted average shares were 15,575,406 and 11,274,503 for the six months ended June 30, 2015 and 2014, respectively.</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is a reconciliation of basic and diluted weighted average shares (our most directly comparable financial measure presented in accordance with GAAP) to non-GAAP weighted average diluted shares: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040" w:type="dxa"/>
            <w:vAlign w:val="bottom"/>
            <w:gridSpan w:val="5"/>
          </w:tcPr>
          <w:p>
            <w:pPr>
              <w:ind w:left="18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8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14,462,305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11,274,503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exercising warrants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971,873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971,818</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exercising stock options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141,228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146,894</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Non-GAAP weighted average diluted shares</w:t>
            </w:r>
          </w:p>
        </w:tc>
        <w:tc>
          <w:tcPr>
            <w:tcW w:w="18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15,575,406</w:t>
            </w:r>
          </w:p>
        </w:tc>
        <w:tc>
          <w:tcPr>
            <w:tcW w:w="1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12,393,215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(loss) (our most directly comparable financial measure presented in accordance with GAAP) to Adjusted EBITDA:</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080" w:type="dxa"/>
            <w:vAlign w:val="bottom"/>
            <w:gridSpan w:val="8"/>
          </w:tcPr>
          <w:p>
            <w:pPr>
              <w:ind w:left="19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1,776,000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(546,000)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tax benefit</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(174,000)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2,121,000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3,383,000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non-cash adjustments</w:t>
            </w:r>
          </w:p>
        </w:tc>
        <w:tc>
          <w:tcPr>
            <w:tcW w:w="1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4,099,000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3,537,000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June 30, 2015 and December 31, 2014, our unrestricted cash and cash equivalents were $2.62 million and $8.53 million, respectively. On August 4, 2015, we closed on a public offering that resulted in approximately $14.9 million in net cash proceeds after underwriting discounts and commissions and other expenses of the equity offering (See Note 10, Subsequent Events in the Unaudited Condensed Consolidated Financial Statements).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including the debt service under our term loan facilities for the next twelve months. We are dependent on our licensees for most of our revenues, and there is no assurance that the licensees will perform as projected.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require significant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contingent obligations (see Note 4, Debt in the Unaudited Condensed Consolidated Financial Statements) are payable in stock and/or cash, at our discretion. Payment of these obligations in stock would not affect our liquidity.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99"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The January 31, 2016 payment of $750,000 under the IM Seller Note (see Note 4, Debt, to the Unaudited Condensed Consolidated Financial Statements) is payable in cash subject to BHI approving the cash payment. If BHI does not approve the cash payment, the amount shall be payable in shares of Common Stock.</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8, 2015, the Company entered into a Sublease Agreement (the “Sublease”) with GBG USA Inc., a Delaware corporation (the “Sublandlord”), pursuant to which the Company has subleased approximately 29,566 rentable square feet of office space (the “Premises”). In connection with the Sublease, the Company will also obtain, upon consent of the landlord of the Premises to the Sublease, an Irrevocable Standby Letter of Credit (the “Letter of Credit”) from Bank Hapoalim, B.M. (the “Bank”) in favor of Sublandlord, for a sum not exceeding $1,108,725. The Company has deposited this amount with BHI as collateral for the Letter of Credit, and recorded the amount as restricted cash in the June 30, 2015 unaudited condensed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2015 and December 31, 2014, the adjusted working capital ratio (current assets to current liabilities, excluding current contingent obligations and a $0 and $2.4 million Ripka Seller Note payment in stock, see Note 4, Debt in the Unaudited Condensed Consolidated Financial Statements) was 1.00 to 1.00 and 1.47 to 1.00, respectively. Contingent obligations are not considered part of working capital because we have the right to pay the obligation in stock. Commentary on components of our cash flows used in continuing operations for the Current Six Months, compared to the Prior Year Six Months is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operating activities from continuing operations was approximately $(0.96) million in the Current Six Months, compared to net cash provided by operating activities from continuing operations of approximately $2.64 million in the Prior Year Six Months. The Current Six Months cash used in operating activities includes net income of $1.78 million, non-cash expenses of $1.22 million and a net loss from discontinued operations, net of $0.27 million, offset by the change in operating assets and liabilities of $(3.79) million. Non-cash expenses mainly consist of $2.12 million of stock-based compensation, $1.37 million of loss from the extinguishment of debt, $0.58 million of depreciation and amortization, $(3.0) million of gain from the reduction of contingent obligations, $(0.09) million deferred income tax benefit and $0.32 million of amortization of debt discount and deferred finance costs. The $(4.22) million change in operating assets and liabilities includes an increase of $2.93 million of accounts receivable primarily related to timing of collections from QVC, including $1.0 million of earned revenue that had been accrued but not billed as of June 30, 2015.</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Prior Year Six Months cash used in operating activities was primarily due to a net loss of $(0.55) million and the net change in operating assets and liabilities of $(0.08) million, offset by a net loss from discontinued operations, net of $0.32 million and non-cash operating expenses of $2.94 million. Non-cash expenses consist of $3.38 million of stock-based compensation, $0.46 million of depreciation and amortization, $(0.57) million of deferred income tax benefit, $(0.60) million of gain on the reduction of contingent obligations and $0.27 million of amortization of debt discount and deferred finance charges.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from continuing operations for the Current Six Months was approximately $1.47 million, compared to $12.50 million in the Prior Year Six Months. The Current Six Months net cash used in investing activities was attributable to restricted cash of $1.11 million for a security deposit on the lease for our new office space, which is scheduled to commence in January 1, 2016, an advance deposit of $0.30 million made in connection with a C Wonder acquisition, cash consideration paid for the acquisition of the H Halston Brands of $0.01 million and capital expenditures of $0.05 million. In the Prior Year Six Months, $12.36 million was attributable to cash consideration paid for the acquisition of the Ripka Brand and $0.14 million of capital expenditures for 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used in financing activities for the Current Six Months was approximately $3.70 million, primarily attributable to the repayments on our long-term debt of $1.25 million, payment on our installment obligation related to the Ripka Brand of $2.18 million and $0.32 million of costs associated with our equity offering (See Note 10, Subsequent Events). Net cash provided by financing activities for the Prior Year Six Months was approximately $8.39 million, primarily attributable to $9.00 million of proceeds from the term debt related to the Ripka Brand and $0.06 million of repurchased shares of restricted stock that had vested, offset by $0.32 million of contingent obligation payments and $0.24 million of deferred financing costs related to the Ripka Brand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Mizrahi, Ripka and H Halston brands. We will seek to continue to diversify the distribution channels within which licensed products are sold, in an effort to reduce dependence on any particular retailer, consumer or market sector within each of our brands. The Mizrahi Brands, the H Halston Brands and C Wonder brand have a core business in fashion apparel and accessories. The Ripka Brand historically have been focused on fine jewelry, which we believe helps diversify our industry focus while at the same time complements, expands on and grows our overall business relationship with QVC. Going forward our focus shall be on our wholly-owned brands. We also intend to seek new opportunities, including expansion through direct-response television and additional domestic and international licensing arrangements, and acquiring additional brands. The success of our Company,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in the Company’s Annual Report on Form 10-K for the year ended December 31, 2014 as filed with the SEC, could adversely affect our licensees’ ability to meet and/or exceed their contractual commitments to us and thereby adversely affect our future operating results.</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2014, filed with the SEC on March 31, 2015, for a discussion of our critical accounting policies. During the three and six months ended June 30, 2015, there were no material changes to these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June 30, 2015, the end of the period covered by this report. Based on, and as of the date of such evaluation, the Chief Executive Officer and the Chief Financial Officer have concluded that our disclosure controls and procedures were effective as of June 30, 2015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June 30, 2015 that have materially affected, or are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2014 are not the only risks we face. Additional risks and uncertainties not currently known to us or that we currently deem to be immaterial also may materially adversely affect our financial condition and/or operating results.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issued 1.0 million shares of Common Stock to the seller of the C Wonder brand. See our Current Report on Form 8-K filed with the SEC on July 17, 2015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31.1 Rule 13a-14(a)/15d-14(a) Certification (CEO)</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31.2 Rule 13a-14(a)/15d-14(a) Certification (CFO)</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32.1 Section 1350 Certification (CEO)</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32.2 Section 1350 Certification (CFO)</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14, 2015</w:t>
            </w:r>
          </w:p>
        </w:tc>
        <w:tc>
          <w:tcPr>
            <w:tcW w:w="2900" w:type="dxa"/>
            <w:vAlign w:val="bottom"/>
          </w:tcPr>
          <w:p>
            <w:pPr>
              <w:ind w:left="23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6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620" w:type="dxa"/>
            <w:vAlign w:val="bottom"/>
          </w:tcPr>
          <w:p>
            <w:pPr>
              <w:spacing w:after="0"/>
              <w:rPr>
                <w:sz w:val="24"/>
                <w:szCs w:val="24"/>
                <w:color w:val="auto"/>
              </w:rPr>
            </w:pPr>
          </w:p>
        </w:tc>
        <w:tc>
          <w:tcPr>
            <w:tcW w:w="2900" w:type="dxa"/>
            <w:vAlign w:val="bottom"/>
          </w:tcPr>
          <w:p>
            <w:pPr>
              <w:ind w:left="23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6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28</w:t>
            </w: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2015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August 14, 2015</w:t>
            </w:r>
          </w:p>
        </w:tc>
        <w:tc>
          <w:tcPr>
            <w:tcW w:w="2940" w:type="dxa"/>
            <w:vAlign w:val="bottom"/>
          </w:tcPr>
          <w:p>
            <w:pPr>
              <w:ind w:left="23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2015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August 14, 2015</w:t>
            </w:r>
          </w:p>
        </w:tc>
        <w:tc>
          <w:tcPr>
            <w:tcW w:w="2940" w:type="dxa"/>
            <w:vAlign w:val="bottom"/>
          </w:tcPr>
          <w:p>
            <w:pPr>
              <w:ind w:left="23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2015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August 14, 2015</w:t>
            </w:r>
          </w:p>
        </w:tc>
        <w:tc>
          <w:tcPr>
            <w:tcW w:w="2940" w:type="dxa"/>
            <w:vAlign w:val="bottom"/>
          </w:tcPr>
          <w:p>
            <w:pPr>
              <w:ind w:left="23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2015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August 14, 2015</w:t>
            </w:r>
          </w:p>
        </w:tc>
        <w:tc>
          <w:tcPr>
            <w:tcW w:w="2940" w:type="dxa"/>
            <w:vAlign w:val="bottom"/>
          </w:tcPr>
          <w:p>
            <w:pPr>
              <w:ind w:left="23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9"/>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decimal"/>
      <w:start w:val="12"/>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2019-12-29T16:20:44Z</dcterms:created>
  <dcterms:modified xsi:type="dcterms:W3CDTF">2019-12-29T16:20:44Z</dcterms:modified>
</cp:coreProperties>
</file>