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329d1_424b5.htm"/>
      <w:bookmarkStart w:id="1" w:name="kstm2623329d1_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333-276698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(To Prospectus dated January 25, 2024)</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 to $2,971,157</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3360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762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Maxim Group LLC (“Maxim”) relating to shares of our common stock, par value $0.001 per share, offered by this prospectus supplement. In accordance with the terms of the sales agreement, we may offer and sell shares of our common stock having an aggregate offering price of up to $10,000,000 from time to time through or to Maxim, acting as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or Nasdaq, under the symbol “XELB.” On August 14, 2026, the last reported sale price of our common stock on Nasdaq was $0.94 per share.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will be made in sales deemed to be “at the market offerings” as defined in Rule 415 promulgated under the Securities Act of 1933, as amended (the “Securities Act”). Maxim is not required to sell any specific amount of securities, but will act as our sales agent using commercially reasonable efforts consistent with its normal trading and sales practices, on mutually agreed terms between Maxim and us. There is no arrangement for funds to be received in any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Maxim for sales of common stock sold pursuant to the sales agreement will be an amount equal to 3% of the gross proceeds of any shares of common stock sold under the sales agreement. In connection with the sale of the common stock on our behalf, Maxim will be deemed to be an “underwriter” within the meaning of the Securities Act and the compensation of Maxim will be deemed to be underwriting commissions or discounts. See “Plan of Distribution” beginning on page S-13 for additional information regarding the compensation to be paid to Maxim. We have also agreed to provide indemnification and contribution to Maxim with respect to certain liabilities, including liabilities under the Securities Act or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2026, the aggregate market value of our outstanding Common Stock held by non-affiliates, or public float, was $8,913,472, based on 6,560,274 shares of our Common Stock, of which approximately 2,103,538 shares were held by affiliates, and a price of $2.00 per share, which was the price at which our Common Stock was last sold on The Nasdaq Stock Market on June 22, 2026. We have not offered or sold any shares of our Common Stock pursuant to General Instruction I.B.6 of Form S-3 during the prior 12-calendar-month period that ends on and includes the date of this prospectus supplement. Pursuant to General Instruction I.B.6 of Form S-3, in no event will we sell securities registered on this registration statement in a public primary offering with a value exceeding more than one-third of our public float in any 12-month period so long as our public float remains below $75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and an investment in our common stock involve a high degree of risk. These risks are described under the caption “Risk Factors” beginning on page S-6 of this prospectus supplement and in the documents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Group LLC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 SUPPLEMENT</w:t>
              </w:r>
            </w:hyperlink>
          </w:p>
        </w:tc>
        <w:tc>
          <w:tcPr>
            <w:tcW w:w="455" w:type="dxa"/>
            <w:tcBorders/>
            <w:shd w:fill="CCEEFF" w:val="clear"/>
            <w:vAlign w:val="center"/>
          </w:tcPr>
          <w:p>
            <w:pPr>
              <w:pStyle w:val="TableContents"/>
              <w:bidi w:val="0"/>
              <w:spacing w:before="0" w:after="283"/>
              <w:jc w:val="right"/>
              <w:rPr/>
            </w:pPr>
            <w:hyperlink w:anchor="a_001">
              <w:r>
                <w:rPr>
                  <w:rStyle w:val="InternetLink"/>
                  <w:rFonts w:ascii="Times New Roman;Times;Serif" w:hAnsi="Times New Roman;Times;Serif"/>
                  <w:sz w:val="20"/>
                </w:rPr>
                <w:t>S-ii</w:t>
              </w:r>
            </w:hyperlink>
          </w:p>
        </w:tc>
      </w:tr>
      <w:tr>
        <w:trPr/>
        <w:tc>
          <w:tcPr>
            <w:tcW w:w="54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PROSPECTUS SUPPLEMENT SUMMARY</w:t>
              </w:r>
            </w:hyperlink>
          </w:p>
        </w:tc>
        <w:tc>
          <w:tcPr>
            <w:tcW w:w="455" w:type="dxa"/>
            <w:tcBorders/>
            <w:shd w:fill="FFFF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S-1</w:t>
              </w:r>
            </w:hyperlink>
          </w:p>
        </w:tc>
      </w:tr>
      <w:tr>
        <w:trPr/>
        <w:tc>
          <w:tcPr>
            <w:tcW w:w="54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THE OFFERING</w:t>
              </w:r>
            </w:hyperlink>
          </w:p>
        </w:tc>
        <w:tc>
          <w:tcPr>
            <w:tcW w:w="455" w:type="dxa"/>
            <w:tcBorders/>
            <w:shd w:fill="CCEE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S-5</w:t>
              </w:r>
            </w:hyperlink>
          </w:p>
        </w:tc>
      </w:tr>
      <w:tr>
        <w:trPr/>
        <w:tc>
          <w:tcPr>
            <w:tcW w:w="54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S-6</w:t>
              </w:r>
            </w:hyperlink>
          </w:p>
        </w:tc>
      </w:tr>
      <w:tr>
        <w:trPr/>
        <w:tc>
          <w:tcPr>
            <w:tcW w:w="54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FORWARD-LOOKING STATEMENTS</w:t>
              </w:r>
            </w:hyperlink>
          </w:p>
        </w:tc>
        <w:tc>
          <w:tcPr>
            <w:tcW w:w="455" w:type="dxa"/>
            <w:tcBorders/>
            <w:shd w:fill="CCEE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S-9</w:t>
              </w:r>
            </w:hyperlink>
          </w:p>
        </w:tc>
      </w:tr>
      <w:tr>
        <w:trPr/>
        <w:tc>
          <w:tcPr>
            <w:tcW w:w="54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455" w:type="dxa"/>
            <w:tcBorders/>
            <w:shd w:fill="FFFF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S-10</w:t>
              </w:r>
            </w:hyperlink>
          </w:p>
        </w:tc>
      </w:tr>
      <w:tr>
        <w:trPr/>
        <w:tc>
          <w:tcPr>
            <w:tcW w:w="54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DILUTION</w:t>
              </w:r>
            </w:hyperlink>
          </w:p>
        </w:tc>
        <w:tc>
          <w:tcPr>
            <w:tcW w:w="455" w:type="dxa"/>
            <w:tcBorders/>
            <w:shd w:fill="CCEE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S-11</w:t>
              </w:r>
            </w:hyperlink>
          </w:p>
        </w:tc>
      </w:tr>
      <w:tr>
        <w:trPr/>
        <w:tc>
          <w:tcPr>
            <w:tcW w:w="54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PLAN OF DISTRIBUTION</w:t>
              </w:r>
            </w:hyperlink>
          </w:p>
        </w:tc>
        <w:tc>
          <w:tcPr>
            <w:tcW w:w="455" w:type="dxa"/>
            <w:tcBorders/>
            <w:shd w:fill="FFFF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S-13</w:t>
              </w:r>
            </w:hyperlink>
          </w:p>
        </w:tc>
      </w:tr>
      <w:tr>
        <w:trPr/>
        <w:tc>
          <w:tcPr>
            <w:tcW w:w="54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right"/>
              <w:rPr/>
            </w:pPr>
            <w:hyperlink w:anchor="a_009">
              <w:r>
                <w:rPr>
                  <w:rStyle w:val="InternetLink"/>
                  <w:rFonts w:ascii="Times New Roman;Times;Serif" w:hAnsi="Times New Roman;Times;Serif"/>
                  <w:sz w:val="20"/>
                </w:rPr>
                <w:t>S-14</w:t>
              </w:r>
            </w:hyperlink>
          </w:p>
        </w:tc>
      </w:tr>
      <w:tr>
        <w:trPr/>
        <w:tc>
          <w:tcPr>
            <w:tcW w:w="54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S-14</w:t>
              </w:r>
            </w:hyperlink>
          </w:p>
        </w:tc>
      </w:tr>
      <w:tr>
        <w:trPr/>
        <w:tc>
          <w:tcPr>
            <w:tcW w:w="54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INCORPORATION OF CERTAIN DOCUMENTS BY REFERENCE</w:t>
              </w:r>
            </w:hyperlink>
          </w:p>
        </w:tc>
        <w:tc>
          <w:tcPr>
            <w:tcW w:w="455" w:type="dxa"/>
            <w:tcBorders/>
            <w:shd w:fill="CCEE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S-14</w:t>
              </w:r>
            </w:hyperlink>
          </w:p>
        </w:tc>
      </w:tr>
      <w:tr>
        <w:trPr/>
        <w:tc>
          <w:tcPr>
            <w:tcW w:w="54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WHERE YOU CAN FIND MORE INFORMATION</w:t>
              </w:r>
            </w:hyperlink>
          </w:p>
        </w:tc>
        <w:tc>
          <w:tcPr>
            <w:tcW w:w="455" w:type="dxa"/>
            <w:tcBorders/>
            <w:shd w:fill="FFFF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S-15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Prospectus</w:t>
      </w:r>
    </w:p>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5495"/>
        <w:gridCol w:w="245"/>
      </w:tblGrid>
      <w:tr>
        <w:trPr/>
        <w:tc>
          <w:tcPr>
            <w:tcW w:w="5495" w:type="dxa"/>
            <w:tcBorders/>
            <w:shd w:fill="CCEEFF" w:val="clear"/>
            <w:vAlign w:val="center"/>
          </w:tcPr>
          <w:p>
            <w:pPr>
              <w:pStyle w:val="TableContents"/>
              <w:bidi w:val="0"/>
              <w:spacing w:before="0" w:after="283"/>
              <w:jc w:val="left"/>
              <w:rPr/>
            </w:pPr>
            <w:hyperlink w:anchor="ss_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s_01">
              <w:r>
                <w:rPr>
                  <w:rStyle w:val="InternetLink"/>
                  <w:rFonts w:ascii="Times New Roman;Times;Serif" w:hAnsi="Times New Roman;Times;Serif"/>
                  <w:sz w:val="20"/>
                </w:rPr>
                <w:t>i</w:t>
              </w:r>
            </w:hyperlink>
          </w:p>
        </w:tc>
      </w:tr>
      <w:tr>
        <w:trPr/>
        <w:tc>
          <w:tcPr>
            <w:tcW w:w="5495" w:type="dxa"/>
            <w:tcBorders/>
            <w:shd w:fill="FFFFFF" w:val="clear"/>
            <w:vAlign w:val="center"/>
          </w:tcPr>
          <w:p>
            <w:pPr>
              <w:pStyle w:val="TableContents"/>
              <w:bidi w:val="0"/>
              <w:spacing w:before="0" w:after="283"/>
              <w:jc w:val="left"/>
              <w:rPr/>
            </w:pPr>
            <w:hyperlink w:anchor="ss_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right"/>
              <w:rPr/>
            </w:pPr>
            <w:hyperlink w:anchor="ss_02">
              <w:r>
                <w:rPr>
                  <w:rStyle w:val="InternetLink"/>
                  <w:rFonts w:ascii="Times New Roman;Times;Serif" w:hAnsi="Times New Roman;Times;Serif"/>
                  <w:sz w:val="20"/>
                </w:rPr>
                <w:t>1</w:t>
              </w:r>
            </w:hyperlink>
          </w:p>
        </w:tc>
      </w:tr>
      <w:tr>
        <w:trPr/>
        <w:tc>
          <w:tcPr>
            <w:tcW w:w="5495" w:type="dxa"/>
            <w:tcBorders/>
            <w:shd w:fill="CCEEFF" w:val="clear"/>
            <w:vAlign w:val="center"/>
          </w:tcPr>
          <w:p>
            <w:pPr>
              <w:pStyle w:val="TableContents"/>
              <w:bidi w:val="0"/>
              <w:spacing w:before="0" w:after="283"/>
              <w:jc w:val="left"/>
              <w:rPr/>
            </w:pPr>
            <w:hyperlink w:anchor="ss_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right"/>
              <w:rPr/>
            </w:pPr>
            <w:hyperlink w:anchor="ss_03">
              <w:r>
                <w:rPr>
                  <w:rStyle w:val="InternetLink"/>
                  <w:rFonts w:ascii="Times New Roman;Times;Serif" w:hAnsi="Times New Roman;Times;Serif"/>
                  <w:sz w:val="20"/>
                </w:rPr>
                <w:t>6</w:t>
              </w:r>
            </w:hyperlink>
          </w:p>
        </w:tc>
      </w:tr>
      <w:tr>
        <w:trPr/>
        <w:tc>
          <w:tcPr>
            <w:tcW w:w="5495" w:type="dxa"/>
            <w:tcBorders/>
            <w:shd w:fill="FFFFFF" w:val="clear"/>
            <w:vAlign w:val="center"/>
          </w:tcPr>
          <w:p>
            <w:pPr>
              <w:pStyle w:val="TableContents"/>
              <w:bidi w:val="0"/>
              <w:spacing w:before="0" w:after="283"/>
              <w:jc w:val="left"/>
              <w:rPr/>
            </w:pPr>
            <w:hyperlink w:anchor="ss_04">
              <w:r>
                <w:rPr>
                  <w:rStyle w:val="InternetLink"/>
                  <w:rFonts w:ascii="Times New Roman;Times;Serif" w:hAnsi="Times New Roman;Times;Serif"/>
                  <w:sz w:val="20"/>
                </w:rPr>
                <w:t>FORWARD-LOOKING STATEMENTS</w:t>
              </w:r>
            </w:hyperlink>
          </w:p>
        </w:tc>
        <w:tc>
          <w:tcPr>
            <w:tcW w:w="245" w:type="dxa"/>
            <w:tcBorders/>
            <w:shd w:fill="FFFFFF" w:val="clear"/>
            <w:vAlign w:val="center"/>
          </w:tcPr>
          <w:p>
            <w:pPr>
              <w:pStyle w:val="TableContents"/>
              <w:bidi w:val="0"/>
              <w:spacing w:before="0" w:after="283"/>
              <w:jc w:val="right"/>
              <w:rPr/>
            </w:pPr>
            <w:hyperlink w:anchor="ss_04">
              <w:r>
                <w:rPr>
                  <w:rStyle w:val="InternetLink"/>
                  <w:rFonts w:ascii="Times New Roman;Times;Serif" w:hAnsi="Times New Roman;Times;Serif"/>
                  <w:sz w:val="20"/>
                </w:rPr>
                <w:t>6</w:t>
              </w:r>
            </w:hyperlink>
          </w:p>
        </w:tc>
      </w:tr>
      <w:tr>
        <w:trPr/>
        <w:tc>
          <w:tcPr>
            <w:tcW w:w="5495" w:type="dxa"/>
            <w:tcBorders/>
            <w:shd w:fill="CCEEFF" w:val="clear"/>
            <w:vAlign w:val="center"/>
          </w:tcPr>
          <w:p>
            <w:pPr>
              <w:pStyle w:val="TableContents"/>
              <w:bidi w:val="0"/>
              <w:spacing w:before="0" w:after="283"/>
              <w:jc w:val="left"/>
              <w:rPr/>
            </w:pPr>
            <w:hyperlink w:anchor="ss_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s_05">
              <w:r>
                <w:rPr>
                  <w:rStyle w:val="InternetLink"/>
                  <w:rFonts w:ascii="Times New Roman;Times;Serif" w:hAnsi="Times New Roman;Times;Serif"/>
                  <w:sz w:val="20"/>
                </w:rPr>
                <w:t>7</w:t>
              </w:r>
            </w:hyperlink>
          </w:p>
        </w:tc>
      </w:tr>
      <w:tr>
        <w:trPr/>
        <w:tc>
          <w:tcPr>
            <w:tcW w:w="5495" w:type="dxa"/>
            <w:tcBorders/>
            <w:shd w:fill="FFFFFF" w:val="clear"/>
            <w:vAlign w:val="center"/>
          </w:tcPr>
          <w:p>
            <w:pPr>
              <w:pStyle w:val="TableContents"/>
              <w:bidi w:val="0"/>
              <w:spacing w:before="0" w:after="283"/>
              <w:jc w:val="left"/>
              <w:rPr/>
            </w:pPr>
            <w:hyperlink w:anchor="ss_06">
              <w:r>
                <w:rPr>
                  <w:rStyle w:val="InternetLink"/>
                  <w:rFonts w:ascii="Times New Roman;Times;Serif" w:hAnsi="Times New Roman;Times;Serif"/>
                  <w:sz w:val="20"/>
                </w:rPr>
                <w:t>DESCRIPTION OF CAPITAL STOCK</w:t>
              </w:r>
            </w:hyperlink>
          </w:p>
        </w:tc>
        <w:tc>
          <w:tcPr>
            <w:tcW w:w="245" w:type="dxa"/>
            <w:tcBorders/>
            <w:shd w:fill="FFFFFF" w:val="clear"/>
            <w:vAlign w:val="center"/>
          </w:tcPr>
          <w:p>
            <w:pPr>
              <w:pStyle w:val="TableContents"/>
              <w:bidi w:val="0"/>
              <w:spacing w:before="0" w:after="283"/>
              <w:jc w:val="right"/>
              <w:rPr/>
            </w:pPr>
            <w:hyperlink w:anchor="ss_06">
              <w:r>
                <w:rPr>
                  <w:rStyle w:val="InternetLink"/>
                  <w:rFonts w:ascii="Times New Roman;Times;Serif" w:hAnsi="Times New Roman;Times;Serif"/>
                  <w:sz w:val="20"/>
                </w:rPr>
                <w:t>7</w:t>
              </w:r>
            </w:hyperlink>
          </w:p>
        </w:tc>
      </w:tr>
      <w:tr>
        <w:trPr/>
        <w:tc>
          <w:tcPr>
            <w:tcW w:w="5495" w:type="dxa"/>
            <w:tcBorders/>
            <w:shd w:fill="CCEEFF" w:val="clear"/>
            <w:vAlign w:val="center"/>
          </w:tcPr>
          <w:p>
            <w:pPr>
              <w:pStyle w:val="TableContents"/>
              <w:bidi w:val="0"/>
              <w:spacing w:before="0" w:after="283"/>
              <w:jc w:val="left"/>
              <w:rPr/>
            </w:pPr>
            <w:hyperlink w:anchor="ss_07">
              <w:r>
                <w:rPr>
                  <w:rStyle w:val="InternetLink"/>
                  <w:rFonts w:ascii="Times New Roman;Times;Serif" w:hAnsi="Times New Roman;Times;Serif"/>
                  <w:sz w:val="20"/>
                </w:rPr>
                <w:t>DESCRIPTION OF DEBT SECURITIES</w:t>
              </w:r>
            </w:hyperlink>
          </w:p>
        </w:tc>
        <w:tc>
          <w:tcPr>
            <w:tcW w:w="245" w:type="dxa"/>
            <w:tcBorders/>
            <w:shd w:fill="CCEEFF" w:val="clear"/>
            <w:vAlign w:val="center"/>
          </w:tcPr>
          <w:p>
            <w:pPr>
              <w:pStyle w:val="TableContents"/>
              <w:bidi w:val="0"/>
              <w:spacing w:before="0" w:after="283"/>
              <w:jc w:val="right"/>
              <w:rPr/>
            </w:pPr>
            <w:hyperlink w:anchor="ss_07">
              <w:r>
                <w:rPr>
                  <w:rStyle w:val="InternetLink"/>
                  <w:rFonts w:ascii="Times New Roman;Times;Serif" w:hAnsi="Times New Roman;Times;Serif"/>
                  <w:sz w:val="20"/>
                </w:rPr>
                <w:t>13</w:t>
              </w:r>
            </w:hyperlink>
          </w:p>
        </w:tc>
      </w:tr>
      <w:tr>
        <w:trPr/>
        <w:tc>
          <w:tcPr>
            <w:tcW w:w="5495" w:type="dxa"/>
            <w:tcBorders/>
            <w:shd w:fill="FFFFFF" w:val="clear"/>
            <w:vAlign w:val="center"/>
          </w:tcPr>
          <w:p>
            <w:pPr>
              <w:pStyle w:val="TableContents"/>
              <w:bidi w:val="0"/>
              <w:spacing w:before="0" w:after="283"/>
              <w:jc w:val="left"/>
              <w:rPr/>
            </w:pPr>
            <w:hyperlink w:anchor="ss_08">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right"/>
              <w:rPr/>
            </w:pPr>
            <w:hyperlink w:anchor="ss_08">
              <w:r>
                <w:rPr>
                  <w:rStyle w:val="InternetLink"/>
                  <w:rFonts w:ascii="Times New Roman;Times;Serif" w:hAnsi="Times New Roman;Times;Serif"/>
                  <w:sz w:val="20"/>
                </w:rPr>
                <w:t>21</w:t>
              </w:r>
            </w:hyperlink>
          </w:p>
        </w:tc>
      </w:tr>
      <w:tr>
        <w:trPr/>
        <w:tc>
          <w:tcPr>
            <w:tcW w:w="5495" w:type="dxa"/>
            <w:tcBorders/>
            <w:shd w:fill="CCEEFF" w:val="clear"/>
            <w:vAlign w:val="center"/>
          </w:tcPr>
          <w:p>
            <w:pPr>
              <w:pStyle w:val="TableContents"/>
              <w:bidi w:val="0"/>
              <w:spacing w:before="0" w:after="283"/>
              <w:jc w:val="left"/>
              <w:rPr/>
            </w:pPr>
            <w:hyperlink w:anchor="ss_09">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right"/>
              <w:rPr/>
            </w:pPr>
            <w:hyperlink w:anchor="ss_09">
              <w:r>
                <w:rPr>
                  <w:rStyle w:val="InternetLink"/>
                  <w:rFonts w:ascii="Times New Roman;Times;Serif" w:hAnsi="Times New Roman;Times;Serif"/>
                  <w:sz w:val="20"/>
                </w:rPr>
                <w:t>24</w:t>
              </w:r>
            </w:hyperlink>
          </w:p>
        </w:tc>
      </w:tr>
      <w:tr>
        <w:trPr/>
        <w:tc>
          <w:tcPr>
            <w:tcW w:w="5495" w:type="dxa"/>
            <w:tcBorders/>
            <w:shd w:fill="FFFFFF" w:val="clear"/>
            <w:vAlign w:val="center"/>
          </w:tcPr>
          <w:p>
            <w:pPr>
              <w:pStyle w:val="TableContents"/>
              <w:bidi w:val="0"/>
              <w:spacing w:before="0" w:after="283"/>
              <w:jc w:val="left"/>
              <w:rPr/>
            </w:pPr>
            <w:hyperlink w:anchor="ss_10">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right"/>
              <w:rPr/>
            </w:pPr>
            <w:hyperlink w:anchor="ss_10">
              <w:r>
                <w:rPr>
                  <w:rStyle w:val="InternetLink"/>
                  <w:rFonts w:ascii="Times New Roman;Times;Serif" w:hAnsi="Times New Roman;Times;Serif"/>
                  <w:sz w:val="20"/>
                </w:rPr>
                <w:t>25</w:t>
              </w:r>
            </w:hyperlink>
          </w:p>
        </w:tc>
      </w:tr>
      <w:tr>
        <w:trPr/>
        <w:tc>
          <w:tcPr>
            <w:tcW w:w="5495" w:type="dxa"/>
            <w:tcBorders/>
            <w:shd w:fill="CCEEFF" w:val="clear"/>
            <w:vAlign w:val="center"/>
          </w:tcPr>
          <w:p>
            <w:pPr>
              <w:pStyle w:val="TableContents"/>
              <w:bidi w:val="0"/>
              <w:spacing w:before="0" w:after="283"/>
              <w:jc w:val="left"/>
              <w:rPr/>
            </w:pPr>
            <w:hyperlink w:anchor="ss_11">
              <w:r>
                <w:rPr>
                  <w:rStyle w:val="InternetLink"/>
                  <w:rFonts w:ascii="Times New Roman;Times;Serif" w:hAnsi="Times New Roman;Times;Serif"/>
                  <w:sz w:val="20"/>
                </w:rPr>
                <w:t>LEGAL MATTERS</w:t>
              </w:r>
            </w:hyperlink>
          </w:p>
        </w:tc>
        <w:tc>
          <w:tcPr>
            <w:tcW w:w="245" w:type="dxa"/>
            <w:tcBorders/>
            <w:shd w:fill="CCEEFF" w:val="clear"/>
            <w:vAlign w:val="center"/>
          </w:tcPr>
          <w:p>
            <w:pPr>
              <w:pStyle w:val="TableContents"/>
              <w:bidi w:val="0"/>
              <w:spacing w:before="0" w:after="283"/>
              <w:jc w:val="right"/>
              <w:rPr/>
            </w:pPr>
            <w:hyperlink w:anchor="ss_11">
              <w:r>
                <w:rPr>
                  <w:rStyle w:val="InternetLink"/>
                  <w:rFonts w:ascii="Times New Roman;Times;Serif" w:hAnsi="Times New Roman;Times;Serif"/>
                  <w:sz w:val="20"/>
                </w:rPr>
                <w:t>27</w:t>
              </w:r>
            </w:hyperlink>
          </w:p>
        </w:tc>
      </w:tr>
      <w:tr>
        <w:trPr/>
        <w:tc>
          <w:tcPr>
            <w:tcW w:w="5495" w:type="dxa"/>
            <w:tcBorders/>
            <w:shd w:fill="FFFFFF" w:val="clear"/>
            <w:vAlign w:val="center"/>
          </w:tcPr>
          <w:p>
            <w:pPr>
              <w:pStyle w:val="TableContents"/>
              <w:bidi w:val="0"/>
              <w:spacing w:before="0" w:after="283"/>
              <w:jc w:val="left"/>
              <w:rPr/>
            </w:pPr>
            <w:hyperlink w:anchor="ss_12">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s_12">
              <w:r>
                <w:rPr>
                  <w:rStyle w:val="InternetLink"/>
                  <w:rFonts w:ascii="Times New Roman;Times;Serif" w:hAnsi="Times New Roman;Times;Serif"/>
                  <w:sz w:val="20"/>
                </w:rPr>
                <w:t>28</w:t>
              </w:r>
            </w:hyperlink>
          </w:p>
        </w:tc>
      </w:tr>
      <w:tr>
        <w:trPr/>
        <w:tc>
          <w:tcPr>
            <w:tcW w:w="5495" w:type="dxa"/>
            <w:tcBorders/>
            <w:shd w:fill="CCEEFF" w:val="clear"/>
            <w:vAlign w:val="center"/>
          </w:tcPr>
          <w:p>
            <w:pPr>
              <w:pStyle w:val="TableContents"/>
              <w:bidi w:val="0"/>
              <w:spacing w:before="0" w:after="283"/>
              <w:jc w:val="left"/>
              <w:rPr/>
            </w:pPr>
            <w:hyperlink w:anchor="ss_1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s_13">
              <w:r>
                <w:rPr>
                  <w:rStyle w:val="InternetLink"/>
                  <w:rFonts w:ascii="Times New Roman;Times;Serif" w:hAnsi="Times New Roman;Times;Serif"/>
                  <w:sz w:val="20"/>
                </w:rPr>
                <w:t>28</w:t>
              </w:r>
            </w:hyperlink>
          </w:p>
        </w:tc>
      </w:tr>
      <w:tr>
        <w:trPr/>
        <w:tc>
          <w:tcPr>
            <w:tcW w:w="5495" w:type="dxa"/>
            <w:tcBorders/>
            <w:shd w:fill="FFFFFF" w:val="clear"/>
            <w:vAlign w:val="center"/>
          </w:tcPr>
          <w:p>
            <w:pPr>
              <w:pStyle w:val="TableContents"/>
              <w:bidi w:val="0"/>
              <w:spacing w:before="0" w:after="283"/>
              <w:jc w:val="left"/>
              <w:rPr/>
            </w:pPr>
            <w:hyperlink w:anchor="ss_14">
              <w:r>
                <w:rPr>
                  <w:rStyle w:val="InternetLink"/>
                  <w:rFonts w:ascii="Times New Roman;Times;Serif" w:hAnsi="Times New Roman;Times;Serif"/>
                  <w:sz w:val="20"/>
                </w:rPr>
                <w:t>INCORPORATION OF CERTAIN DOCUMENTS BY REFERENCE</w:t>
              </w:r>
            </w:hyperlink>
          </w:p>
        </w:tc>
        <w:tc>
          <w:tcPr>
            <w:tcW w:w="245" w:type="dxa"/>
            <w:tcBorders/>
            <w:shd w:fill="FFFFFF" w:val="clear"/>
            <w:vAlign w:val="center"/>
          </w:tcPr>
          <w:p>
            <w:pPr>
              <w:pStyle w:val="TableContents"/>
              <w:bidi w:val="0"/>
              <w:spacing w:before="0" w:after="283"/>
              <w:jc w:val="right"/>
              <w:rPr/>
            </w:pPr>
            <w:hyperlink w:anchor="ss_14">
              <w:r>
                <w:rPr>
                  <w:rStyle w:val="InternetLink"/>
                  <w:rFonts w:ascii="Times New Roman;Times;Serif" w:hAnsi="Times New Roman;Times;Serif"/>
                  <w:sz w:val="20"/>
                </w:rPr>
                <w:t>28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are part of a registration statement that we filed with the Securities and Exchange Commission, or the SEC, utilizing a “shelf” registration process. From time to time, we may conduct an offering to sell securities under the accompanying base prospectus and a related prospectus supplement that will contain specific information about the terms of that offering, including the price, the amount of securities being offered and the plan of distribution. This prospectus supplement describes the specific details regarding this offering and may add, update or change information contained in the accompanying base prospectus. The base prospectus, dated January 26, 2024, including the documents incorporated by reference therein, provides general information about us and our securities, some of which, such as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may not apply to this offering. This prospectus supplement and the accompanying base prospectus are an offer to sell only the securities offered hereby, but only under circumstances and in jurisdictions where it is lawful to do so. Neither we nor the Sales Agent are making offers to sell or solicitations to buy our securities in any jurisdiction in which an offer or solicitation is not authorized or in which the person making that offer or solicitation is not qualified to do so or to anyone to whom it is unlawful to make an offer or solicitation. 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information in this prospectus supplement is inconsistent with the accompanying base prospectus or the information incorporated by reference with an earlier date, you should rely on this prospectus supplement. This prospectus supplement, together with the accompanying base prospectus, the documents incorporated by reference into this prospectus supplement and the accompanying base prospectus and any free writing prospectus we have provided for use in connection with this offering, include all material information relating to this offering. Neither we nor the Sales Agent have authorized anyone to provide you with different or additional information, and you must not rely on any unauthorized information or representations. You should assume that the information appearing in this prospectus supplement, the accompanying base prospectus, the documents incorporated by reference in this prospectus supplement and the accompanying base prospectus and any free writing prospectus we have provided for use in connection with this offering is accurate only as of the respective dates of those documents. Our business, financial condition, results of operations and prospects may have changed since those dates. </w:t>
      </w:r>
      <w:r>
        <w:rPr>
          <w:rFonts w:ascii="Times New Roman;Times;Serif" w:hAnsi="Times New Roman;Times;Serif"/>
          <w:b/>
          <w:i w:val="false"/>
          <w:caps w:val="false"/>
          <w:smallCaps w:val="false"/>
          <w:sz w:val="20"/>
        </w:rPr>
        <w:t>You should carefully read this prospectus supplement, the accompanying base prospectus and the information and documents incorporated herein by reference herein and therein, as well as any free writing prospectus we have provided for use in connection with this offering, before making an investment decision. See “</w:t>
      </w:r>
      <w:r>
        <w:rPr>
          <w:rFonts w:ascii="Times New Roman;Times;Serif" w:hAnsi="Times New Roman;Times;Serif"/>
          <w:b/>
          <w:i/>
          <w:caps w:val="false"/>
          <w:smallCaps w:val="false"/>
          <w:sz w:val="20"/>
        </w:rPr>
        <w:t>Incorporation of Certain Documents by Reference</w:t>
      </w:r>
      <w:r>
        <w:rPr>
          <w:rFonts w:ascii="Times New Roman;Times;Serif" w:hAnsi="Times New Roman;Times;Serif"/>
          <w:b/>
          <w:i w:val="false"/>
          <w:caps w:val="false"/>
          <w:smallCaps w:val="false"/>
          <w:sz w:val="20"/>
        </w:rPr>
        <w:t>” and “</w:t>
      </w:r>
      <w:r>
        <w:rPr>
          <w:rFonts w:ascii="Times New Roman;Times;Serif" w:hAnsi="Times New Roman;Times;Serif"/>
          <w:b/>
          <w:i/>
          <w:caps w:val="false"/>
          <w:smallCaps w:val="false"/>
          <w:sz w:val="20"/>
        </w:rPr>
        <w:t>Where You Can Find More Information</w:t>
      </w:r>
      <w:r>
        <w:rPr>
          <w:rFonts w:ascii="Times New Roman;Times;Serif" w:hAnsi="Times New Roman;Times;Serif"/>
          <w:b/>
          <w:i w:val="false"/>
          <w:caps w:val="false"/>
          <w:smallCaps w:val="false"/>
          <w:sz w:val="20"/>
        </w:rPr>
        <w:t>” in this prospectus supplement and in the accompanying base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full text of the actual documents, some of which have been filed or will be filed and incorporated by reference herein.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in this prospectus supplement. We further note that the representations, warranties and covenants made by us in any agreement that is filed as an exhibit to any document that is incorporated by reference into this prospectus supplement or the accompanying base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base prospectus contain and incorporate by reference certain market data and industry statistics and forecasts that are based on independent industry publications and other publicly available information. Although we believe these sources are reliable, estimates as they relate to projections involve numerous assumptions, are subject to risks and uncertainties, and are subject to change based on various factors, including those discussed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and the accompanying base prospectus and under similar headings in the documents incorporated by reference herein and therein. Accordingly, investors should not place undue reliance on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summary highlights information contained elsewhere in this prospectus supplement, the accompanying base prospectus and the documents incorporated by reference herein and therein. This summary does not contain all of the information that you should consider before deciding to invest in our securities. You should read this entire prospectus supplement and the accompanying base prospectus carefully, including the section entitled “Risk Factors” in this prospectus supplement and our consolidated financial statements and the related notes, and the other information incorporated by reference into this prospectus supplement and the accompanying base prospectus,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Brands, Inc. (“Xcel,” the “Company,” “we,” “us,” or “our”) is a media and consumer products company engaged in the design, licensing, marketing, live streaming, and social commerce sales of branded apparel, footwear, accessories, fine jewelry, home goods and other consumer products, and the development of influencer led brands and the acquisition of dynamic consumer lifestyle brands. Xcel was founded in 2011 with a vision to reimagine shopping, entertainment, and social media as social commerce.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owns the Halston and C Wonder brands, as well as the co-branded collaboration brands Tower Hill by Christie Brinkley, Trust. Respect. Love by Cesar Millan, GemmaMade by Gemma Stafford, and Off/Duty by Coco Rocha brand, and holds the television rights through a long-term license agreement with Mesa Mia by Jenny Martinez. Xcel also owns and manages the Longaberger by Shannon Doherty brand through its controlling interest in Longaberger Licensing,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Judith Ripka brand was sold to a third party as of April 27, 2026. Additionally, through October 1, 2025, we held a noncontrolling ownership interest in the Isaac Mizrahi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is pioneering a modern consumer products sales strategy which includes the promotion and sale of products under its brands through interactive television, digital live-stream shopping, social commerce, brick-and-mortar retailers, and e-commerce channels to be everywhere its customers shop. The Company’s previously owned and current brands have generated more than $5 billion in retail sales via livestreaming in interactive television and digital channels alone and have over 20,000 hours of content production time in live-stream and social commerce. The Company’s brand portfolio reaches more than 46 million social media followers with broadcast reaching 200 million households.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currently operates in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do impact us indirectly as our royalty revenues are typically based on the net sales and success of our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build a diversified portfolio of lifestyle consumer products brands through organic growth and the strategic acquisition of new brands. To grow our brands, we are focused on the following primary strategies:</w:t>
      </w:r>
    </w:p>
    <w:p>
      <w:pPr>
        <w:pStyle w:val="TextBody"/>
        <w:bidi w:val="0"/>
        <w:spacing w:before="0" w:after="0"/>
        <w:ind w:left="0" w:right="0" w:hanging="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125"/>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060" w:type="dxa"/>
            <w:tcBorders/>
            <w:vAlign w:val="center"/>
          </w:tcPr>
          <w:p>
            <w:pPr>
              <w:pStyle w:val="TableContents"/>
              <w:bidi w:val="0"/>
              <w:spacing w:before="0" w:after="283"/>
              <w:jc w:val="both"/>
              <w:rPr/>
            </w:pPr>
            <w:r>
              <w:rPr/>
              <w:t>licensing of our brands for sale through interactive television (e.g., QVC, HSN, etc.);</w:t>
            </w:r>
          </w:p>
        </w:tc>
      </w:tr>
    </w:tbl>
    <w:p>
      <w:pPr>
        <w:pStyle w:val="TextBody"/>
        <w:bidi w:val="0"/>
        <w:spacing w:before="0" w:after="0"/>
        <w:ind w:left="0" w:right="0" w:hanging="0"/>
        <w:jc w:val="left"/>
        <w:rPr>
          <w:caps w:val="false"/>
          <w:smallCaps w:val="false"/>
        </w:rPr>
      </w:pPr>
      <w:r>
        <w:rPr>
          <w:caps w:val="false"/>
          <w:smallCaps w:val="false"/>
        </w:rPr>
        <w:t> </w:t>
      </w:r>
    </w:p>
    <w:tbl>
      <w:tblPr>
        <w:tblW w:w="6198" w:type="dxa"/>
        <w:jc w:val="left"/>
        <w:tblInd w:w="0" w:type="dxa"/>
        <w:tblLayout w:type="fixed"/>
        <w:tblCellMar>
          <w:top w:w="0" w:type="dxa"/>
          <w:left w:w="0" w:type="dxa"/>
          <w:bottom w:w="0" w:type="dxa"/>
          <w:right w:w="0" w:type="dxa"/>
        </w:tblCellMar>
      </w:tblPr>
      <w:tblGrid>
        <w:gridCol w:w="38"/>
        <w:gridCol w:w="125"/>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035" w:type="dxa"/>
            <w:tcBorders/>
            <w:vAlign w:val="center"/>
          </w:tcPr>
          <w:p>
            <w:pPr>
              <w:pStyle w:val="TableContents"/>
              <w:bidi w:val="0"/>
              <w:spacing w:before="0" w:after="283"/>
              <w:jc w:val="both"/>
              <w:rPr/>
            </w:pPr>
            <w:r>
              <w:rPr/>
              <w:t>licensing of our brands to retailers that sell to the end consumer;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licensing our brands to manufacturers and retailers for promotion and distribution through e-commerce, social commerce, live streaming, and traditional brick-and-mortar retail channels;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acquiring additional consumer brands and integrating them into our operating platform, and leveraging our operating infrastructure and distribution relationships.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Xcel offers a unique value proposition to our retail and direct-to-consumer customers and our licensees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management team, including our officers’ and directors’ experience in, and relationships within the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12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320" w:type="dxa"/>
            <w:tcBorders/>
            <w:vAlign w:val="center"/>
          </w:tcPr>
          <w:p>
            <w:pPr>
              <w:pStyle w:val="TableContents"/>
              <w:bidi w:val="0"/>
              <w:spacing w:before="0" w:after="283"/>
              <w:jc w:val="both"/>
              <w:rPr/>
            </w:pPr>
            <w:r>
              <w:rPr/>
              <w:t>our deep knowledge, expertise, and proprietary technology in live streaming and social commerce;</w:t>
            </w:r>
          </w:p>
        </w:tc>
      </w:tr>
    </w:tbl>
    <w:p>
      <w:pPr>
        <w:pStyle w:val="TextBody"/>
        <w:bidi w:val="0"/>
        <w:spacing w:before="0" w:after="0"/>
        <w:ind w:left="0" w:right="0" w:hanging="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2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740" w:type="dxa"/>
            <w:tcBorders/>
            <w:vAlign w:val="center"/>
          </w:tcPr>
          <w:p>
            <w:pPr>
              <w:pStyle w:val="TableContents"/>
              <w:bidi w:val="0"/>
              <w:spacing w:before="0" w:after="283"/>
              <w:jc w:val="both"/>
              <w:rPr/>
            </w:pPr>
            <w:r>
              <w:rPr/>
              <w:t>our design, sales, marketing, and technology platform that enables us to design trend-right product; and</w:t>
            </w:r>
          </w:p>
        </w:tc>
      </w:tr>
    </w:tbl>
    <w:p>
      <w:pPr>
        <w:pStyle w:val="TextBody"/>
        <w:bidi w:val="0"/>
        <w:spacing w:before="0" w:after="0"/>
        <w:ind w:left="0" w:right="0" w:hanging="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38"/>
        <w:gridCol w:w="12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130" w:type="dxa"/>
            <w:tcBorders/>
            <w:vAlign w:val="center"/>
          </w:tcPr>
          <w:p>
            <w:pPr>
              <w:pStyle w:val="TableContents"/>
              <w:bidi w:val="0"/>
              <w:spacing w:before="0" w:after="283"/>
              <w:jc w:val="both"/>
              <w:rPr/>
            </w:pPr>
            <w:r>
              <w:rPr/>
              <w:t>our significant media and internet presence.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“Seventh Amendment Effective Date”), the Company and certain of its subsidiaries entered into that certain Seventh Amendment to Loan and Security Agreement with each lender party thereto and FEAC Agent, LLC, as administrative agent and collateral agent for the lenders (the “Seventh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(the “Senior Note Closing Date”), the Company and certain direct and indirect subsidiaries of the Company (the “Subsidiary Guarantors”) entered into certain agreements with Smithline Family Trust II (“SFT”), Quick Capital, LLC (“Quick”) and Clear Markets Capital, LLC, a company controlled by Robert W. D’Loren, Chairman and Chief Executive Officer of the Company (“IPX”; SFT, Quick and IPX, collectively, the “Purchasers”), including (i) that certain Securities Purchase Agreement, by and among the Company, the Subsidiary Guarantors and the Purchasers (the “SPA”), pursuant to which the Company issued and sold to the Purchasers 12.5% Senior Secured Note due April 13, 2027 in the original principal amount of $3,005,780.35 (the “Secured Notes”) and an aggregate of 100,579 shares of common stock of the Company, of which 1,472 shares of common stock were issued to IPX. The Company’s obligations under the Notes are guaranteed by the Subsidiary Guarantors pursuant to the Subsidiary Guarantee, dated as of the Senior Note Closing Date. The Secured Notes and the guarantee of the Subsidiary Guarantors are secured by the assets of the Company and the Subsidiary Guarantors pursuant to that certain Security Agreement, dated as of the Senior Note Closing Date, by and among the Company, the Subsidiary Guarantors and SFT, as collateral agent for the Purchasers (the “Security Agreement”).  At any time after the occurrence of an event of default under the Secured Notes and for so long as such event of default has not been waived, the Secured Notes (other than the Secured Note issued to IPX) are convertible into shares of common stock of the Company (i) initially at a fixed conversion price equal to $1.165 per share (as adjusted in accordance with the terms of the Secured Notes) and (ii) after May 17, 2026, at a price equal to the lesser of (a) 85% multiplied by the lowest volume weighted average price of the common stock during the 10-trading day period prior to conversion and (b) $1.165.  The Secured Note issued to IPX is convertible into shares of common stock of the Company initially at a fixed conversion price equal to $1.435 per share (the Nasdaq Official Closing Bid Price on April 13, 2026), subject to adjustment as set forth therein.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the Senior Note Closing Date less the shares issued pursuant to the SPA (the “Exchange Maximum”) unless the Company has obtained stockholder approval in compliance with Nasdaq Listing Rule 5635(d) to authorize the issuance of shares of common stock in connection with the conversion or exchange of all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the Purchasers certain piggyback registration rights with respect to the shares of Common Stock issuable upon conversion of the Secured Notes. IPX purchased $57,803 original principal amount of the Secured Notes on the same terms as the other Purchasers, except as to the exercise price of for the conversion of the Secured Note to shares of common stock of the Company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Seventh Amendment Effective Date, the Company and the Subsidiary Guarantors entered into the Seventh Amendment with IPX, UTG Capital Inc. (“UTG and, collectively with IPX, the “Lenders”) and FEAC Agent, LLC, as administrative agent and collateral agent for the Lenders (the “FEAC Agent”), pursuant to which the original Loan and Security Agreement, dated as of December 12, 2024 (as amended, the “Existing Loan Agreement” and the Existing Loan Agreement as amended by the Seventh Amendment, the “Amended Loan Agreement”), by and among the Company, the Subsidiary Guarantors, the Agent and the lenders party to the Existing Loan Agreement was amended to provide for, among other things, the ability of the Company to consummate the Secured Notes issuance, the ability for IPX to convert its $500,000 Term Loan A Note to shares of common stock of the Company at the price per share equal to $1.435, subject to adjustment as provided in the Amended Loan Agreement, the modifications to certain payment terms in connection with the Secured Notes issuance, modifications to certain financial covenants, modifications to certain financial reporting requirements and the amendment of the FEAC Agent’s role to include certain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Seventh Amendment, the FEAC Agent’s affiliated lenders under the Existing Loan Agreement entered into (1) that certain Assignment Agreement, dated as of the Seventh Amendment Effective Date (the “IPX Assignment”), between such lenders and IPX, whereby such lenders sold and assigned a portion of the Term Loan A to IPX and (2) that certain Assignment Agreement, dated as of the Seventh Amendment Effective Date (the “UTG Assignment”), between such lenders and UTG, whereby such lenders sold and assigned the entirety of the Term Loan B to UTG.  In connection with the IPX Assignment, the Companies and certain of its subsidiaries executed and delivered to IPX a Term Loan A Note, dated as of the Seventh Amendment Effective Date, convertible into shares of common stock, at a conversion price of $1.435 per share, at any time after the Effective Time. The “Effective Time” shall be the earlier date on which (i) the Company has obtained stockholder approval in compliance with Nasdaq Listing Rule 5635(d) to authorize the issuance of shares of common stock in connection with the conversion or exchange of the Term Loan A Note, the shares of common stock issued under the SPA (including upon conversion of the Secured Notes) issued thereunder and (ii) the Purchaser Notes are no longer convertible (including upon the occurrence of a future event) or have been repaid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outstanding after giving effect to the Seventh Amendment are as follows: (1) Term Loan A in the principal amount of $500,000 and (2) Term Loan B in the amount of $10,083,669.24 (collectively, the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on the Term Loan A is payable on the maturity date of September 20, 2027. Principal on the Term Loan B is payable on the maturity date of December 12, 2028. The Term Loans are guaranteed by the Subsidiary Guarantors, and are secured by all of the assets of the Company and the Subsidiary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obligations of the Company and the Subsidiary Guarantors under the Amended Loan Agreement and other agreements entered into in connection therewith (the “Subordinated Obligations”), including the payment of the Term Loans, are subject that certain Intercreditor Agreement, dated as of Seventh Amendment Effective Date, by and among the Company, the Subsidiary Guarantors, the Lenders, FEAC Agent, the Purchasers and SFT, in its capacity as collateral agent for the Purchasers, pursuant to which the Subordinated Obligations are subordinated to the obligations of the Company and the Subsidiary Guarantors to the Purchasers under the Secured Notes and Issuance, and the agreements entered into in connection with the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Xcel, Xcel IP Holdings, LLC a wholly-owned subsidiary Xcel (“IP Holdings”) and JR Licensing, LLC, a wholly-owned subsidiary of IP Holdings, entered into an asset purchase agreement with Judith Ripka Designs, LLC (“the Buyer”) with respect to the sale to the Buyer of substantially all of the assets of JR Licensing, including the “</w:t>
      </w:r>
      <w:r>
        <w:rPr>
          <w:rFonts w:ascii="Times New Roman;Times;Serif" w:hAnsi="Times New Roman;Times;Serif"/>
          <w:b w:val="false"/>
          <w:i w:val="false"/>
          <w:caps w:val="false"/>
          <w:smallCaps w:val="false"/>
          <w:sz w:val="20"/>
          <w:u w:val="single"/>
        </w:rPr>
        <w:t>Judith Ripka</w:t>
      </w:r>
      <w:r>
        <w:rPr>
          <w:rFonts w:ascii="Times New Roman;Times;Serif" w:hAnsi="Times New Roman;Times;Serif"/>
          <w:b w:val="false"/>
          <w:i w:val="false"/>
          <w:caps w:val="false"/>
          <w:smallCaps w:val="false"/>
          <w:sz w:val="20"/>
        </w:rPr>
        <w:t>” brand name and trademarks. The terms of the sale included a $2.3 million cash payment at closing and up to an additional $0.75 million of 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the Company entered into the Common Stock Purchase Agreement dated January 21, 2026 with White Lion Capital, LLC, pursuant to which White Lion Capital, LLC has committed to purchase up to $15.0 million of the Company’s common stock, subject to certain limitations and satisfaction of the conditions set forth in the purchase agreement. Through July 31, the Company sold 382,500 shares of its common stock to White Lion Capital, LLC for an aggregate purchase price of $0.71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 is currently located at 550 Seventh Avenue, 11th Floor, New York, NY 10018.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telephone number is (347) 727-2474.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website is www.xcelbrands.com.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For additional information related to our business and operations, please refer to the reports incorporated herein and in the accompanying prospectus by reference, including our </w:t>
      </w:r>
      <w:hyperlink r:id="rId3">
        <w:r>
          <w:rPr>
            <w:rStyle w:val="InternetLink"/>
            <w:rFonts w:ascii="Times New Roman;Times;Serif" w:hAnsi="Times New Roman;Times;Serif"/>
            <w:b w:val="false"/>
            <w:i w:val="false"/>
            <w:caps w:val="false"/>
            <w:smallCaps w:val="false"/>
            <w:sz w:val="20"/>
          </w:rPr>
          <w:t>Annual Report on Form 10-K for the year ended December 31, 2025, as filed with the SEC on April 15, 2026</w:t>
        </w:r>
      </w:hyperlink>
      <w:r>
        <w:rPr>
          <w:rFonts w:ascii="Times New Roman;Times;Serif" w:hAnsi="Times New Roman;Times;Serif"/>
          <w:b w:val="false"/>
          <w:i w:val="false"/>
          <w:caps w:val="false"/>
          <w:smallCaps w:val="false"/>
          <w:sz w:val="20"/>
        </w:rPr>
        <w:t>, as described in the section entitled “Incorporation of Certain Documents by Reference”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some of the terms of the offering and is qualified in its entirety by reference to the more detailed information appearing elsewhere in this prospectus supplement and the accompanying base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8"/>
        <w:gridCol w:w="8547"/>
      </w:tblGrid>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stock offered by us</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of our common stock, par value $0.001 per share (“Common Stock”), having an aggregate offering price of up to $2,971,157.</w:t>
            </w:r>
          </w:p>
        </w:tc>
      </w:tr>
      <w:tr>
        <w:trPr/>
        <w:tc>
          <w:tcPr>
            <w:tcW w:w="1658" w:type="dxa"/>
            <w:tcBorders/>
            <w:vAlign w:val="center"/>
          </w:tcPr>
          <w:p>
            <w:pPr>
              <w:pStyle w:val="TableContents"/>
              <w:bidi w:val="0"/>
              <w:spacing w:before="0" w:after="283"/>
              <w:jc w:val="left"/>
              <w:rPr/>
            </w:pPr>
            <w:r>
              <w:rPr/>
              <w:t> </w:t>
            </w:r>
          </w:p>
        </w:tc>
        <w:tc>
          <w:tcPr>
            <w:tcW w:w="8547" w:type="dxa"/>
            <w:tcBorders/>
            <w:vAlign w:val="center"/>
          </w:tcPr>
          <w:p>
            <w:pPr>
              <w:pStyle w:val="TableContents"/>
              <w:bidi w:val="0"/>
              <w:spacing w:before="0" w:after="283"/>
              <w:jc w:val="both"/>
              <w:rPr/>
            </w:pPr>
            <w:r>
              <w:rPr/>
              <w:t> </w:t>
            </w:r>
          </w:p>
        </w:tc>
      </w:tr>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stock to be outstanding immediately after this offering</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9,721,079 shares, assuming sales of 3,160,079 shares of our Common Stock in this offering at a price of $0.94 per share, which was the closing price of our Common Stock on the Nasdaq Capital Market on August 14, 2026. The actual number of shares issued will vary depending on the sales price under this offering.</w:t>
            </w:r>
          </w:p>
        </w:tc>
      </w:tr>
      <w:tr>
        <w:trPr/>
        <w:tc>
          <w:tcPr>
            <w:tcW w:w="1658" w:type="dxa"/>
            <w:tcBorders/>
            <w:vAlign w:val="center"/>
          </w:tcPr>
          <w:p>
            <w:pPr>
              <w:pStyle w:val="TableContents"/>
              <w:bidi w:val="0"/>
              <w:spacing w:before="0" w:after="283"/>
              <w:jc w:val="left"/>
              <w:rPr/>
            </w:pPr>
            <w:r>
              <w:rPr/>
              <w:t> </w:t>
            </w:r>
          </w:p>
        </w:tc>
        <w:tc>
          <w:tcPr>
            <w:tcW w:w="8547" w:type="dxa"/>
            <w:tcBorders/>
            <w:vAlign w:val="center"/>
          </w:tcPr>
          <w:p>
            <w:pPr>
              <w:pStyle w:val="TableContents"/>
              <w:bidi w:val="0"/>
              <w:spacing w:before="0" w:after="283"/>
              <w:jc w:val="both"/>
              <w:rPr/>
            </w:pPr>
            <w:r>
              <w:rPr/>
              <w:t> </w:t>
            </w:r>
          </w:p>
        </w:tc>
      </w:tr>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Manner of offering</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entered into a Sales Agreement with the Sales Agent, relating to the sale of shares of our Common Stock offered by this prospectus supplement. In accordance with the terms of the Sales Agreement, under this prospectus supplement we may offer and sell Common Stock having an aggregate offering price of up to $10,000,000 from time to time through or to the Sales Agent acting as our sales agent or principal. Sales of Common Stock, if any, under this prospectus supplement will be made by any method permitted that is deemed an “at the market offering” as defined in Rule 415(a)(4) under the Securities Act. See the section entitled “</w:t>
            </w:r>
            <w:r>
              <w:rPr>
                <w:rFonts w:ascii="Times New Roman;Times;Serif" w:hAnsi="Times New Roman;Times;Serif"/>
                <w:i/>
                <w:sz w:val="20"/>
              </w:rPr>
              <w:t>Plan of Distribution</w:t>
            </w:r>
            <w:r>
              <w:rPr>
                <w:rFonts w:ascii="Times New Roman;Times;Serif" w:hAnsi="Times New Roman;Times;Serif"/>
                <w:sz w:val="20"/>
              </w:rPr>
              <w:t>” on page S-10 of this prospectus supplement.</w:t>
            </w:r>
          </w:p>
        </w:tc>
      </w:tr>
      <w:tr>
        <w:trPr/>
        <w:tc>
          <w:tcPr>
            <w:tcW w:w="1658" w:type="dxa"/>
            <w:tcBorders/>
            <w:vAlign w:val="center"/>
          </w:tcPr>
          <w:p>
            <w:pPr>
              <w:pStyle w:val="TableContents"/>
              <w:bidi w:val="0"/>
              <w:spacing w:before="0" w:after="283"/>
              <w:jc w:val="left"/>
              <w:rPr/>
            </w:pPr>
            <w:r>
              <w:rPr/>
              <w:t> </w:t>
            </w:r>
          </w:p>
        </w:tc>
        <w:tc>
          <w:tcPr>
            <w:tcW w:w="8547" w:type="dxa"/>
            <w:tcBorders/>
            <w:vAlign w:val="center"/>
          </w:tcPr>
          <w:p>
            <w:pPr>
              <w:pStyle w:val="TableContents"/>
              <w:bidi w:val="0"/>
              <w:spacing w:before="0" w:after="283"/>
              <w:jc w:val="both"/>
              <w:rPr/>
            </w:pPr>
            <w:r>
              <w:rPr/>
              <w:t> </w:t>
            </w:r>
          </w:p>
        </w:tc>
      </w:tr>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expect to use the net proceeds from this offering for working capital and general corporate purposes. See “</w:t>
            </w:r>
            <w:r>
              <w:rPr>
                <w:rFonts w:ascii="Times New Roman;Times;Serif" w:hAnsi="Times New Roman;Times;Serif"/>
                <w:i/>
                <w:sz w:val="20"/>
              </w:rPr>
              <w:t>Use of Proceeds</w:t>
            </w:r>
            <w:r>
              <w:rPr>
                <w:rFonts w:ascii="Times New Roman;Times;Serif" w:hAnsi="Times New Roman;Times;Serif"/>
                <w:sz w:val="20"/>
              </w:rPr>
              <w:t>” for additional information.</w:t>
            </w:r>
          </w:p>
        </w:tc>
      </w:tr>
      <w:tr>
        <w:trPr/>
        <w:tc>
          <w:tcPr>
            <w:tcW w:w="1658" w:type="dxa"/>
            <w:tcBorders/>
            <w:vAlign w:val="center"/>
          </w:tcPr>
          <w:p>
            <w:pPr>
              <w:pStyle w:val="TableContents"/>
              <w:bidi w:val="0"/>
              <w:spacing w:before="0" w:after="283"/>
              <w:jc w:val="left"/>
              <w:rPr/>
            </w:pPr>
            <w:r>
              <w:rPr/>
              <w:t> </w:t>
            </w:r>
          </w:p>
        </w:tc>
        <w:tc>
          <w:tcPr>
            <w:tcW w:w="8547" w:type="dxa"/>
            <w:tcBorders/>
            <w:vAlign w:val="center"/>
          </w:tcPr>
          <w:p>
            <w:pPr>
              <w:pStyle w:val="TableContents"/>
              <w:bidi w:val="0"/>
              <w:spacing w:before="0" w:after="283"/>
              <w:jc w:val="both"/>
              <w:rPr/>
            </w:pPr>
            <w:r>
              <w:rPr/>
              <w:t> </w:t>
            </w:r>
          </w:p>
        </w:tc>
      </w:tr>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Common Stock involves a high degree of risk. You should carefully consider the information under “</w:t>
            </w:r>
            <w:r>
              <w:rPr>
                <w:rFonts w:ascii="Times New Roman;Times;Serif" w:hAnsi="Times New Roman;Times;Serif"/>
                <w:i/>
                <w:sz w:val="20"/>
              </w:rPr>
              <w:t>Risk Factors</w:t>
            </w:r>
            <w:r>
              <w:rPr>
                <w:rFonts w:ascii="Times New Roman;Times;Serif" w:hAnsi="Times New Roman;Times;Serif"/>
                <w:sz w:val="20"/>
              </w:rPr>
              <w:t xml:space="preserve">” in this prospectus supplement and the other risks identified in the documents included or incorporated by reference in this prospectus supplement and the accompanying base prospectus before deciding to invest in our Common Stock. </w:t>
            </w:r>
          </w:p>
        </w:tc>
      </w:tr>
      <w:tr>
        <w:trPr/>
        <w:tc>
          <w:tcPr>
            <w:tcW w:w="1658" w:type="dxa"/>
            <w:tcBorders/>
            <w:vAlign w:val="center"/>
          </w:tcPr>
          <w:p>
            <w:pPr>
              <w:pStyle w:val="TableContents"/>
              <w:bidi w:val="0"/>
              <w:spacing w:before="0" w:after="283"/>
              <w:jc w:val="left"/>
              <w:rPr/>
            </w:pPr>
            <w:r>
              <w:rPr/>
              <w:t> </w:t>
            </w:r>
          </w:p>
        </w:tc>
        <w:tc>
          <w:tcPr>
            <w:tcW w:w="8547" w:type="dxa"/>
            <w:tcBorders/>
            <w:vAlign w:val="center"/>
          </w:tcPr>
          <w:p>
            <w:pPr>
              <w:pStyle w:val="TableContents"/>
              <w:bidi w:val="0"/>
              <w:spacing w:before="0" w:after="283"/>
              <w:jc w:val="both"/>
              <w:rPr/>
            </w:pPr>
            <w:r>
              <w:rPr/>
              <w:t> </w:t>
            </w:r>
          </w:p>
        </w:tc>
      </w:tr>
      <w:tr>
        <w:trPr/>
        <w:tc>
          <w:tcPr>
            <w:tcW w:w="165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Stock Market symbol</w:t>
            </w:r>
          </w:p>
        </w:tc>
        <w:tc>
          <w:tcPr>
            <w:tcW w:w="85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Common Stock is listed on the Nasdaq Capital Market under the symbol “XELB”.</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expected to be outstanding after this offering is based on 6,560,274 shares of Common Stock outstanding as of August 14, 2026, and excludes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617,701 shares of our common stock issuable upon the exercise of stock options outstanding under our 2011 Equity Incentive Plan and our 2021 Equity Incentive Plan as of August 14, 2026 at a weighted-average exercise price of $2.82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98,584 shares of our common stock available for future issuance as of August 14, 2026 under our 2021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2,378,280 shares of our common stock issuable upon the exercise of outstanding warrants as of August 14, 2026 with a weighted average exercise price of $7.56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4"/>
        <w:gridCol w:w="10004"/>
      </w:tblGrid>
      <w:tr>
        <w:trPr/>
        <w:tc>
          <w:tcPr>
            <w:tcW w:w="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773,929 shares of common stock issuable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370,370 shares of common stock issuable upon conversion of the $500,000 Term Loan A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Investing in our securities involves a high degree of risk. Before investing in our securities, you should carefully consider the risks, uncertainties and assumptions contained in this prospectus supplement and also contained under the heading “Risk Factors” included in our </w:t>
      </w:r>
      <w:hyperlink r:id="rId4">
        <w:r>
          <w:rPr>
            <w:rStyle w:val="InternetLink"/>
            <w:rFonts w:ascii="Times New Roman;Times;Serif" w:hAnsi="Times New Roman;Times;Serif"/>
            <w:b w:val="false"/>
            <w:i/>
            <w:caps w:val="false"/>
            <w:smallCaps w:val="false"/>
            <w:sz w:val="20"/>
          </w:rPr>
          <w:t>Annual Report on Form 10-K for the year ended December 31, 2025 filed with the SEC on April 15, 2026</w:t>
        </w:r>
      </w:hyperlink>
      <w:r>
        <w:rPr>
          <w:rFonts w:ascii="Times New Roman;Times;Serif" w:hAnsi="Times New Roman;Times;Serif"/>
          <w:b w:val="false"/>
          <w:i/>
          <w:caps w:val="false"/>
          <w:smallCaps w:val="false"/>
          <w:sz w:val="20"/>
        </w:rPr>
        <w:t>, or as revised or supplemented by subsequent filings, which are on file with the SEC and are incorporated herein by reference, and which may be amended, supplemented or superseded from time to time by other reports we file with the SEC in the future. Our business, financial condition, results of operations and future growth prospects could be materially and adversely affected by any of these risks. In these circumstances, the market price of our common stock could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 and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Because we will have broad discretion and flexibility in how the net proceeds from this offering are used, we may use the net proceeds in ways in which you disagree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we will need additional financing following this offering to execute our business plan and fund operations, which additional financing may not be available on reasonable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total assets of approximately $32.5 million, $399,000 of cash and an approximately $(4.0 million) of working capital deficit. As of the date of this prospectus supplement, we believe that we will need additional capital to fund our further operations. We intend to seek additional funds through various financing sources, including sales of our Common Stock pursuant to the Sales Agreement.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of our Common Stock we will sell under the Sales Agreement, or the gross proceeds resulting from those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placement notice to the Sales Agent at any time throughout the term of the Sales Agreement. The number of shares of our Common Stock that are sold through the Sales Agent after delivering a placement notice will fluctuate based on a number of factors, including the market price of our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Stock offered hereby will be sold in “at the market offerings,” 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Common Stock in this offering at different times will likely pay different prices and on different dates,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shares may be subject to fluctuation and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could lose all or part of your investment. The market price of our Common Stock is subject to wide fluctuations in response to various factors, some of which are beyond our control. The market price for our Common Stock varied between a high of $2.38 and a low of $0.75 in the twelve-month period ended June 30, 2026. The market price of our shares on the Nasdaq Capital Market may fluctuate as a result of a number of factors, some of which are beyond our control,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11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variations in our and our competitors’ results of operations and financial condition;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and market conditions and other factors, including factors unrelated to our operating performance, such adverse impact of tariffs and any trade war and rising inflation;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possible delays in the expected recognition of revenue due to lengthy and sometimes unpredictable product development and sales timelines;</w:t>
            </w:r>
          </w:p>
        </w:tc>
      </w:tr>
    </w:tbl>
    <w:tbl>
      <w:tblPr>
        <w:tblW w:w="3948" w:type="dxa"/>
        <w:jc w:val="left"/>
        <w:tblInd w:w="0" w:type="dxa"/>
        <w:tblLayout w:type="fixed"/>
        <w:tblCellMar>
          <w:top w:w="0" w:type="dxa"/>
          <w:left w:w="0" w:type="dxa"/>
          <w:bottom w:w="0" w:type="dxa"/>
          <w:right w:w="0" w:type="dxa"/>
        </w:tblCellMar>
      </w:tblPr>
      <w:tblGrid>
        <w:gridCol w:w="38"/>
        <w:gridCol w:w="11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industry conditions or perceptions;</w:t>
            </w:r>
          </w:p>
        </w:tc>
      </w:tr>
    </w:tbl>
    <w:tbl>
      <w:tblPr>
        <w:tblW w:w="8613" w:type="dxa"/>
        <w:jc w:val="left"/>
        <w:tblInd w:w="0" w:type="dxa"/>
        <w:tblLayout w:type="fixed"/>
        <w:tblCellMar>
          <w:top w:w="0" w:type="dxa"/>
          <w:left w:w="0" w:type="dxa"/>
          <w:bottom w:w="0" w:type="dxa"/>
          <w:right w:w="0" w:type="dxa"/>
        </w:tblCellMar>
      </w:tblPr>
      <w:tblGrid>
        <w:gridCol w:w="38"/>
        <w:gridCol w:w="110"/>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and litigations related to intellectual properties, proprietary rights, and contractual obligations;</w:t>
            </w:r>
          </w:p>
        </w:tc>
      </w:tr>
    </w:tbl>
    <w:tbl>
      <w:tblPr>
        <w:tblW w:w="7518" w:type="dxa"/>
        <w:jc w:val="left"/>
        <w:tblInd w:w="0" w:type="dxa"/>
        <w:tblLayout w:type="fixed"/>
        <w:tblCellMar>
          <w:top w:w="0" w:type="dxa"/>
          <w:left w:w="0" w:type="dxa"/>
          <w:bottom w:w="0" w:type="dxa"/>
          <w:right w:w="0" w:type="dxa"/>
        </w:tblCellMar>
      </w:tblPr>
      <w:tblGrid>
        <w:gridCol w:w="38"/>
        <w:gridCol w:w="11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applicable laws, rules, regulations, or accounting practices and other dynamics;</w:t>
            </w:r>
          </w:p>
        </w:tc>
      </w:tr>
    </w:tbl>
    <w:tbl>
      <w:tblPr>
        <w:tblW w:w="9348" w:type="dxa"/>
        <w:jc w:val="left"/>
        <w:tblInd w:w="0" w:type="dxa"/>
        <w:tblLayout w:type="fixed"/>
        <w:tblCellMar>
          <w:top w:w="0" w:type="dxa"/>
          <w:left w:w="0" w:type="dxa"/>
          <w:bottom w:w="0" w:type="dxa"/>
          <w:right w:w="0" w:type="dxa"/>
        </w:tblCellMar>
      </w:tblPr>
      <w:tblGrid>
        <w:gridCol w:w="38"/>
        <w:gridCol w:w="11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sale or proposed sale, or the sale by our significant stockholders, of our shares or other securities in the future;</w:t>
            </w:r>
          </w:p>
        </w:tc>
      </w:tr>
    </w:tbl>
    <w:tbl>
      <w:tblPr>
        <w:tblW w:w="2643" w:type="dxa"/>
        <w:jc w:val="left"/>
        <w:tblInd w:w="0" w:type="dxa"/>
        <w:tblLayout w:type="fixed"/>
        <w:tblCellMar>
          <w:top w:w="0" w:type="dxa"/>
          <w:left w:w="0" w:type="dxa"/>
          <w:bottom w:w="0" w:type="dxa"/>
          <w:right w:w="0" w:type="dxa"/>
        </w:tblCellMar>
      </w:tblPr>
      <w:tblGrid>
        <w:gridCol w:w="38"/>
        <w:gridCol w:w="11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key personnel; and</w:t>
            </w:r>
          </w:p>
        </w:tc>
      </w:tr>
    </w:tbl>
    <w:tbl>
      <w:tblPr>
        <w:tblW w:w="2838" w:type="dxa"/>
        <w:jc w:val="left"/>
        <w:tblInd w:w="0" w:type="dxa"/>
        <w:tblLayout w:type="fixed"/>
        <w:tblCellMar>
          <w:top w:w="0" w:type="dxa"/>
          <w:left w:w="0" w:type="dxa"/>
          <w:bottom w:w="0" w:type="dxa"/>
          <w:right w:w="0" w:type="dxa"/>
        </w:tblCellMar>
      </w:tblPr>
      <w:tblGrid>
        <w:gridCol w:w="38"/>
        <w:gridCol w:w="11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volume of our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this offering will experience immediate and substantial dilution in the net tangible book value per share of the common stock they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price per share of our common stock being offered is higher than the net tangible book value per share of our common stock, you will suffer substantial dilution in the net tangible book value of the common stock you purchase in this offering. See the section entitled “Dilution” in this prospectus for a more detailed discussion of the dilution you will incur if you purchase common stock in this offering. In addition, we have a significant number of options, warrants and convertible notes outstanding. If the holders of these options, warrants and convertible notes exercise such options or warrants or convert such notes, you may incur further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our Common Stock could result in additional dilution of the percentage ownership of our stockholders and could cause our share price to 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additional capital will be needed in the future to continue our planned operations, including hiring new personnel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shares may be sold in the market , which may depress the market price for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cause the market price of our common stock to decline. As of the date of this prospectus supplement, we have 6,560,274 outstanding shares of common stock, based on the number of shares of our common stock outstanding. We have granted registration rights to holders of warrants to purchase 1,107,455 shares of our common stock at an average exercise price of $11.67 per which allows them at any time we are eligible to file a Form S-3 registration statement to require that we file a Form S-3 registration statement to register the shares issuable upon exercise of such warrants. In addition, we granted registration rights to a holder of a warrant to purchase 100,000 shares of our common stock, including the right to have the shares issuable upon exercise of the warrant registered for resale in any registration statement we file, including the registration statement of which this prospectus forms a part. We did not register such shares in this registration statement as the warrant has not vested and is not subject to vesting, in whole or in part, until at least December 31, 2027. We intend to register such shares for resale by the holder thereof prior to any vesting of the warrant. Further, we have also registered the shares of common stock that we may issue under our equity incentive plans. As a result, these shares can be freely sold in the public market upon issuance, subject to restrictions under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base prospectus, including the documents that we incorporate by reference herein, contain, forward-looking statements within the meaning of Section 27A of the Securities Act of 1933, as amended, or the Securities Act, and Section 21E of the Securities Exchange Act of 1934, as amended, or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“seek,” “believe,” “intend,” “should,” “plan,” “project,” “target,” “might,” “approximately,” “expect,” “predict,” “could,” “would,” “potentially” or the negative of these terms or other similar expressions. These forward-looking statements include, but are not limited to, statements regarding our anticipated revenue, expenses, profitability, strategic plans, and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as well as any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or implied by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shares of our Common Stock having aggregate sales proceeds of up to $10,000,000 from time to time. Because there is no minimum offering amount required as a condition of this offering, the actual total public offering amount, commissions and proceeds to us, if any, are not determinable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this offering for working capital and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located elsewhere in this prospectus supplement, the accompanying base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 will experience immediate dilution to the extent of the difference between the price per share you pay in this offering and the net tangible book value per share of our Common Stock after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June 30, 2026 was approximately $(15,224,000), or approximately $(2.35) per share. Net tangible book value is determined by subtracting our total liabilities from our total tangible assets, and net tangible book value per share is determined by dividing our net tangible book value by the number of outstanding shares of our Common Stock. After giving effect to the sale of 3,160,805 shares of our Common Stock during the term of the Sales Agreement at an assumed offering price of $0.94 per share, the last reported sale price per share of our Common Stock on the Nasdaq Capital Market on August 14, 2026, and after deducting commissions of 3% of the offering proceeds and estimated aggregate offering expenses payable by us, our adjusted net tangible book value as of June 30, 2026 would have been approximately $(12,491,978), or approximately $(1.29) per share. This represents an immediate increase in net tangible book value of approximately $1.06 per share to our existing stockholders and an immediate dilution in net tangible book value of approximately $(2.23) per share to investors participating in this offering. The following table illustrates this calculation on a per share basis:</w:t>
      </w:r>
    </w:p>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6245"/>
        <w:gridCol w:w="60"/>
        <w:gridCol w:w="125"/>
        <w:gridCol w:w="440"/>
        <w:gridCol w:w="95"/>
      </w:tblGrid>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public offering price per share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tangible book value per share as of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per share attributable to investors participating in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tangible book value per share after giving effect to this offering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Dilution per share to investors participating in this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3,160,805 shares of our Common Stock are sold during the term of the Sales Agreement at a price of $0.94 per share, the last reported sale price per share of our Common Stock on The Nasdaq Capital Market on August 14, 2026, for aggregate net proceeds of $2,732,022. However, the shares subject to the Sales Agreement are being sold from time to time at various prices and such prices may differ significantly from the assumed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expected to be outstanding after this offering is based on 6,560,274 shares of Common Stock outstanding as of August 14, 2026, and excludes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617,701 shares of our common stock issuable upon the exercise of stock options outstanding under our 2011 Equity Incentive Plan and our 2021 Equity Incentive Plan as of August 14, 2026 at a weighted-average exercise price of $2.82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98,584 shares of our common stock available for future issuance as of August 14, 2026 under our 2021 Equity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2,378,280 shares of our common stock issuable upon the exercise of outstanding warrants as of August 14, 2026 with a weighted average exercise price of $7.56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4"/>
        <w:gridCol w:w="10004"/>
      </w:tblGrid>
      <w:tr>
        <w:trPr/>
        <w:tc>
          <w:tcPr>
            <w:tcW w:w="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rPr>
            </w:pPr>
            <w:r>
              <w:rPr>
                <w:rFonts w:ascii="Symbol" w:hAnsi="Symbol"/>
              </w:rPr>
              <w:t>·</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773,929 shares of common stock issuable upon exercise of the Pre-Funded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370,370 shares of common stock issuable upon conversion of the $500,000 Term Loan A Note.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illustration of dilution per share to investors participating in this offering assumes no exercise of outstanding options or warrants to purchase our Common Stock and no conversion of the Term A Loan. The exercise of outstanding options or warrants or conversion of the Term A Loan having an exercise or conversion price less than the assumed offering price would increase dilution to investors participating in this offering. To the extent that additional capital is raised through our sale of equity or convertible debt securities, the issuance of these securities could result in further dilution to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sales agreement with Maxim Group LLC (“Maxim”) under which we may issue and sell from time to time up to $10,000,000 of our common stock through or to Maxim as sales agent or principal. Sales of our common stock, if any, will be made at market prices by any method that is deemed to be an “at the market offering” as defined in Rule 415 under the Securities Act. If authorized by us in writing, Maxim may purchase shares of our common stock as principal.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will offer our common stock subject to the terms and conditions of the sales agreement as agreed upon by us and Maxim. We will designate the maximum amount of common stock to be sold through Maxim on a daily basis or otherwise determine such maximum amount together with Maxim. Subject to the terms and conditions of the sales agreement, Maxim will use its commercially reasonable efforts to sell on our behalf all of the shares of common stock requested to be sold by us. We may instruct Maxim not to sell common stock if the sales cannot be effected at or above the price designated by us in any such instruction. Maxim or we may suspend the offering of our common stock being made through Maxim under the sales agreement upon proper notice to the other party. Maxim and we each have the right, by giving written notice as specified in the sales agreement, to terminate the sales agreement in each party’s discretion at any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compensation payable to Maxim as sales agent is equal to 3% of the gross sales price of the shares sold through it pursuant to the sales agreement. We have agreed to reimburse Maxim $50,000 of its actual outside legal expenses incurred by Maxim in connection with the establishment of this offering. We have also agreed to reimburse Maxim for ongoing diligence expenses in an amount not to exceed $3,000 per calendar quarter, as provided in the Sales Agreement We estimate that the total expenses of the offering payable by us, excluding commissions payable to Maxim under the sales agreement and ongoing diligence expenses, will be approximately $150,000.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sales are made, we will report at least quarterly the number of shares of common stock sold through Maxim under the sales agreement, the net proceeds to us and the compensation paid by us to Maxim in connection with the sales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for sales of common stock will occur, unless the parties agree otherwise, on the first trading day following the date on which any sales were made in return for payment of the net proceeds to us.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sales of our common stock on our behalf, Maxim will be deemed to be an “underwriter” within the meaning of the Securities Act, and the compensation paid to Maxim will be deemed to be underwriting commissions or discounts. We have agreed in the sales agreement to provide indemnification and contribution to Maxim against certain liabilities, including liabilities under the Securities Act. As sales agent, Maxim will not engage in any transactions that stabilizes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and trades under the symbol “XELB”. The transfer agent of our common stock is Continental Stock Transfer &amp; Trust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and/or its affiliates have provided, and may in the future provide, various investment banking and other financial services for us for which services they have received and, may in the future receive, customary fees. In addition, in the ordinary course of its business activities, Maxim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Maxim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supplement will be passed upon for us by Blank Rome LLP, New York, New York. Pryor Cashman LLP, New York, New York, is acting as counsel for the Sales Agent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Xcel Brands, Inc. and its subsidiaries as of December 31, 2025 and 2024, and the related consolidated statements of operations, stockholders’ equity and cash flows for each of the years then ended, have been audited by Wolf &amp; Company, P.C., independent registered public accounting firm, and Marcum LLP, respectively, independent registered public accounting firm, respectively, as stated in their respective reports, which are incorporated by reference. Such financial statements have been incorporated by reference in reliance on the report of such firm given upon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(other than the portions thereof deemed to be furnished to the SEC pursuant to Item 9 or Item 12) until we terminate the offering of these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5">
              <w:r>
                <w:rPr>
                  <w:rStyle w:val="InternetLink"/>
                  <w:rFonts w:ascii="Times New Roman;Times;Serif" w:hAnsi="Times New Roman;Times;Serif"/>
                </w:rPr>
                <w:t>our Annual Report on Form 10-K for the year ended December 31, 2025, which was filed with the SEC on April 15,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quarters ended March 31, 2026 and June 30, 2026, which were filed with the SEC on </w:t>
            </w:r>
            <w:hyperlink r:id="rId6">
              <w:r>
                <w:rPr>
                  <w:rStyle w:val="InternetLink"/>
                  <w:rFonts w:ascii="Times New Roman;Times;Serif" w:hAnsi="Times New Roman;Times;Serif"/>
                </w:rPr>
                <w:t>May 14, 2026</w:t>
              </w:r>
            </w:hyperlink>
            <w:r>
              <w:rPr>
                <w:rFonts w:ascii="Times New Roman;Times;Serif" w:hAnsi="Times New Roman;Times;Serif"/>
              </w:rPr>
              <w:t xml:space="preserve"> and </w:t>
            </w:r>
            <w:hyperlink r:id="rId7">
              <w:r>
                <w:rPr>
                  <w:rStyle w:val="InternetLink"/>
                  <w:rFonts w:ascii="Times New Roman;Times;Serif" w:hAnsi="Times New Roman;Times;Serif"/>
                </w:rPr>
                <w:t>August 13, 2026</w:t>
              </w:r>
            </w:hyperlink>
            <w:r>
              <w:rPr>
                <w:rFonts w:ascii="Times New Roman;Times;Serif" w:hAnsi="Times New Roman;Times;Serif"/>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 xml:space="preserve">our Current Reports on Form 8-K, which was filed with the SEC on </w:t>
            </w:r>
            <w:hyperlink r:id="rId8">
              <w:r>
                <w:rPr>
                  <w:rStyle w:val="InternetLink"/>
                  <w:rFonts w:ascii="Times New Roman;Times;Serif" w:hAnsi="Times New Roman;Times;Serif"/>
                </w:rPr>
                <w:t>January 23, 2026</w:t>
              </w:r>
            </w:hyperlink>
            <w:r>
              <w:rPr>
                <w:rFonts w:ascii="Times New Roman;Times;Serif" w:hAnsi="Times New Roman;Times;Serif"/>
              </w:rPr>
              <w:t xml:space="preserve">, </w:t>
            </w:r>
            <w:hyperlink r:id="rId9">
              <w:r>
                <w:rPr>
                  <w:rStyle w:val="InternetLink"/>
                  <w:rFonts w:ascii="Times New Roman;Times;Serif" w:hAnsi="Times New Roman;Times;Serif"/>
                </w:rPr>
                <w:t>February 24, 2026</w:t>
              </w:r>
            </w:hyperlink>
            <w:r>
              <w:rPr>
                <w:rFonts w:ascii="Times New Roman;Times;Serif" w:hAnsi="Times New Roman;Times;Serif"/>
              </w:rPr>
              <w:t xml:space="preserve">, </w:t>
            </w:r>
            <w:hyperlink r:id="rId10">
              <w:r>
                <w:rPr>
                  <w:rStyle w:val="InternetLink"/>
                  <w:rFonts w:ascii="Times New Roman;Times;Serif" w:hAnsi="Times New Roman;Times;Serif"/>
                </w:rPr>
                <w:t>March 24, 2026</w:t>
              </w:r>
            </w:hyperlink>
            <w:r>
              <w:rPr>
                <w:rFonts w:ascii="Times New Roman;Times;Serif" w:hAnsi="Times New Roman;Times;Serif"/>
              </w:rPr>
              <w:t xml:space="preserve">, </w:t>
            </w:r>
            <w:hyperlink r:id="rId11">
              <w:r>
                <w:rPr>
                  <w:rStyle w:val="InternetLink"/>
                  <w:rFonts w:ascii="Times New Roman;Times;Serif" w:hAnsi="Times New Roman;Times;Serif"/>
                </w:rPr>
                <w:t>April 17, 2026</w:t>
              </w:r>
            </w:hyperlink>
            <w:r>
              <w:rPr>
                <w:rFonts w:ascii="Times New Roman;Times;Serif" w:hAnsi="Times New Roman;Times;Serif"/>
              </w:rPr>
              <w:t xml:space="preserve">, </w:t>
            </w:r>
            <w:hyperlink r:id="rId12">
              <w:r>
                <w:rPr>
                  <w:rStyle w:val="InternetLink"/>
                  <w:rFonts w:ascii="Times New Roman;Times;Serif" w:hAnsi="Times New Roman;Times;Serif"/>
                </w:rPr>
                <w:t>April 30, 2026</w:t>
              </w:r>
            </w:hyperlink>
            <w:r>
              <w:rPr>
                <w:rFonts w:ascii="Times New Roman;Times;Serif" w:hAnsi="Times New Roman;Times;Serif"/>
              </w:rPr>
              <w:t xml:space="preserve"> and </w:t>
            </w:r>
            <w:hyperlink r:id="rId13">
              <w:r>
                <w:rPr>
                  <w:rStyle w:val="InternetLink"/>
                  <w:rFonts w:ascii="Times New Roman;Times;Serif" w:hAnsi="Times New Roman;Times;Serif"/>
                </w:rPr>
                <w:t>May 26, 2026</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rFonts w:ascii="Times New Roman;Times;Serif" w:hAnsi="Times New Roman;Times;Serif"/>
              </w:rPr>
              <w:t>The description of our Common Stock set forth in: (i) our registration statement on Form 10-SB filed with the SEC on September 18, 2000, pursuant to Section 12(g) of the Exchange Act, including any amendments thereto or reports filed for the purposes of updating this description, and (ii) </w:t>
            </w:r>
            <w:hyperlink r:id="rId14">
              <w:r>
                <w:rPr>
                  <w:rStyle w:val="InternetLink"/>
                  <w:rFonts w:ascii="Times New Roman;Times;Serif" w:hAnsi="Times New Roman;Times;Serif"/>
                </w:rPr>
                <w:t>Exhibit 4.4</w:t>
              </w:r>
            </w:hyperlink>
            <w:r>
              <w:rPr>
                <w:rFonts w:ascii="Times New Roman;Times;Serif" w:hAnsi="Times New Roman;Times;Serif"/>
              </w:rPr>
              <w:t> to our Annual Report on Form 10-K for the fiscal year ended December 31, 2020 filed with the SEC on April 23, 2021;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documents we file with the SEC under Sections 13(a), 13(c), 14 and 15(d) of the Exchange Act after the date of this prospectus supplement and prior to the termination of this offering made by way of this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statement in this prospectus supplement is inconsistent with any statement that is incorporated by reference and that was made on or before the date of this prospectus supplement, the statement in this prospectus supplement shall supersede such incorporated statement. The incorporated statement shall not be deemed, except as modified or superseded, to constitute a part of this prospectus supplement or the registration statement. Statements contained in this prospectus supplement as to the contents of any contract or other document are not necessarily complete and, in each instance, we refer you to the copy of each contract or document filed as an exhibit to our various filings made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Brands,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Seventh Avenue,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 727-2474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under the Securities Act (SEC File No. 333-276698) that registers the securities offered hereby. The registration statement, including the exhibits and schedules attached thereto and the information incorporated by reference therein, contains additional relevant information about the securities and our Company, which we are allowed to omit from this prospectus supplement pursuant to the rules and regulations of the SEC. In addition, we file annual, quarterly and current reports and proxy statements and other information with the SEC. Our SEC filings are available on the SEC’s website at www.sec.gov. Copies of certain information filed by us with the SEC are also available free of charge on our website at </w:t>
      </w:r>
      <w:r>
        <w:rPr>
          <w:rFonts w:ascii="Times New Roman;Times;Serif" w:hAnsi="Times New Roman;Times;Serif"/>
          <w:b w:val="false"/>
          <w:i/>
          <w:caps w:val="false"/>
          <w:smallCaps w:val="false"/>
          <w:sz w:val="20"/>
        </w:rPr>
        <w:t>www.xcelbrands.com</w:t>
      </w:r>
      <w:r>
        <w:rPr>
          <w:rFonts w:ascii="Times New Roman;Times;Serif" w:hAnsi="Times New Roman;Times;Serif"/>
          <w:b w:val="false"/>
          <w:i w:val="false"/>
          <w:caps w:val="false"/>
          <w:smallCaps w:val="false"/>
          <w:sz w:val="20"/>
        </w:rPr>
        <w:t>. We have not incorporated by reference into this prospectus supplement the information on our website and it is not a part of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up to $100,000,000 of any combination of our common stock, preferred stock, debt securities, warrants or units described in this prospectus, either individually or in combination with other securities, at prices and on terms described in one or more supplements to this prospectus.  We may also offer common stock or preferred stock upon conversion of debt securities, common stock upon conversion of preferred stock, or common stock, preferred stock or debt securities upon the exercise of warrants or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we may offer.  Each time we offer and sell securities, we will provide a supplement to this prospectus that contains specific information about the offering and the amounts, prices and terms of the securities.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sold by us to or through underwriters or dealers, directly to purchasers or through agents designated from time to time.  For additional information on the methods of sale, you should refer to the section entitled “Plan of Distribution” in this prospectus and in the applicable prospectus supplement.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The price to the public of such securities and the net proceeds we expect to receive from such sale will also be set forth in a prospectus supplement.  No securities may be sold without delivery of this prospectus and the applicable prospectus supplement describing the method and terms of the offering of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“XELB.” On January 23, 2024, the last reported sale price of our common stock on the Nasdaq Capital Market was $1.55 per share.  The applicable prospectus supplement will contain information, where applicable, as to any other listing, if any, on any securities market or other exchange of the specific security covered by such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23, 2024, the aggregate market value of our outstanding common stock held by non-affiliates was $17,115,550, based on 19,878,054 shares of our outstanding common stock, of which 11,042,290 shares were held by non-affiliates, and a per share price of $1.55, the closing sale price of our common stock on January 23, 2024.  Pursuant to General Instruction I.B.6 to a registration statement on Form S-3, in no event will we sell our securities in a public primary offering with an aggregate market value exceeding one-third of our public float in a twelve-calendar month period so long as our public float remains below $75,000,000.  We have not offered or sold any securities during the past twelve months pursuant to General Instruction I.B.6 to Form S-3.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6 of this prospectus and contained in the applicable prospectus supplement and in any free writing prospectuses we have authorized for use in connection with a specific offering, and under similar headings in the other documents that are incorporated by reference into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February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190"/>
        <w:gridCol w:w="245"/>
      </w:tblGrid>
      <w:tr>
        <w:trPr/>
        <w:tc>
          <w:tcPr>
            <w:tcW w:w="7190" w:type="dxa"/>
            <w:tcBorders/>
            <w:shd w:fill="CCEEFF" w:val="clear"/>
            <w:vAlign w:val="center"/>
          </w:tcPr>
          <w:p>
            <w:pPr>
              <w:pStyle w:val="TableContents"/>
              <w:bidi w:val="0"/>
              <w:spacing w:before="0" w:after="283"/>
              <w:jc w:val="left"/>
              <w:rPr/>
            </w:pPr>
            <w:hyperlink w:anchor="ss_01">
              <w:r>
                <w:rPr>
                  <w:rStyle w:val="InternetLink"/>
                  <w:rFonts w:ascii="Times New Roman;Times;Serif" w:hAnsi="Times New Roman;Times;Serif"/>
                  <w:sz w:val="20"/>
                </w:rPr>
                <w:t>ABOUT THIS PROSPECTUS</w:t>
              </w:r>
            </w:hyperlink>
          </w:p>
        </w:tc>
        <w:tc>
          <w:tcPr>
            <w:tcW w:w="245" w:type="dxa"/>
            <w:tcBorders/>
            <w:shd w:fill="CCEEFF" w:val="clear"/>
            <w:vAlign w:val="center"/>
          </w:tcPr>
          <w:p>
            <w:pPr>
              <w:pStyle w:val="TableContents"/>
              <w:bidi w:val="0"/>
              <w:spacing w:before="0" w:after="283"/>
              <w:jc w:val="right"/>
              <w:rPr/>
            </w:pPr>
            <w:hyperlink w:anchor="ss_01">
              <w:r>
                <w:rPr>
                  <w:rStyle w:val="InternetLink"/>
                  <w:rFonts w:ascii="Times New Roman;Times;Serif" w:hAnsi="Times New Roman;Times;Serif"/>
                  <w:sz w:val="20"/>
                </w:rPr>
                <w:t>i</w:t>
              </w:r>
            </w:hyperlink>
          </w:p>
        </w:tc>
      </w:tr>
      <w:tr>
        <w:trPr/>
        <w:tc>
          <w:tcPr>
            <w:tcW w:w="7190" w:type="dxa"/>
            <w:tcBorders/>
            <w:shd w:fill="FFFFFF" w:val="clear"/>
            <w:vAlign w:val="center"/>
          </w:tcPr>
          <w:p>
            <w:pPr>
              <w:pStyle w:val="TableContents"/>
              <w:bidi w:val="0"/>
              <w:spacing w:before="0" w:after="283"/>
              <w:jc w:val="left"/>
              <w:rPr/>
            </w:pPr>
            <w:hyperlink w:anchor="ss_02">
              <w:r>
                <w:rPr>
                  <w:rStyle w:val="InternetLink"/>
                  <w:rFonts w:ascii="Times New Roman;Times;Serif" w:hAnsi="Times New Roman;Times;Serif"/>
                  <w:sz w:val="20"/>
                </w:rPr>
                <w:t>PROSPECTUS SUMMARY</w:t>
              </w:r>
            </w:hyperlink>
          </w:p>
        </w:tc>
        <w:tc>
          <w:tcPr>
            <w:tcW w:w="245" w:type="dxa"/>
            <w:tcBorders/>
            <w:shd w:fill="FFFFFF" w:val="clear"/>
            <w:vAlign w:val="center"/>
          </w:tcPr>
          <w:p>
            <w:pPr>
              <w:pStyle w:val="TableContents"/>
              <w:bidi w:val="0"/>
              <w:spacing w:before="0" w:after="283"/>
              <w:jc w:val="right"/>
              <w:rPr/>
            </w:pPr>
            <w:hyperlink w:anchor="ss_02">
              <w:r>
                <w:rPr>
                  <w:rStyle w:val="InternetLink"/>
                  <w:rFonts w:ascii="Times New Roman;Times;Serif" w:hAnsi="Times New Roman;Times;Serif"/>
                  <w:sz w:val="20"/>
                </w:rPr>
                <w:t>1</w:t>
              </w:r>
            </w:hyperlink>
          </w:p>
        </w:tc>
      </w:tr>
      <w:tr>
        <w:trPr/>
        <w:tc>
          <w:tcPr>
            <w:tcW w:w="7190" w:type="dxa"/>
            <w:tcBorders/>
            <w:shd w:fill="CCEEFF" w:val="clear"/>
            <w:vAlign w:val="center"/>
          </w:tcPr>
          <w:p>
            <w:pPr>
              <w:pStyle w:val="TableContents"/>
              <w:bidi w:val="0"/>
              <w:spacing w:before="0" w:after="283"/>
              <w:jc w:val="left"/>
              <w:rPr/>
            </w:pPr>
            <w:hyperlink w:anchor="ss_03">
              <w:r>
                <w:rPr>
                  <w:rStyle w:val="InternetLink"/>
                  <w:rFonts w:ascii="Times New Roman;Times;Serif" w:hAnsi="Times New Roman;Times;Serif"/>
                  <w:sz w:val="20"/>
                </w:rPr>
                <w:t>RISK FACTORS</w:t>
              </w:r>
            </w:hyperlink>
          </w:p>
        </w:tc>
        <w:tc>
          <w:tcPr>
            <w:tcW w:w="245" w:type="dxa"/>
            <w:tcBorders/>
            <w:shd w:fill="CCEEFF" w:val="clear"/>
            <w:vAlign w:val="center"/>
          </w:tcPr>
          <w:p>
            <w:pPr>
              <w:pStyle w:val="TableContents"/>
              <w:bidi w:val="0"/>
              <w:spacing w:before="0" w:after="283"/>
              <w:jc w:val="right"/>
              <w:rPr/>
            </w:pPr>
            <w:hyperlink w:anchor="ss_03">
              <w:r>
                <w:rPr>
                  <w:rStyle w:val="InternetLink"/>
                  <w:rFonts w:ascii="Times New Roman;Times;Serif" w:hAnsi="Times New Roman;Times;Serif"/>
                  <w:sz w:val="20"/>
                </w:rPr>
                <w:t>6</w:t>
              </w:r>
            </w:hyperlink>
          </w:p>
        </w:tc>
      </w:tr>
      <w:tr>
        <w:trPr/>
        <w:tc>
          <w:tcPr>
            <w:tcW w:w="7190" w:type="dxa"/>
            <w:tcBorders/>
            <w:shd w:fill="FFFFFF" w:val="clear"/>
            <w:vAlign w:val="center"/>
          </w:tcPr>
          <w:p>
            <w:pPr>
              <w:pStyle w:val="TableContents"/>
              <w:bidi w:val="0"/>
              <w:spacing w:before="0" w:after="283"/>
              <w:jc w:val="left"/>
              <w:rPr/>
            </w:pPr>
            <w:hyperlink w:anchor="ss_04">
              <w:r>
                <w:rPr>
                  <w:rStyle w:val="InternetLink"/>
                  <w:rFonts w:ascii="Times New Roman;Times;Serif" w:hAnsi="Times New Roman;Times;Serif"/>
                  <w:sz w:val="20"/>
                </w:rPr>
                <w:t>FORWARD-LOOKING STATEMENTS</w:t>
              </w:r>
            </w:hyperlink>
          </w:p>
        </w:tc>
        <w:tc>
          <w:tcPr>
            <w:tcW w:w="245" w:type="dxa"/>
            <w:tcBorders/>
            <w:shd w:fill="FFFFFF" w:val="clear"/>
            <w:vAlign w:val="center"/>
          </w:tcPr>
          <w:p>
            <w:pPr>
              <w:pStyle w:val="TableContents"/>
              <w:bidi w:val="0"/>
              <w:spacing w:before="0" w:after="283"/>
              <w:jc w:val="right"/>
              <w:rPr/>
            </w:pPr>
            <w:hyperlink w:anchor="ss_04">
              <w:r>
                <w:rPr>
                  <w:rStyle w:val="InternetLink"/>
                  <w:rFonts w:ascii="Times New Roman;Times;Serif" w:hAnsi="Times New Roman;Times;Serif"/>
                  <w:sz w:val="20"/>
                </w:rPr>
                <w:t>6</w:t>
              </w:r>
            </w:hyperlink>
          </w:p>
        </w:tc>
      </w:tr>
      <w:tr>
        <w:trPr/>
        <w:tc>
          <w:tcPr>
            <w:tcW w:w="7190" w:type="dxa"/>
            <w:tcBorders/>
            <w:shd w:fill="CCEEFF" w:val="clear"/>
            <w:vAlign w:val="center"/>
          </w:tcPr>
          <w:p>
            <w:pPr>
              <w:pStyle w:val="TableContents"/>
              <w:bidi w:val="0"/>
              <w:spacing w:before="0" w:after="283"/>
              <w:jc w:val="left"/>
              <w:rPr/>
            </w:pPr>
            <w:hyperlink w:anchor="ss_05">
              <w:r>
                <w:rPr>
                  <w:rStyle w:val="InternetLink"/>
                  <w:rFonts w:ascii="Times New Roman;Times;Serif" w:hAnsi="Times New Roman;Times;Serif"/>
                  <w:sz w:val="20"/>
                </w:rPr>
                <w:t>USE OF PROCEEDS</w:t>
              </w:r>
            </w:hyperlink>
          </w:p>
        </w:tc>
        <w:tc>
          <w:tcPr>
            <w:tcW w:w="245" w:type="dxa"/>
            <w:tcBorders/>
            <w:shd w:fill="CCEEFF" w:val="clear"/>
            <w:vAlign w:val="center"/>
          </w:tcPr>
          <w:p>
            <w:pPr>
              <w:pStyle w:val="TableContents"/>
              <w:bidi w:val="0"/>
              <w:spacing w:before="0" w:after="283"/>
              <w:jc w:val="right"/>
              <w:rPr/>
            </w:pPr>
            <w:hyperlink w:anchor="ss_05">
              <w:r>
                <w:rPr>
                  <w:rStyle w:val="InternetLink"/>
                  <w:rFonts w:ascii="Times New Roman;Times;Serif" w:hAnsi="Times New Roman;Times;Serif"/>
                  <w:sz w:val="20"/>
                </w:rPr>
                <w:t>7</w:t>
              </w:r>
            </w:hyperlink>
          </w:p>
        </w:tc>
      </w:tr>
      <w:tr>
        <w:trPr/>
        <w:tc>
          <w:tcPr>
            <w:tcW w:w="7190" w:type="dxa"/>
            <w:tcBorders/>
            <w:shd w:fill="FFFFFF" w:val="clear"/>
            <w:vAlign w:val="center"/>
          </w:tcPr>
          <w:p>
            <w:pPr>
              <w:pStyle w:val="TableContents"/>
              <w:bidi w:val="0"/>
              <w:spacing w:before="0" w:after="283"/>
              <w:jc w:val="left"/>
              <w:rPr/>
            </w:pPr>
            <w:hyperlink w:anchor="ss_06">
              <w:r>
                <w:rPr>
                  <w:rStyle w:val="InternetLink"/>
                  <w:rFonts w:ascii="Times New Roman;Times;Serif" w:hAnsi="Times New Roman;Times;Serif"/>
                  <w:sz w:val="20"/>
                </w:rPr>
                <w:t>DESCRIPTION OF CAPITAL STOCK</w:t>
              </w:r>
            </w:hyperlink>
          </w:p>
        </w:tc>
        <w:tc>
          <w:tcPr>
            <w:tcW w:w="245" w:type="dxa"/>
            <w:tcBorders/>
            <w:shd w:fill="FFFFFF" w:val="clear"/>
            <w:vAlign w:val="center"/>
          </w:tcPr>
          <w:p>
            <w:pPr>
              <w:pStyle w:val="TableContents"/>
              <w:bidi w:val="0"/>
              <w:spacing w:before="0" w:after="283"/>
              <w:jc w:val="right"/>
              <w:rPr/>
            </w:pPr>
            <w:hyperlink w:anchor="ss_06">
              <w:r>
                <w:rPr>
                  <w:rStyle w:val="InternetLink"/>
                  <w:rFonts w:ascii="Times New Roman;Times;Serif" w:hAnsi="Times New Roman;Times;Serif"/>
                  <w:sz w:val="20"/>
                </w:rPr>
                <w:t>7</w:t>
              </w:r>
            </w:hyperlink>
          </w:p>
        </w:tc>
      </w:tr>
      <w:tr>
        <w:trPr/>
        <w:tc>
          <w:tcPr>
            <w:tcW w:w="7190" w:type="dxa"/>
            <w:tcBorders/>
            <w:shd w:fill="CCEEFF" w:val="clear"/>
            <w:vAlign w:val="center"/>
          </w:tcPr>
          <w:p>
            <w:pPr>
              <w:pStyle w:val="TableContents"/>
              <w:bidi w:val="0"/>
              <w:spacing w:before="0" w:after="283"/>
              <w:jc w:val="left"/>
              <w:rPr/>
            </w:pPr>
            <w:hyperlink w:anchor="ss_07">
              <w:r>
                <w:rPr>
                  <w:rStyle w:val="InternetLink"/>
                  <w:rFonts w:ascii="Times New Roman;Times;Serif" w:hAnsi="Times New Roman;Times;Serif"/>
                  <w:sz w:val="20"/>
                </w:rPr>
                <w:t>DESCRIPTION OF DEBT SECURITIES</w:t>
              </w:r>
            </w:hyperlink>
          </w:p>
        </w:tc>
        <w:tc>
          <w:tcPr>
            <w:tcW w:w="245" w:type="dxa"/>
            <w:tcBorders/>
            <w:shd w:fill="CCEEFF" w:val="clear"/>
            <w:vAlign w:val="center"/>
          </w:tcPr>
          <w:p>
            <w:pPr>
              <w:pStyle w:val="TableContents"/>
              <w:bidi w:val="0"/>
              <w:spacing w:before="0" w:after="283"/>
              <w:jc w:val="right"/>
              <w:rPr/>
            </w:pPr>
            <w:hyperlink w:anchor="ss_07">
              <w:r>
                <w:rPr>
                  <w:rStyle w:val="InternetLink"/>
                  <w:rFonts w:ascii="Times New Roman;Times;Serif" w:hAnsi="Times New Roman;Times;Serif"/>
                  <w:sz w:val="20"/>
                </w:rPr>
                <w:t>13</w:t>
              </w:r>
            </w:hyperlink>
          </w:p>
        </w:tc>
      </w:tr>
      <w:tr>
        <w:trPr/>
        <w:tc>
          <w:tcPr>
            <w:tcW w:w="7190" w:type="dxa"/>
            <w:tcBorders/>
            <w:shd w:fill="FFFFFF" w:val="clear"/>
            <w:vAlign w:val="center"/>
          </w:tcPr>
          <w:p>
            <w:pPr>
              <w:pStyle w:val="TableContents"/>
              <w:bidi w:val="0"/>
              <w:spacing w:before="0" w:after="283"/>
              <w:jc w:val="left"/>
              <w:rPr/>
            </w:pPr>
            <w:hyperlink w:anchor="ss_08">
              <w:r>
                <w:rPr>
                  <w:rStyle w:val="InternetLink"/>
                  <w:rFonts w:ascii="Times New Roman;Times;Serif" w:hAnsi="Times New Roman;Times;Serif"/>
                  <w:sz w:val="20"/>
                </w:rPr>
                <w:t>DESCRIPTION OF WARRANTS</w:t>
              </w:r>
            </w:hyperlink>
          </w:p>
        </w:tc>
        <w:tc>
          <w:tcPr>
            <w:tcW w:w="245" w:type="dxa"/>
            <w:tcBorders/>
            <w:shd w:fill="FFFFFF" w:val="clear"/>
            <w:vAlign w:val="center"/>
          </w:tcPr>
          <w:p>
            <w:pPr>
              <w:pStyle w:val="TableContents"/>
              <w:bidi w:val="0"/>
              <w:spacing w:before="0" w:after="283"/>
              <w:jc w:val="right"/>
              <w:rPr/>
            </w:pPr>
            <w:hyperlink w:anchor="ss_08">
              <w:r>
                <w:rPr>
                  <w:rStyle w:val="InternetLink"/>
                  <w:rFonts w:ascii="Times New Roman;Times;Serif" w:hAnsi="Times New Roman;Times;Serif"/>
                  <w:sz w:val="20"/>
                </w:rPr>
                <w:t>21</w:t>
              </w:r>
            </w:hyperlink>
          </w:p>
        </w:tc>
      </w:tr>
      <w:tr>
        <w:trPr/>
        <w:tc>
          <w:tcPr>
            <w:tcW w:w="7190" w:type="dxa"/>
            <w:tcBorders/>
            <w:shd w:fill="CCEEFF" w:val="clear"/>
            <w:vAlign w:val="center"/>
          </w:tcPr>
          <w:p>
            <w:pPr>
              <w:pStyle w:val="TableContents"/>
              <w:bidi w:val="0"/>
              <w:spacing w:before="0" w:after="283"/>
              <w:jc w:val="left"/>
              <w:rPr/>
            </w:pPr>
            <w:hyperlink w:anchor="ss_09">
              <w:r>
                <w:rPr>
                  <w:rStyle w:val="InternetLink"/>
                  <w:rFonts w:ascii="Times New Roman;Times;Serif" w:hAnsi="Times New Roman;Times;Serif"/>
                  <w:sz w:val="20"/>
                </w:rPr>
                <w:t>DESCRIPTION OF UNITS</w:t>
              </w:r>
            </w:hyperlink>
          </w:p>
        </w:tc>
        <w:tc>
          <w:tcPr>
            <w:tcW w:w="245" w:type="dxa"/>
            <w:tcBorders/>
            <w:shd w:fill="CCEEFF" w:val="clear"/>
            <w:vAlign w:val="center"/>
          </w:tcPr>
          <w:p>
            <w:pPr>
              <w:pStyle w:val="TableContents"/>
              <w:bidi w:val="0"/>
              <w:spacing w:before="0" w:after="283"/>
              <w:jc w:val="right"/>
              <w:rPr/>
            </w:pPr>
            <w:hyperlink w:anchor="ss_09">
              <w:r>
                <w:rPr>
                  <w:rStyle w:val="InternetLink"/>
                  <w:rFonts w:ascii="Times New Roman;Times;Serif" w:hAnsi="Times New Roman;Times;Serif"/>
                  <w:sz w:val="20"/>
                </w:rPr>
                <w:t>24</w:t>
              </w:r>
            </w:hyperlink>
          </w:p>
        </w:tc>
      </w:tr>
      <w:tr>
        <w:trPr/>
        <w:tc>
          <w:tcPr>
            <w:tcW w:w="7190" w:type="dxa"/>
            <w:tcBorders/>
            <w:shd w:fill="FFFFFF" w:val="clear"/>
            <w:vAlign w:val="center"/>
          </w:tcPr>
          <w:p>
            <w:pPr>
              <w:pStyle w:val="TableContents"/>
              <w:bidi w:val="0"/>
              <w:spacing w:before="0" w:after="283"/>
              <w:jc w:val="left"/>
              <w:rPr/>
            </w:pPr>
            <w:hyperlink w:anchor="ss_10">
              <w:r>
                <w:rPr>
                  <w:rStyle w:val="InternetLink"/>
                  <w:rFonts w:ascii="Times New Roman;Times;Serif" w:hAnsi="Times New Roman;Times;Serif"/>
                  <w:sz w:val="20"/>
                </w:rPr>
                <w:t>PLAN OF DISTRIBUTION</w:t>
              </w:r>
            </w:hyperlink>
          </w:p>
        </w:tc>
        <w:tc>
          <w:tcPr>
            <w:tcW w:w="245" w:type="dxa"/>
            <w:tcBorders/>
            <w:shd w:fill="FFFFFF" w:val="clear"/>
            <w:vAlign w:val="center"/>
          </w:tcPr>
          <w:p>
            <w:pPr>
              <w:pStyle w:val="TableContents"/>
              <w:bidi w:val="0"/>
              <w:spacing w:before="0" w:after="283"/>
              <w:jc w:val="right"/>
              <w:rPr/>
            </w:pPr>
            <w:hyperlink w:anchor="ss_10">
              <w:r>
                <w:rPr>
                  <w:rStyle w:val="InternetLink"/>
                  <w:rFonts w:ascii="Times New Roman;Times;Serif" w:hAnsi="Times New Roman;Times;Serif"/>
                  <w:sz w:val="20"/>
                </w:rPr>
                <w:t>25</w:t>
              </w:r>
            </w:hyperlink>
          </w:p>
        </w:tc>
      </w:tr>
      <w:tr>
        <w:trPr/>
        <w:tc>
          <w:tcPr>
            <w:tcW w:w="7190" w:type="dxa"/>
            <w:tcBorders/>
            <w:shd w:fill="CCEEFF" w:val="clear"/>
            <w:vAlign w:val="center"/>
          </w:tcPr>
          <w:p>
            <w:pPr>
              <w:pStyle w:val="TableContents"/>
              <w:bidi w:val="0"/>
              <w:spacing w:before="0" w:after="283"/>
              <w:jc w:val="left"/>
              <w:rPr/>
            </w:pPr>
            <w:hyperlink w:anchor="ss_11">
              <w:r>
                <w:rPr>
                  <w:rStyle w:val="InternetLink"/>
                  <w:rFonts w:ascii="Times New Roman;Times;Serif" w:hAnsi="Times New Roman;Times;Serif"/>
                  <w:sz w:val="20"/>
                </w:rPr>
                <w:t>LEGAL MATTERS</w:t>
              </w:r>
            </w:hyperlink>
          </w:p>
        </w:tc>
        <w:tc>
          <w:tcPr>
            <w:tcW w:w="245" w:type="dxa"/>
            <w:tcBorders/>
            <w:shd w:fill="CCEEFF" w:val="clear"/>
            <w:vAlign w:val="center"/>
          </w:tcPr>
          <w:p>
            <w:pPr>
              <w:pStyle w:val="TableContents"/>
              <w:bidi w:val="0"/>
              <w:spacing w:before="0" w:after="283"/>
              <w:jc w:val="right"/>
              <w:rPr/>
            </w:pPr>
            <w:hyperlink w:anchor="ss_11">
              <w:r>
                <w:rPr>
                  <w:rStyle w:val="InternetLink"/>
                  <w:rFonts w:ascii="Times New Roman;Times;Serif" w:hAnsi="Times New Roman;Times;Serif"/>
                  <w:sz w:val="20"/>
                </w:rPr>
                <w:t>27</w:t>
              </w:r>
            </w:hyperlink>
          </w:p>
        </w:tc>
      </w:tr>
      <w:tr>
        <w:trPr/>
        <w:tc>
          <w:tcPr>
            <w:tcW w:w="7190" w:type="dxa"/>
            <w:tcBorders/>
            <w:shd w:fill="FFFFFF" w:val="clear"/>
            <w:vAlign w:val="center"/>
          </w:tcPr>
          <w:p>
            <w:pPr>
              <w:pStyle w:val="TableContents"/>
              <w:bidi w:val="0"/>
              <w:spacing w:before="0" w:after="283"/>
              <w:jc w:val="left"/>
              <w:rPr/>
            </w:pPr>
            <w:hyperlink w:anchor="ss_12">
              <w:r>
                <w:rPr>
                  <w:rStyle w:val="InternetLink"/>
                  <w:rFonts w:ascii="Times New Roman;Times;Serif" w:hAnsi="Times New Roman;Times;Serif"/>
                  <w:sz w:val="20"/>
                </w:rPr>
                <w:t>EXPERTS</w:t>
              </w:r>
            </w:hyperlink>
          </w:p>
        </w:tc>
        <w:tc>
          <w:tcPr>
            <w:tcW w:w="245" w:type="dxa"/>
            <w:tcBorders/>
            <w:shd w:fill="FFFFFF" w:val="clear"/>
            <w:vAlign w:val="center"/>
          </w:tcPr>
          <w:p>
            <w:pPr>
              <w:pStyle w:val="TableContents"/>
              <w:bidi w:val="0"/>
              <w:spacing w:before="0" w:after="283"/>
              <w:jc w:val="right"/>
              <w:rPr/>
            </w:pPr>
            <w:hyperlink w:anchor="ss_12">
              <w:r>
                <w:rPr>
                  <w:rStyle w:val="InternetLink"/>
                  <w:rFonts w:ascii="Times New Roman;Times;Serif" w:hAnsi="Times New Roman;Times;Serif"/>
                  <w:sz w:val="20"/>
                </w:rPr>
                <w:t>28</w:t>
              </w:r>
            </w:hyperlink>
          </w:p>
        </w:tc>
      </w:tr>
      <w:tr>
        <w:trPr/>
        <w:tc>
          <w:tcPr>
            <w:tcW w:w="7190" w:type="dxa"/>
            <w:tcBorders/>
            <w:shd w:fill="CCEEFF" w:val="clear"/>
            <w:vAlign w:val="center"/>
          </w:tcPr>
          <w:p>
            <w:pPr>
              <w:pStyle w:val="TableContents"/>
              <w:bidi w:val="0"/>
              <w:spacing w:before="0" w:after="283"/>
              <w:jc w:val="left"/>
              <w:rPr/>
            </w:pPr>
            <w:hyperlink w:anchor="ss_13">
              <w:r>
                <w:rPr>
                  <w:rStyle w:val="InternetLink"/>
                  <w:rFonts w:ascii="Times New Roman;Times;Serif" w:hAnsi="Times New Roman;Times;Serif"/>
                  <w:sz w:val="20"/>
                </w:rPr>
                <w:t>WHERE YOU CAN FIND MORE INFORMATION</w:t>
              </w:r>
            </w:hyperlink>
          </w:p>
        </w:tc>
        <w:tc>
          <w:tcPr>
            <w:tcW w:w="245" w:type="dxa"/>
            <w:tcBorders/>
            <w:shd w:fill="CCEEFF" w:val="clear"/>
            <w:vAlign w:val="center"/>
          </w:tcPr>
          <w:p>
            <w:pPr>
              <w:pStyle w:val="TableContents"/>
              <w:bidi w:val="0"/>
              <w:spacing w:before="0" w:after="283"/>
              <w:jc w:val="right"/>
              <w:rPr/>
            </w:pPr>
            <w:hyperlink w:anchor="ss_13">
              <w:r>
                <w:rPr>
                  <w:rStyle w:val="InternetLink"/>
                  <w:rFonts w:ascii="Times New Roman;Times;Serif" w:hAnsi="Times New Roman;Times;Serif"/>
                  <w:sz w:val="20"/>
                </w:rPr>
                <w:t>28</w:t>
              </w:r>
            </w:hyperlink>
          </w:p>
        </w:tc>
      </w:tr>
      <w:tr>
        <w:trPr/>
        <w:tc>
          <w:tcPr>
            <w:tcW w:w="7190" w:type="dxa"/>
            <w:tcBorders/>
            <w:shd w:fill="FFFFFF" w:val="clear"/>
            <w:vAlign w:val="center"/>
          </w:tcPr>
          <w:p>
            <w:pPr>
              <w:pStyle w:val="TableContents"/>
              <w:bidi w:val="0"/>
              <w:spacing w:before="0" w:after="283"/>
              <w:jc w:val="left"/>
              <w:rPr/>
            </w:pPr>
            <w:hyperlink w:anchor="ss_14">
              <w:r>
                <w:rPr>
                  <w:rStyle w:val="InternetLink"/>
                </w:rPr>
                <w:t>INCORPORATION OF CERTAIN INFORMATION BY REFERENCE</w:t>
              </w:r>
            </w:hyperlink>
          </w:p>
        </w:tc>
        <w:tc>
          <w:tcPr>
            <w:tcW w:w="245" w:type="dxa"/>
            <w:tcBorders/>
            <w:shd w:fill="FFFFFF" w:val="clear"/>
            <w:vAlign w:val="center"/>
          </w:tcPr>
          <w:p>
            <w:pPr>
              <w:pStyle w:val="TableContents"/>
              <w:bidi w:val="0"/>
              <w:spacing w:before="0" w:after="283"/>
              <w:jc w:val="right"/>
              <w:rPr/>
            </w:pPr>
            <w:hyperlink w:anchor="ss_14">
              <w:r>
                <w:rPr>
                  <w:rStyle w:val="InternetLink"/>
                  <w:rFonts w:ascii="Times New Roman;Times;Serif" w:hAnsi="Times New Roman;Times;Serif"/>
                  <w:sz w:val="20"/>
                </w:rPr>
                <w:t>28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s_01"/>
      <w:bookmarkEnd w:id="14"/>
      <w:r>
        <w:rPr>
          <w:rFonts w:ascii="Times New Roman;Times;Serif" w:hAnsi="Times New Roman;Times;Serif"/>
          <w:b/>
          <w:i w:val="false"/>
          <w:caps w:val="false"/>
          <w:smallCaps w:val="false"/>
          <w:sz w:val="20"/>
        </w:rPr>
        <w:t>ABOUT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SEC, using a “shelf” registration process.  Under this shelf registration statement, we may sell from time to time in one or more offerings up to a total dollar amount of $100,000,000 of common stock and preferred stock, various series of debt securities and/or warrants or units to purchase any of such securities, either individually or in combination with other securities as described in this prospectus.  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we have incorporated by reference into this prospectus.  To the extent that any statement that we make in a prospectus supplement is inconsistent with statements made in this prospectus, the statements made in this prospectus will be deemed modified or superseded by those made in a prospectus supplement.  You should carefully read both this prospectus and the applicable prospectus supplement and any related free writing prospectus, together with the additional information described under “Where You Can Find More Information,” before buying any of the securities being offered.  </w:t>
      </w:r>
      <w:r>
        <w:rPr>
          <w:rFonts w:ascii="Times New Roman;Times;Serif" w:hAnsi="Times New Roman;Times;Serif"/>
          <w:b/>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those documents as described below under the section entitled “Where You Can Find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herein or as the context otherwise requires, references in this prospectus to “Xcel,” “the company,” “we,” “us,” “our” and similar references refer to Xcel Brands, Inc., an entity incorporated under the laws of the State of Delaware, and where appropriate our consolidated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include trademarks, service marks and trade names owned by us or other companies.  All trademarks, service marks and trade names included or incorporated by reference into this prospectus, any applicable prospectus supplement or any related free writing prospectus are the property of their respective owners.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ss_02"/>
      <w:bookmarkEnd w:id="15"/>
      <w:r>
        <w:rPr>
          <w:rFonts w:ascii="Times New Roman;Times;Serif" w:hAnsi="Times New Roman;Times;Serif"/>
          <w:b/>
          <w:i w:val="false"/>
          <w:caps w:val="false"/>
          <w:smallCaps w:val="false"/>
          <w:sz w:val="20"/>
        </w:rPr>
        <w:t>PROSPECTUS SUMMARY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following summary highlights information contained elsewhere in this prospectus or incorporated by reference herein and does not contain all the information that may be important to purchasers of our securities.  Prospective purchasers of our securities should carefully read the entire prospectus, the applicable prospectus supplement and any related free writing prospectus, including the risks of investing in our securities discussed under the heading “Risk Factors” contained in this prospectus, the applicable prospectus supplement and any related free writing prospectus, and under similar headings in the other documents that are incorporated by reference into this prospectus.  Prospective purchasers of our securities should also carefully read the information incorporated by reference into this prospectus, including our financial statements, and the exhibits to the registration statement of which this prospectus is a part</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10"/>
        <w:gridCol w:w="92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Lori Goldstein Brand, Halston Brand, Ripka Brand, and C Wonder Brand are wholly owned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10"/>
        <w:gridCol w:w="85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manage the Longaberger Brand through our 50% ownership interest in Longaberger Licensing, LLC.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wholly owned and managed the Isaac Mizrahi Brand through May 31, 2022.  On May 31, 2022, we sold a majority interest in the brand to a third party, but retained a 30% noncontrolling interest in the brand and continue to contribute to the operations of the brand through a service agreement.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Xcel continues to pioneer a true omni-channel sales strategy which includes the promotion and sale of products under its brands through interactive television, digital live-stream shopping, wholesale, and e-commerce channels to be everywhere its customers shop.  Our brands have generated over $3 billion in retail sales via live streaming in interactive television and digital channels alone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 is to build a diversified portfolio of lifestyle consumer brands through organic growth and the strategic acquisition of new brands.  To grow our brands, we are focused on the following primary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and/or licensing of our brands for sale through interactive television (i.e., QVC, HSN, The Shopping Channel, TVSN, CJO, JTV, etc.);</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10"/>
        <w:gridCol w:w="52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of our brands to retailers that sell to the end consumer;</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110"/>
        <w:gridCol w:w="69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direct-to-consumer distribution of our brands through e-commerce and live streaming;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licensing our brands to manufacturers and retailers for promotion and distribution through e-commerce, social commerce, and traditional brick-and-mortar retail channels whereby we provide certain design services;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acquiring additional consumer brands and integrating them into our operating platform and leveraging our operating infrastructure and distribution relationships.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Xcel offers a unique value proposition to our retail and direct-to-consumer customers and our licensees for the following reasons: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75"/>
        <w:gridCol w:w="110"/>
        <w:gridCol w:w="91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management team, including our officers’ and directors’ experience in, and relationships within the industry;</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10"/>
        <w:gridCol w:w="629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deep knowledge, expertise, and proprietary technology in live streaming;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design, production, sales, marketing, and supply chain and integrated technology platform that enables us to design and distribute trend-right product; and</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significant media and internet presence.</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state-of-the-art supply chain management technology, trend analytics, and data science to actively monitor fashion trends and read and react to customer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Corporate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office is located at 1333 Broadway, New York, NY 10018.  Our telephone number is (347) 727-2474.</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we maintain websites for our respective brands and an e-commerce site for our Judith Ripka brand at www.isaacmizrahi.com, www.halston.com, www.cwonder.com, www.longaberger.com, www.lorigoldstein.com, and www.judithripka.com.  Our corporate website is www.xcelbrands.com.  The information contained on, or that can be accessed through,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websites is not part of, and should not be construed as being incorporated by reference into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We May Offer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shares of our common stock, preferred stock, various series of debt securities and/or warrants to purchase any of such securities, either individually or as units in combination with other securities, with a total value of up to $100,000,000 from time to time under this prospectus at prices and on terms to be determined at the time of any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10"/>
        <w:gridCol w:w="239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designation or classification;</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10"/>
        <w:gridCol w:w="45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principal amount or aggregate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75"/>
        <w:gridCol w:w="110"/>
        <w:gridCol w:w="7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maturity;</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10"/>
        <w:gridCol w:w="19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10"/>
        <w:gridCol w:w="41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rates and times of payment of interest or dividends;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10"/>
        <w:gridCol w:w="54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redemption, conversion, exercise, exchange or sinking fund terms;</w:t>
            </w:r>
          </w:p>
        </w:tc>
      </w:tr>
    </w:tbl>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75"/>
        <w:gridCol w:w="110"/>
        <w:gridCol w:w="7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ranking;</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10"/>
        <w:gridCol w:w="17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restrictive covenants;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10"/>
        <w:gridCol w:w="18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or other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or exchange prices or rates and, if applicable, any provisions for changes to or adjustments in the conversion or exchange prices or rates and in the securities or other property receivable upon conversion or exchange; and</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10"/>
        <w:gridCol w:w="64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United States federal income tax considerations, if any.</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investors or to or through agents, underwriters or dealers.  We, and our agents, underwriters or dealers reserve the right to accept or reject all or part of any proposed purchase of securities.  If we do offer securities to or through agents, underwriters or dealers, we will include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10"/>
        <w:gridCol w:w="40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those agents,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10"/>
        <w:gridCol w:w="51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fees, discounts and commissions to be paid to them;</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10"/>
        <w:gridCol w:w="426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details regarding over-allotment options, if any; and</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10"/>
        <w:gridCol w:w="18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to us.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securities we may offer with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of our common stock from time to time.  Each holder of our common stock is entitled to one vote for each share on all matters submitted to a vote of the stockholders, including the election of directors, and subject to any contractual agreement entered into by any holder of shares.  Generally, all matters to be voted on by stockholders must be approved by a majority of the votes entitled to be cast by all shares of our common stock that are present in person or represented by proxy.  A vote by the holders of a majority of our outstanding shares is required to effectuate certain fundamental corporate changes such as liquidation, merger or an amendment to our certificate of incorporation.  Our certificate of incorporation does not provide for cumulative voting in the election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our common stock will be entitled to such cash dividends as may be declared from time to time by our board of directors from funds available therefore.  Upon liquidation, dissolution, or winding up, the holders of shares of our common stock will be entitled to receive pro rata all remaining assets then-available for distribution to such holders.  Holders of our common stock have no preemptive or other subscription rights and no conversion rights, and there are no redemption provisions applicable to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without further stockholder approval, may issue preferred stock in one or more classes or series as the board may determine from time to time.  Each such class or series shall be distinctly designated.  All shares of any one class or series of the preferred stock shall be alike in every particular, except that there may be different dates from which dividends thereon, if any, shall be cumulative, if made cumulative.  The voting powers, designations, preferences, limitations, restrictions and relative rights thereof, if any, may differ from those of any and all other series outstanding at any time.  Our board of directors has express authority to fix (by resolutions adopted prior to the issuance of any shares of each particular class or series of preferred stock) the number of shares, voting powers, designations, preferences, limitations, restrictions and relative rights of each such class or series.  The rights granted to the holders of any series of preferred stock could adversely affect the voting power of the holders of common stock and the issuance of preferred stock may delay, defer or prevent a change in our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reference from reports that we file with the Securities and Exchange Commission, or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preferred stock and/or debt securities in one or more series.  We may issue warrants independently or as units in combination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series of warrants being offered, as well as any warrant agreements and warrant certificates that contain the terms of the warrants.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warrants issued under this prospectus may be evidenced by warrant certificates.  Warrants also may be issued under an applicable warrant agreement that we enter into with a warrant agent.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indicate the name and address of the warrant agent, if applicable, in the prospectus supplement relating to the particular series of warrants being offered.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have summarized certain general features of the units under “Description of Units.” We urge you, however, to read the applicable prospectus supplement and any related free writing prospectus that we may authorize to be provided to you related to the units being offered, as well as the complete unit agreement that contains the terms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s_03"/>
      <w:bookmarkEnd w:id="16"/>
      <w:r>
        <w:rPr>
          <w:rFonts w:ascii="Times New Roman;Times;Serif" w:hAnsi="Times New Roman;Times;Serif"/>
          <w:b/>
          <w:i w:val="false"/>
          <w:caps w:val="false"/>
          <w:smallCaps w:val="false"/>
          <w:sz w:val="20"/>
        </w:rPr>
        <w:t>RISK FACTORS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as may be updated by subsequent annual, quarterly and other reports that are incorporated by reference into this prospectus in their entirety.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ss_04"/>
      <w:bookmarkEnd w:id="17"/>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that we incorporate by reference herein, contains, and any applicable prospectus supplement or free writing prospectus including the documents we incorporate by reference therein may contain, forward-looking statements within the meaning of Section 27A of the Securities Act of 1933, as amended, or the Securities Act, and Section 21E of the Securities Exchange Act of 1934, as amended, or the Exchange Act, including statements regarding our future financial condition, business strategy and plans and objectives of management for future operations.  Forward-looking statements include all statements that are not historical facts.  In some cases, you can identify forward-looking statements by terminology such as “believe,” “will,” “may,” “estimate,” “continue,” “anticipate,” “intend,” “should,” “plan,” “might,” “approximately,” “expect,” “predict,” “could,” “potentially” or the negative of these terms or other similar expressions.  These forward-looking statements include, but are not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statements regarding our anticipated revenue, expenses, profitability, strategic plans, and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containing these forward-looking statements may be found, among other places, in the sections entitled “Business,” “Risk Factors” and “Management’s Discussion and Analysis of Financial Condition and Results of Operations” contained in the documents incorporated by reference herein, including our most recent Annual Report on Form 10-K and our Quarterly Reports on Form 10-Q, as well as any amendments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relate to future events or our future financial performance and involve known and unknown risks, uncertainties and other factors that could cause our actual results, levels of activity, performance or achievement to differ materially from those expressed or implied by these forward-looking statements.  We discuss in greater detail, and incorporate by reference into this prospectus in their entirety, many of these risks and uncertainties under the heading “Risk Factors” contained in the applicable prospectus supplement, in any free writing prospectus we may authorize for use in connection with a specific offering, and in the documents incorporated by reference herein.  These statements reflect our current views with respect to future events and are based on assumptions and subject to risks and uncertainties.  We undertake no obligation to revise or publicly release the results of any revision to these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ss_05"/>
      <w:bookmarkEnd w:id="18"/>
      <w:r>
        <w:rPr>
          <w:rFonts w:ascii="Times New Roman;Times;Serif" w:hAnsi="Times New Roman;Times;Serif"/>
          <w:b/>
          <w:i w:val="false"/>
          <w:caps w:val="false"/>
          <w:smallCaps w:val="false"/>
          <w:sz w:val="20"/>
        </w:rPr>
        <w:t>USE OF PROCEEDS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Except as described in any prospectus supplement or in any related free writing prospectus that we may authorize to be provided to you, we currently intend to use the net proceeds from the sale of the securities offered by us hereunder primarily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ss_06"/>
      <w:bookmarkEnd w:id="19"/>
      <w:r>
        <w:rPr>
          <w:rFonts w:ascii="Times New Roman;Times;Serif" w:hAnsi="Times New Roman;Times;Serif"/>
          <w:b/>
          <w:i w:val="false"/>
          <w:caps w:val="false"/>
          <w:smallCaps w:val="false"/>
          <w:sz w:val="20"/>
        </w:rPr>
        <w:t>DESCRIPTION OF CAPITAL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us to issue up to 50,000,000 shares of common stock, $0.001 par value per share, and 1,000,000 shares of preferred stock, $0.001 par value per share.  As of January 23, 2024, 19,878,0054 shares of common stock were outstanding and no shares of preferred stock were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material terms of our capital stock.  The description of capital stock is qualified by reference to our certificate of incorporation and our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common stock are entitled to one vote per share on all matters submitted to a vote of the stockholders, including the election of directors, and subject to any contractual agreement entered into by any holder of shares.  Generally, all matters to be voted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stockholders must be approved by a majority of the votes entitled to be cast by all shares of our common stock that are present in person or represented by proxy.  Holders of our common stock representing a majority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certificate of incorporation.  Our certificate of incorporation does not provide for cumulative voting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shares of our common stock will be entitled to such cash dividends as may be declared from time to time by our board of directors from funds available, therefore.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Upon liquidation, dissolution, or winding up, the holders of shares of our common stock will be entitled to receive pro rata all remaining assets available for distribution to such holders, after payment of liabilities and after provision has been made for each class of stock, if any, having preference over the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and Preferences</w:t>
      </w:r>
      <w:r>
        <w:rPr>
          <w:rFonts w:ascii="Times New Roman;Times;Serif" w:hAnsi="Times New Roman;Times;Serif"/>
          <w:b w:val="false"/>
          <w:i w:val="false"/>
          <w:caps w:val="false"/>
          <w:smallCaps w:val="false"/>
          <w:sz w:val="20"/>
        </w:rPr>
        <w:t>.  The rights, preferences, and privileges of holders of our common stock are subject to, and may be adversely affected by, the rights of holders of shares of any series of preferred stock that we may designate and issue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Preemptive or Similar Rights</w:t>
      </w:r>
      <w:r>
        <w:rPr>
          <w:rFonts w:ascii="Times New Roman;Times;Serif" w:hAnsi="Times New Roman;Times;Serif"/>
          <w:b w:val="false"/>
          <w:i w:val="false"/>
          <w:caps w:val="false"/>
          <w:smallCaps w:val="false"/>
          <w:sz w:val="20"/>
        </w:rPr>
        <w:t>.  Holders of our common stock have no preemptive rights and no conversion rights, and there are no redemption provisions applicable to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 or Consolidation</w:t>
      </w:r>
      <w:r>
        <w:rPr>
          <w:rFonts w:ascii="Times New Roman;Times;Serif" w:hAnsi="Times New Roman;Times;Serif"/>
          <w:b w:val="false"/>
          <w:i w:val="false"/>
          <w:caps w:val="false"/>
          <w:smallCaps w:val="false"/>
          <w:sz w:val="20"/>
        </w:rPr>
        <w:t>: 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our preferred stock to which any prospectus supplement may relate.  A prospectus supplement will describe the terms relating to any preferred stock to be offered by us in greater detail, and may provide information that is different from this prospectus.  If the information in the prospectus supplement with respect to the particular preferred stock being offered differs from this prospectus, you should rely on the information in the prospectus supplement.  A copy of our certificate of incorporation, as amended, has been incorporated by reference from our filings with the SEC as an exhibit to the registration statement.  A certificate of amendment to our certificate of incorporation will specify the terms of the preferred stock being offered, and will be filed or incorporated by reference from a report that we file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certificate of incorporation, as amended, authorizes our board of directors to establish one or more series of preferred stock.  Unless required by law or by any stock exchange on which our common stock is listed, the authorized shares of preferred stock will be available for issuance without further action by stockholders.  Our board of directors is able to determine the designations, powers, and relative rights, privileges, preferences and other terms, including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dividend rates, redemption rates, liquidation preferences and voting, sinking fund and conversion or other rights on, a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provides otherwise, the preferred stock will have no preemptive rights to subscribe for any additional securities which may be issued by us in the future.  The transfer agent and registrar for the preferred stock will be specified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preferred stock, together with any description of our preferred stock in a prospectus supplement summarizes the material terms and provisions of the preferred stock that we may sell under this prospectus.  We urge you to read the applicable prospectus supplement(s) related to the particular series of preferred stock that we sell under this prospectus and to the actual terms and provisions contained in our certificate of incorporation and amended and restated bylaws, each as amended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fix the rights, preferences, privileges, qualifications and restrictions of the preferred stock of each series that we sell under this prospectus and applicable prospectus supplements in the amendment to our certificate of incorporation relating to that series.  We will incorporate by reference into the registration statement of which this prospectus is a part the form of any amendment to our certificate of incorporation that describes the terms of the series of preferred stock we are offering before the issuance of the related series of preferred stock.  This description of the preferred stock in the amendment to our certificate of incorporation and any applicable prospectus supplement may include:</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10"/>
        <w:gridCol w:w="209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and stated value;</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10"/>
        <w:gridCol w:w="30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we are offering;</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10"/>
        <w:gridCol w:w="296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liquidation preference per share;</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10"/>
        <w:gridCol w:w="156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rate, period and payment date and method of calculation for 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dividends will be cumulative or non-cumulative and, if cumulative, the date from which dividends will accumulate;</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10"/>
        <w:gridCol w:w="39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for any auction and remarketing;</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10"/>
        <w:gridCol w:w="27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a sinking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provisions for redemption or repurchase, if applicable, and any restrictions on our ability to exercise those redemption and repurchase rights;</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10"/>
        <w:gridCol w:w="576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listing of the preferred stock on any securities exchange or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convertible into our common stock, and, if applicable, the conversion price, or how it will be calculated, and the conversion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preferred stock will be exchangeable into debt securities, and, if applicable, the exchange price, or how it will be calculated, and the exchange period;</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10"/>
        <w:gridCol w:w="29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voting rights of the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110"/>
        <w:gridCol w:w="15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preemptive rights;</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10"/>
        <w:gridCol w:w="39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transfer, sale or other assignment;</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10"/>
        <w:gridCol w:w="64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interests in the preferred stock will be represented by depositary shares;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10"/>
        <w:gridCol w:w="85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United States federal income tax considerations applicable to the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ranking and preferences of the preferred stock as to dividend rights and rights if we liquidate, dissolve or wind up our affairs;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limitations on the issuance of any class or series of preferred stock ranking senior to or on a parity with the series of preferred stock as to dividend rights and rights if we liquidate, dissolve or wind up our affairs; and</w:t>
            </w:r>
          </w:p>
        </w:tc>
      </w:tr>
    </w:tbl>
    <w:p>
      <w:pPr>
        <w:pStyle w:val="TextBody"/>
        <w:bidi w:val="0"/>
        <w:spacing w:before="0" w:after="0"/>
        <w:ind w:left="144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10"/>
        <w:gridCol w:w="79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preferred stock.</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Charter Documents and Some Provisions of Delaware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State of Delaware.  As a result, we are subject to Section 203 of the Delaware General Corporation Law, which prohibits a Delaware corporation from engaging in any business combination with any interested stockholder for a period of three years after the time that such stockholder became an interested stockholder, with the following exceptions: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such time, the board of directors of the corporation approved either the business combination or the transaction that resulted in the stockholder becoming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at or subsequent to such time, the business combination is approved by the board of directors and authorized at an annual or special meeting of the stockholders, and not by </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consent, by the affirmative vote of at least 66 2/3% of the outstanding voting stock that is not owned by the interested stockholder.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 “business combination” to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merger or consolidation involving the corporation or a direct or indirect majority-owned subsidiary of the corporation and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sale, lease, mortgage, pledge transfer, or other disposition of the assets of the corporation or direct or indirect majority-owned a subsidiary of the corporation to or with the interested stockholder, which assets have an aggregate value equal to 10% or more of the fair value of the assets on a consolidated basis or the aggregate market value of the outstanding stock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certain exceptions, any transaction that results in the issuance or transfer by the corporation or a direct or indirect majority-owned subsidiary of the corporation of any stock of the corporation or subsidiary to the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transaction involving the corporation or direct or indirect majority-owned subsidiary of the corporation that has the effect of increasing the proportionate share of the stock or any class or series of the corporation or the subsidiary beneficially owned by the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receipt by the interested stockholder of the benefit of any loans, advances, guarantees, pledges or other financial benefits by or through the corporation or direct or indirect majority-owned subsidiary of the corporation.</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 entity or person (other than the corporation any direct or indirect majority-owned subsidiary of the corporation) who, together with the person’s affiliates and associates, beneficially owns, 15% or more of the outstanding voting stock of the corporation.  A Delaware corporation may “opt out” of these provisions with an express provision in its certificate of incorporation.  Since we have not opted out of Section 203, Section 203 may discourage or prevent mergers or other takeover or change of control attempts of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 of Incorporation and Bylaws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for our board of directors to be elected at each annual meeting of our stockholders.  Because our stockholders do not have cumulative voting rights, stockholders holding a majority of the shares of common stock outstanding are able to elect all of our directors.  Our bylaws also provide that directors may be removed by the stockholders only for cause upon the vote of 66 2/3% of the shares then entitled to vote at an election of directors.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authorizes our board of directors to establish one or more series of preferred stock.  Unless required by law or by any stock exchange on which our common stock is listed, the authorized shares of preferred stock will be available for issuance without further action by stockholders.  Our board of directors is able to determine the designations, powers, and relative rights, privileges, preferences and other terms, including terms relating to dividend rates, redemption rates, liquidation preferences and voting, sinking fund and conversion or other rights on, a series of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any action required by the General Corporation Law to be taken at any annual or special meeting of stockholders, or any action which may be taken at any annual or special meeting of stockholders, may be taken without a meeting,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Our bylaws also provide that special meetings may be called by a majority of the whole board or by any officer instructed by a majority of the whole board to call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stockholders seeking to present proposals before a meeting of stockholders to nominate candidates for election as directors at a meeting of stockholders must comply with the notice provisions set forth in the bylaws, including, but not limited to, providing timely notice in proper written form to the Secretary.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provide that, except as otherwise provided by the General Corporate Law or the certificate of incorporation, any amendment to, repeal of, or adoption of any provisions inconsistent with these Bylaws, which has not previously received the approval of the Board, shall require for adoption the affirmative vote of the holders of a majority of the issued and outstanding shares present in person or represented by proxy at a meeting of stockholders and entitled to vote thereat.  Our bylaws further provide that many of the provisions require for adoption the affirmative vote of the holders of not less than two-thirds of the issued and outstanding shares entitled to vote at a duly called and convened annual or special meeting of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  The transfer agent’s address is 1 State Street, 30th Floor, New York, New York 10004.  The transfer agent for any series of preferred stock that we may offer under this prospectus will be named and described in the prospectus supplement for that series.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Capital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“XELB.” The applicable prospectus supplement will contain information, where applicable, as to any other listing, if any, on any securities market or other exchange of the specific security covered by such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ss_07"/>
      <w:bookmarkEnd w:id="20"/>
      <w:r>
        <w:rPr>
          <w:rFonts w:ascii="Times New Roman;Times;Serif" w:hAnsi="Times New Roman;Times;Serif"/>
          <w:b/>
          <w:i w:val="false"/>
          <w:caps w:val="false"/>
          <w:smallCaps w:val="false"/>
          <w:sz w:val="20"/>
        </w:rPr>
        <w:t>DESCRIPTION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 and any related free writing prospectus related to the debt securities that we may offer under this prospectus, as well as the complete indenture that contains the terms of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debt securities being offered, including:</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10"/>
        <w:gridCol w:w="31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10"/>
        <w:gridCol w:w="54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limit upon the aggregate principal amount that may be issued;</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110"/>
        <w:gridCol w:w="215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maturity date or dates;</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110"/>
        <w:gridCol w:w="35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form of the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110"/>
        <w:gridCol w:w="291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applicability of any guarantees;</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10"/>
        <w:gridCol w:w="79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or not the debt securities will be secured or unsecured, and the terms of any secured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rank as senior debt, senior subordinated debt, subordinated debt or any combination thereof, and the terms of any subordination;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
        <w:gridCol w:w="110"/>
        <w:gridCol w:w="79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right, if any, to defer payment of interest and the maximum length of any such deferral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other than the full principal amount thereof, the portion of the principal amount of debt securities of the series which shall be payable upon declaration of acceleration of the maturity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changes in the covenants applicable to the particular debt securities being issued, including, among others, the consolidation, merger or sale covenant;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10"/>
        <w:gridCol w:w="894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changes in or deletions of the provisions relating to covenant defeasance and legal defeasance;</w:t>
            </w:r>
          </w:p>
        </w:tc>
      </w:tr>
    </w:tbl>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10"/>
        <w:gridCol w:w="776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changes in the provisions relating to satisfaction and discharge of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to or changes in the provisions relating to the modification of the indenture both with and without the consent of holders of debt securities issued under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of payment of debt securities if other than U.S. dollars and the manner of determining the equivalent amount in U.S. dollars;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interest will be payable in cash or additional debt securities at our or the holders’ option and the terms and conditions upon which the election may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and conditions, if any, upon which we will pay amounts in addition to the stated interest, premium, if any and principal amounts of the debt securities of the series to any holder that is not a “United States person” for federal tax purposes;</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110"/>
        <w:gridCol w:w="689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restrictions on transfer, sale or assignment of the debt securities of the series;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we fail to pay the principal of, or premium, if any, on any series of debt securities as and when the same shall become due and payable whether at maturity, upon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10"/>
        <w:gridCol w:w="566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specified events of bankruptcy, insolvency or reorganization occur.</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have the right to institute a proceeding under the indenture or to appoint a receiver or trustee, or to seek other remedies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10"/>
        <w:gridCol w:w="87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 has given written notice to the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at least 25% in aggregate principal amount of the outstanding debt securities of that series have made written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holders have offered to the trustee indemnity satisfactory to it against the costs, expenses and liabilities to be incurred by the trustee in compliance with the request;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trustee regarding our compliance with specified covenants in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change an indenture without the consent of any holders with respect to specific matters:</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10"/>
        <w:gridCol w:w="816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cure any ambiguity, defect or inconsistency in the indenture or in the debt securities of any series;</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10"/>
        <w:gridCol w:w="969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comply with the provisions described above under “Description of Debt Securities—Consolidation,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10"/>
        <w:gridCol w:w="80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uncertificated debt securities in addition to or in place of certificated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make any change that does not adversely affect the interests of any holder of debt securities of any series in any material respect;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10"/>
        <w:gridCol w:w="85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evidence and provide for the acceptance of appointment under any indenture by a successor trustee;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comply with any requirements of the SEC in connection with the qualification of any indenture under the Trust Indenture Act.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extending the fixed maturity of any debt securities of any series; </w:t>
            </w:r>
            <w:r>
              <w:rPr>
                <w:rFonts w:ascii="Symbol" w:hAnsi="Symbol"/>
                <w:sz w:val="20"/>
              </w:rPr>
              <w:t>·</w:t>
            </w:r>
            <w:r>
              <w:rPr>
                <w:rFonts w:ascii="Times New Roman;Times;Serif" w:hAnsi="Times New Roman;Times;Serif"/>
                <w:sz w:val="20"/>
              </w:rPr>
              <w:t xml:space="preserve">  reducing the principal amount, reducing the rate of or extending the time of payment of interest, or reducing any premium payable upon the redemption of any series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percentage of debt securities, the holders of which are required to consent to any amendment, supplement, modification or waiver.</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specified obligations, including obligations to:</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110"/>
        <w:gridCol w:w="174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for payment;</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10"/>
        <w:gridCol w:w="486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10"/>
        <w:gridCol w:w="63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 principal of and premium and interest on any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10"/>
        <w:gridCol w:w="218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10"/>
        <w:gridCol w:w="27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10"/>
        <w:gridCol w:w="34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recover excess money held by the trustee;</w:t>
            </w:r>
          </w:p>
        </w:tc>
      </w:tr>
    </w:tbl>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10"/>
        <w:gridCol w:w="351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compensate and indemnify the trustee; and</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110"/>
        <w:gridCol w:w="245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 any successor trustee.</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such securities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internal laws of the State of New York, except to the extent that the Trust Indenture Act is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ss_08"/>
      <w:bookmarkEnd w:id="21"/>
      <w:r>
        <w:rPr>
          <w:rFonts w:ascii="Times New Roman;Times;Serif" w:hAnsi="Times New Roman;Times;Serif"/>
          <w:b/>
          <w:i w:val="false"/>
          <w:caps w:val="false"/>
          <w:smallCaps w:val="false"/>
          <w:sz w:val="20"/>
        </w:rPr>
        <w:t>DESCRIPTION OF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together with the additional information we may include in any applicable prospectus supplement and in any related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will file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being offered, including,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110"/>
        <w:gridCol w:w="488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price and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10"/>
        <w:gridCol w:w="443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for which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securities with which the warrants are issued and the number of warrants issued with each such security or each principal amount of such security;</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10"/>
        <w:gridCol w:w="78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and after which the warrants and the related securities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principal amount of debt securities purchasable upon exercise of one warrant and the price at, and currency in which, this principal amount of debt securities may be purchased upon such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 of any merger, consolidation, sale or other disposition of our business on the warrant agreements and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10"/>
        <w:gridCol w:w="431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changes to or adjustments in the exercise price or number of securities issuable upon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10"/>
        <w:gridCol w:w="64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dates on which the right to exercise the warrants will commence and expire;</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10"/>
        <w:gridCol w:w="61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manner in which the warrant agreements and warrants may be modified;</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material United States federal income tax consequences of holding or exercising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10"/>
        <w:gridCol w:w="56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the securities issuable upon exercise of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10"/>
        <w:gridCol w:w="734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specific terms, preferences, rights or limitations of or restrictions on the warrants.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common stock or preferred stock, the right to receive dividends, if any, or, payments upon our liquidation, dissolution or winding up or to exercise voting rights, if 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warrants to purchase debt securities, the right to receive payments of principal of, or premium, if any, or interest on, the debt securities purchasable upon exercise or to enforce covenants in the applicable indenture.</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specify in the applicable prospectus supplement, holders of the warrants may exercise the warrants by delivering the warrant or warrant certificate representing the warrants to be exercised together with specified information, and paying the required amount to the warrant agent, if applicable, in immediately available funds, as provided in the applicable prospectus supplement.  We will set forth on the reverse side of any warrant certificate and in the applicable prospectus supplement the information that the holder of the warrant will be required to deliver to any warrant agent in connection with the exercise of the warrant.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fewer than all of the warrants (or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represented by such warrant certificate) are exercised, a new warrant or a new warrant certificate, as applicable,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ss_09"/>
      <w:bookmarkEnd w:id="22"/>
      <w:r>
        <w:rPr>
          <w:rFonts w:ascii="Times New Roman;Times;Serif" w:hAnsi="Times New Roman;Times;Serif"/>
          <w:b/>
          <w:i w:val="false"/>
          <w:caps w:val="false"/>
          <w:smallCaps w:val="false"/>
          <w:sz w:val="20"/>
        </w:rPr>
        <w:t>DESCRIPTION OF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and related free writing prospectus,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following description of units will apply to the units offered by this prospectus unless we provide otherwise in the applicable prospectus supplement.  The applicable prospectus supplement for a particular series of units may specify different or additional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forms a part, or will incorporate by reference from another report that we file with the SEC, the form of unit agreement that contains the terms of the particular series of units we are offering, and any supplemental agreements, before the issuance of the related series of units offered under this prospectus.  The following summary of material terms and provisions of the units is subject to, and qualified in its entirety by reference to, all the provisions of the form of unit agreement and any supplemental agreements applicable to a particular series of units that we may offer under this prospectus.  We urge you to read the applicable prospectus supplement related to the particular series of units that we may offer under this prospectus, as well as any related free writing prospectus, and the complete form of unit agreement and any supplemental agreements that contain the terms of the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of a holder of each included security.  The unit agreement under which a unit is issued may provide that the securities included in the unit may not be held or transferred separately, at any time or at any time before a specified date.  We may evidence each series of units by unit certificates that we will issue under a separate agreement.  We may enter into unit agreements with a unit agent.  Each unit agent will be a bank or trust company that we select.  We will indicate the name and address of any unit agent in the applicable prospectus supplement relating to a particular series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10"/>
        <w:gridCol w:w="239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75"/>
        <w:gridCol w:w="110"/>
        <w:gridCol w:w="72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and description of the separate constituent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10"/>
        <w:gridCol w:w="41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10"/>
        <w:gridCol w:w="91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if any, on and after which the constituent securities comprising the units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10"/>
        <w:gridCol w:w="800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units and their constituent securities.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s_10"/>
      <w:bookmarkEnd w:id="2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pursuant to underwritten public offerings, direct sales to the public, “at the 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10"/>
        <w:gridCol w:w="398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10"/>
        <w:gridCol w:w="37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10"/>
        <w:gridCol w:w="42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10"/>
        <w:gridCol w:w="167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10"/>
        <w:gridCol w:w="67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or names of the underwriters, dealers or agents or other purchasers, if any;</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10"/>
        <w:gridCol w:w="918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purchase price of the securities or other consideration therefor, and the proceeds we will receive from the sale;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option to purchase additional shares or other options under which underwriters, dealers, agents or other purchasers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10"/>
        <w:gridCol w:w="753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agency fees or underwriting discounts to be allowed or paid to the agent or underwriters;</w:t>
            </w:r>
          </w:p>
        </w:tc>
      </w:tr>
    </w:tbl>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10"/>
        <w:gridCol w:w="54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items constituting agents’ or underwriters’ compensation;</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75"/>
        <w:gridCol w:w="110"/>
        <w:gridCol w:w="210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public offering price;</w:t>
            </w:r>
          </w:p>
        </w:tc>
      </w:tr>
    </w:tbl>
    <w:p>
      <w:pPr>
        <w:pStyle w:val="TextBody"/>
        <w:bidi w:val="0"/>
        <w:spacing w:before="0" w:after="0"/>
        <w:ind w:left="0" w:right="0" w:hanging="0"/>
        <w:jc w:val="left"/>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10"/>
        <w:gridCol w:w="597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discounts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10"/>
        <w:gridCol w:w="585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securities exchange or market on which the securities may be listed.</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We will describe in the prospectus supplement, naming the underwriter, dealer or agent, the nature of any such relationship.</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dealers and underwriters with indemnification against civil liabilities, including liabilities under the Securities Act, or contribution with respect to payments that the agents, dealers or underwriters may make with respect to these liabilities.  Agents, dealers and underwriters or their affiliates may engage in transactions with, or perform services for, us in the ordinary course of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be granted an option to purchase additional shares, and engage in, stabilizing transactions, short covering transactions and penalty bids in accordance with Regulation M under the Exchange Act.  An underwriter’s option to purchase additional share involves sales in excess of the offering size, which create a short position.  Stabilizing transactions permit bids to purchase the underlying security so long as the stabilizing bids do not exceed a specified maximum price.  Syndicate covering or other short-covering transactions involve purchases of the securities, either through exercise of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dealers or agents that are qualified market makers on the Nasdaq Capital Market may engage in passive market making transactions in our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ss_11"/>
      <w:bookmarkEnd w:id="24"/>
      <w:r>
        <w:rPr>
          <w:rFonts w:ascii="Times New Roman;Times;Serif" w:hAnsi="Times New Roman;Times;Serif"/>
          <w:b/>
          <w:i w:val="false"/>
          <w:caps w:val="false"/>
          <w:smallCaps w:val="false"/>
          <w:sz w:val="20"/>
        </w:rPr>
        <w:t>LEGAL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Blank Rome LLP, New York, New York.  Additional legal matters may be passed upon for us or any underwriters, dealers or agents, by counsel that we will name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an attorney of Blank Rome LLP beneficially owns securities exercisable to purchase shares of our common stock that represent less than 1% of our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ss_12"/>
      <w:bookmarkEnd w:id="25"/>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Xcel Brands, Inc. and Subsidiaries as of December 31, 2022 and 2021, and for each of the two years in the period ended December 31, 2022 incorporated by reference in this Prospectus have been audited by Marcum LLP, an independent registered public accounting firm, and are incorporated by reference in reliance on the report of Marcum LLP, given on the authority of said firm as experts in auditing and accounting.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ss_13"/>
      <w:bookmarkEnd w:id="26"/>
      <w:r>
        <w:rPr>
          <w:rFonts w:ascii="Times New Roman;Times;Serif" w:hAnsi="Times New Roman;Times;Serif"/>
          <w:b/>
          <w:i w:val="false"/>
          <w:caps w:val="false"/>
          <w:smallCaps w:val="false"/>
          <w:sz w:val="20"/>
        </w:rPr>
        <w:t>WHERE YOU CAN FIND MORE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Our SEC filings are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Additional information about Xcel Brands, Inc. is contained at our website, </w:t>
      </w:r>
      <w:r>
        <w:rPr>
          <w:rFonts w:ascii="Times New Roman;Times;Serif" w:hAnsi="Times New Roman;Times;Serif"/>
          <w:b w:val="false"/>
          <w:i/>
          <w:caps w:val="false"/>
          <w:smallCaps w:val="false"/>
          <w:sz w:val="20"/>
        </w:rPr>
        <w:t>www.xcelbrands.com</w:t>
      </w:r>
      <w:r>
        <w:rPr>
          <w:rFonts w:ascii="Times New Roman;Times;Serif" w:hAnsi="Times New Roman;Times;Serif"/>
          <w:b w:val="false"/>
          <w:i w:val="false"/>
          <w:caps w:val="false"/>
          <w:smallCaps w:val="false"/>
          <w:sz w:val="20"/>
        </w:rPr>
        <w:t>.  Information on our website is not incorporated by reference into this prospectus supplement.  We make available on our website our SEC filings as soon as reasonably practicable after those reports are filed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ss_14"/>
      <w:bookmarkEnd w:id="27"/>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001-37527.  The documents incorporated by reference into this prospectus contain important information that you should read about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10"/>
        <w:gridCol w:w="9425"/>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25" w:type="dxa"/>
            <w:tcBorders/>
            <w:vAlign w:val="center"/>
          </w:tcPr>
          <w:p>
            <w:pPr>
              <w:pStyle w:val="TableContents"/>
              <w:bidi w:val="0"/>
              <w:spacing w:before="0" w:after="283"/>
              <w:jc w:val="both"/>
              <w:rPr/>
            </w:pPr>
            <w:hyperlink r:id="rId15">
              <w:r>
                <w:rPr>
                  <w:rStyle w:val="InternetLink"/>
                  <w:rFonts w:ascii="Times New Roman;Times;Serif" w:hAnsi="Times New Roman;Times;Serif"/>
                  <w:sz w:val="20"/>
                </w:rPr>
                <w:t>Our Annual Report on Form 10-K for the fiscal year ended December 31, 2022 filed with the SEC on April 17,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Quarterly Report on Form 10-Q for the fiscal quarters ended March 31, 2023, June 30, 2023 and September 30, 2023 filed with the SEC on </w:t>
            </w:r>
            <w:hyperlink r:id="rId16">
              <w:r>
                <w:rPr>
                  <w:rStyle w:val="InternetLink"/>
                  <w:rFonts w:ascii="Times New Roman;Times;Serif" w:hAnsi="Times New Roman;Times;Serif"/>
                  <w:sz w:val="20"/>
                </w:rPr>
                <w:t>May 18, 2023</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August 11, 2023</w:t>
              </w:r>
            </w:hyperlink>
            <w:r>
              <w:rPr>
                <w:rFonts w:ascii="Times New Roman;Times;Serif" w:hAnsi="Times New Roman;Times;Serif"/>
                <w:sz w:val="20"/>
              </w:rPr>
              <w:t xml:space="preserve"> and </w:t>
            </w:r>
            <w:hyperlink r:id="rId18">
              <w:r>
                <w:rPr>
                  <w:rStyle w:val="InternetLink"/>
                  <w:rFonts w:ascii="Times New Roman;Times;Serif" w:hAnsi="Times New Roman;Times;Serif"/>
                  <w:sz w:val="20"/>
                </w:rPr>
                <w:t>November 20, 2023</w:t>
              </w:r>
            </w:hyperlink>
            <w:r>
              <w:rPr>
                <w:rFonts w:ascii="Times New Roman;Times;Serif" w:hAnsi="Times New Roman;Times;Serif"/>
                <w:sz w:val="20"/>
              </w:rPr>
              <w:t>,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Our Current Report on Form 8-K, filed with the SEC on </w:t>
            </w:r>
            <w:hyperlink r:id="rId19">
              <w:r>
                <w:rPr>
                  <w:rStyle w:val="InternetLink"/>
                  <w:rFonts w:ascii="Times New Roman;Times;Serif" w:hAnsi="Times New Roman;Times;Serif"/>
                  <w:sz w:val="20"/>
                </w:rPr>
                <w:t>June 7, 2023</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October 20, 2023</w:t>
              </w:r>
            </w:hyperlink>
            <w:r>
              <w:rPr>
                <w:rFonts w:ascii="Times New Roman;Times;Serif" w:hAnsi="Times New Roman;Times;Serif"/>
                <w:sz w:val="20"/>
              </w:rPr>
              <w:t xml:space="preserve"> and </w:t>
            </w:r>
            <w:hyperlink r:id="rId21">
              <w:r>
                <w:rPr>
                  <w:rStyle w:val="InternetLink"/>
                  <w:rFonts w:ascii="Times New Roman;Times;Serif" w:hAnsi="Times New Roman;Times;Serif"/>
                  <w:sz w:val="20"/>
                </w:rPr>
                <w:t>December 7, 2023</w:t>
              </w:r>
            </w:hyperlink>
            <w:r>
              <w:rPr>
                <w:rFonts w:ascii="Times New Roman;Times;Serif" w:hAnsi="Times New Roman;Times;Serif"/>
                <w:sz w:val="20"/>
              </w:rPr>
              <w:t xml:space="preserve"> (other than as indicated therein);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The description of our Common Stock set forth in: (i) our registration statement on Form 10-SB filed with the SEC on September 18, 2000, pursuant to Section 12(g) of the Exchange Act, including any amendments thereto or reports filed for the purposes of updating this description, and (ii) </w:t>
            </w:r>
            <w:hyperlink r:id="rId22">
              <w:r>
                <w:rPr>
                  <w:rStyle w:val="InternetLink"/>
                  <w:rFonts w:ascii="Times New Roman;Times;Serif" w:hAnsi="Times New Roman;Times;Serif"/>
                  <w:sz w:val="20"/>
                </w:rPr>
                <w:t>Exhibit 4.4</w:t>
              </w:r>
            </w:hyperlink>
            <w:r>
              <w:rPr>
                <w:rFonts w:ascii="Times New Roman;Times;Serif" w:hAnsi="Times New Roman;Times;Serif"/>
                <w:sz w:val="20"/>
              </w:rPr>
              <w:t xml:space="preserve"> to our Annual Report on Form 10-K for the fiscal year ended December 31, 2022 filed with the SEC on April 17, 2023.</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all documents (other than current reports furnished under Item 2.02 or Item 7.01 of Form 8-K and exhibits filed on such form that are related to such items or other information “furnished” to the SEC which is not deemed filed and not incorporated in this prospectus)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can request a copy of these filings, at no cost, by writing or telephoning us at the following address or telephone number: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Xcel Brands, Inc.</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1333 Broadway, 10th Floor</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New York 10018</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(347) 727-2474</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Attn: Chief Financial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$2,971,157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3360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2133600" cy="762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Maxim Group LLC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83220/000110465926043348/xelb-20251231x10k.htm" TargetMode="External"/><Relationship Id="rId4" Type="http://schemas.openxmlformats.org/officeDocument/2006/relationships/hyperlink" Target="https://www.sec.gov/ix?doc=/Archives/edgar/data/1083220/000110465926043348/xelb-20251231x10k.htm" TargetMode="External"/><Relationship Id="rId5" Type="http://schemas.openxmlformats.org/officeDocument/2006/relationships/hyperlink" Target="https://www.sec.gov/ix?doc=/Archives/edgar/data/0001083220/000110465926043348/xelb-20251231x10k.htm" TargetMode="External"/><Relationship Id="rId6" Type="http://schemas.openxmlformats.org/officeDocument/2006/relationships/hyperlink" Target="https://www.sec.gov/ix?doc=/Archives/edgar/data/0001083220/000110465926061185/xelb-20260331x10q.htm" TargetMode="External"/><Relationship Id="rId7" Type="http://schemas.openxmlformats.org/officeDocument/2006/relationships/hyperlink" Target="https://www.sec.gov/ix?doc=/Archives/edgar/data/1083220/000110465926096016/xelb-20260630x10q.htm" TargetMode="External"/><Relationship Id="rId8" Type="http://schemas.openxmlformats.org/officeDocument/2006/relationships/hyperlink" Target="https://www.sec.gov/ix?doc=/Archives/edgar/data/1083220/000110465926006234/tm263797d1_8k.htm" TargetMode="External"/><Relationship Id="rId9" Type="http://schemas.openxmlformats.org/officeDocument/2006/relationships/hyperlink" Target="https://www.sec.gov/ix?doc=/Archives/edgar/data/1083220/000110465926019105/tm267182d1_8k.htm" TargetMode="External"/><Relationship Id="rId10" Type="http://schemas.openxmlformats.org/officeDocument/2006/relationships/hyperlink" Target="https://www.sec.gov/ix?doc=/Archives/edgar/data/1083220/000110465926033880/xelb-20260320x8k.htm" TargetMode="External"/><Relationship Id="rId11" Type="http://schemas.openxmlformats.org/officeDocument/2006/relationships/hyperlink" Target="https://www.sec.gov/ix?doc=/Archives/edgar/data/1083220/000110465926044940/xelb-20260413x8k.htm" TargetMode="External"/><Relationship Id="rId12" Type="http://schemas.openxmlformats.org/officeDocument/2006/relationships/hyperlink" Target="https://www.sec.gov/ix?doc=/Archives/edgar/data/1083220/000110465926053074/tm2613215d2_8k.htm" TargetMode="External"/><Relationship Id="rId13" Type="http://schemas.openxmlformats.org/officeDocument/2006/relationships/hyperlink" Target="https://www.sec.gov/ix?doc=/Archives/edgar/data/1083220/000110465926065835/xelb-20260520x8k.htm" TargetMode="External"/><Relationship Id="rId14" Type="http://schemas.openxmlformats.org/officeDocument/2006/relationships/hyperlink" Target="https://www.sec.gov/Archives/edgar/data/1083220/000155837021004669/xelb-20201231ex44b18da27.htm" TargetMode="External"/><Relationship Id="rId15" Type="http://schemas.openxmlformats.org/officeDocument/2006/relationships/hyperlink" Target="https://www.sec.gov/ix?doc=/Archives/edgar/data/1083220/000155837023006076/xelb-20221231x10k.htm" TargetMode="External"/><Relationship Id="rId16" Type="http://schemas.openxmlformats.org/officeDocument/2006/relationships/hyperlink" Target="https://www.sec.gov/ix?doc=/Archives/edgar/data/1083220/000155837023010200/xelb-20230331x10q.htm" TargetMode="External"/><Relationship Id="rId17" Type="http://schemas.openxmlformats.org/officeDocument/2006/relationships/hyperlink" Target="https://www.sec.gov/ix?doc=/Archives/edgar/data/1083220/000155837023014913/xelb-20230630x10q.htm" TargetMode="External"/><Relationship Id="rId18" Type="http://schemas.openxmlformats.org/officeDocument/2006/relationships/hyperlink" Target="https://www.sec.gov/ix?doc=/Archives/edgar/data/1083220/000155837023019258/xelb-20230930x10q.htm" TargetMode="External"/><Relationship Id="rId19" Type="http://schemas.openxmlformats.org/officeDocument/2006/relationships/hyperlink" Target="https://www.sec.gov/ix?doc=/Archives/edgar/data/1083220/000155837023010875/xelb-20230606x8k.htm" TargetMode="External"/><Relationship Id="rId20" Type="http://schemas.openxmlformats.org/officeDocument/2006/relationships/hyperlink" Target="https://www.sec.gov/ix?doc=/Archives/edgar/data/1083220/000155837023016578/xelb-20231019x8k.htm" TargetMode="External"/><Relationship Id="rId21" Type="http://schemas.openxmlformats.org/officeDocument/2006/relationships/hyperlink" Target="https://www.sec.gov/ix?doc=/Archives/edgar/data/1083220/000155837023019587/xelb-20231206x8k.htm" TargetMode="External"/><Relationship Id="rId22" Type="http://schemas.openxmlformats.org/officeDocument/2006/relationships/hyperlink" Target="https://www.sec.gov/Archives/edgar/data/1083220/000155837021004669/xelb-20201231ex44b18da27.htm" TargetMode="External"/><Relationship Id="rId23" Type="http://schemas.openxmlformats.org/officeDocument/2006/relationships/image" Target="media/image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24390</Words>
  <Characters>127308</Characters>
  <CharactersWithSpaces>151875</CharactersWithSpaces>
  <Paragraphs>1621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