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400685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0" w:lineRule="exact"/>
        <w:rPr>
          <w:sz w:val="24"/>
          <w:szCs w:val="24"/>
          <w:color w:val="auto"/>
        </w:rPr>
      </w:pPr>
    </w:p>
    <w:p>
      <w:pPr>
        <w:ind w:left="360" w:right="179" w:hanging="316"/>
        <w:spacing w:after="0" w:line="282" w:lineRule="auto"/>
        <w:tabs>
          <w:tab w:leader="none" w:pos="37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quarterly period ended March 31, 2020</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86" w:lineRule="exact"/>
        <w:rPr>
          <w:sz w:val="24"/>
          <w:szCs w:val="24"/>
          <w:color w:val="auto"/>
        </w:rPr>
      </w:pPr>
    </w:p>
    <w:p>
      <w:pPr>
        <w:ind w:left="40" w:right="179" w:firstLine="4"/>
        <w:spacing w:after="0" w:line="282" w:lineRule="auto"/>
        <w:tabs>
          <w:tab w:leader="none" w:pos="379"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-281940</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transition period from ___ to ___</w:t>
      </w:r>
    </w:p>
    <w:p>
      <w:pPr>
        <w:spacing w:after="0" w:line="131"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i w:val="1"/>
          <w:iCs w:val="1"/>
          <w:color w:val="auto"/>
        </w:rPr>
        <w:t>Commission File Number: 001</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37527</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XCEL BRANDS,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74"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5280" w:type="dxa"/>
            <w:vAlign w:val="bottom"/>
            <w:gridSpan w:val="2"/>
          </w:tcPr>
          <w:p>
            <w:pPr>
              <w:jc w:val="center"/>
              <w:ind w:right="1620"/>
              <w:spacing w:after="0"/>
              <w:rPr>
                <w:sz w:val="20"/>
                <w:szCs w:val="20"/>
                <w:color w:val="auto"/>
              </w:rPr>
            </w:pPr>
            <w:r>
              <w:rPr>
                <w:rFonts w:ascii="Arial" w:cs="Arial" w:eastAsia="Arial" w:hAnsi="Arial"/>
                <w:sz w:val="18"/>
                <w:szCs w:val="18"/>
                <w:color w:val="auto"/>
                <w:w w:val="92"/>
              </w:rPr>
              <w:t>Delaware</w:t>
            </w:r>
          </w:p>
        </w:tc>
        <w:tc>
          <w:tcPr>
            <w:tcW w:w="3640" w:type="dxa"/>
            <w:vAlign w:val="bottom"/>
          </w:tcPr>
          <w:p>
            <w:pPr>
              <w:jc w:val="center"/>
              <w:spacing w:after="0" w:line="207" w:lineRule="exact"/>
              <w:rPr>
                <w:sz w:val="20"/>
                <w:szCs w:val="20"/>
                <w:color w:val="auto"/>
              </w:rPr>
            </w:pPr>
            <w:r>
              <w:rPr>
                <w:rFonts w:ascii="Arial" w:cs="Arial" w:eastAsia="Arial" w:hAnsi="Arial"/>
                <w:sz w:val="18"/>
                <w:szCs w:val="18"/>
                <w:color w:val="auto"/>
                <w:w w:val="91"/>
              </w:rPr>
              <w:t>76</w:t>
            </w:r>
            <w:r>
              <w:rPr>
                <w:rFonts w:ascii="MS PGothic" w:cs="MS PGothic" w:eastAsia="MS PGothic" w:hAnsi="MS PGothic"/>
                <w:sz w:val="18"/>
                <w:szCs w:val="18"/>
                <w:color w:val="auto"/>
                <w:w w:val="91"/>
              </w:rPr>
              <w:t>‑</w:t>
            </w:r>
            <w:r>
              <w:rPr>
                <w:rFonts w:ascii="Arial" w:cs="Arial" w:eastAsia="Arial" w:hAnsi="Arial"/>
                <w:sz w:val="18"/>
                <w:szCs w:val="18"/>
                <w:color w:val="auto"/>
                <w:w w:val="91"/>
              </w:rPr>
              <w:t>0307819</w:t>
            </w:r>
          </w:p>
        </w:tc>
      </w:tr>
      <w:tr>
        <w:trPr>
          <w:trHeight w:val="195"/>
        </w:trPr>
        <w:tc>
          <w:tcPr>
            <w:tcW w:w="36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(State or Other Jurisdiction of</w:t>
            </w:r>
          </w:p>
        </w:tc>
        <w:tc>
          <w:tcPr>
            <w:tcW w:w="1620" w:type="dxa"/>
            <w:vAlign w:val="bottom"/>
          </w:tcPr>
          <w:p>
            <w:pPr>
              <w:spacing w:after="0"/>
              <w:rPr>
                <w:sz w:val="16"/>
                <w:szCs w:val="16"/>
                <w:color w:val="auto"/>
              </w:rPr>
            </w:pPr>
          </w:p>
        </w:tc>
        <w:tc>
          <w:tcPr>
            <w:tcW w:w="3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5280" w:type="dxa"/>
            <w:vAlign w:val="bottom"/>
            <w:gridSpan w:val="2"/>
          </w:tcPr>
          <w:p>
            <w:pPr>
              <w:jc w:val="center"/>
              <w:ind w:right="1620"/>
              <w:spacing w:after="0"/>
              <w:rPr>
                <w:sz w:val="20"/>
                <w:szCs w:val="20"/>
                <w:color w:val="auto"/>
              </w:rPr>
            </w:pPr>
            <w:r>
              <w:rPr>
                <w:rFonts w:ascii="Arial" w:cs="Arial" w:eastAsia="Arial" w:hAnsi="Arial"/>
                <w:sz w:val="18"/>
                <w:szCs w:val="18"/>
                <w:color w:val="auto"/>
                <w:w w:val="92"/>
              </w:rPr>
              <w:t>Incorporation or Organization)</w:t>
            </w: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1333 Broadway, 10th Floor, New York, NY 10018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1445260</wp:posOffset>
            </wp:positionH>
            <wp:positionV relativeFrom="paragraph">
              <wp:posOffset>14605</wp:posOffset>
            </wp:positionV>
            <wp:extent cx="2828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103"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color w:val="auto"/>
        </w:rPr>
        <w:t>(347) 727</w:t>
      </w:r>
      <w:r>
        <w:rPr>
          <w:rFonts w:ascii="MS PGothic" w:cs="MS PGothic" w:eastAsia="MS PGothic" w:hAnsi="MS PGothic"/>
          <w:sz w:val="18"/>
          <w:szCs w:val="18"/>
          <w:color w:val="auto"/>
        </w:rPr>
        <w:t>‑</w:t>
      </w:r>
      <w:r>
        <w:rPr>
          <w:rFonts w:ascii="Arial" w:cs="Arial" w:eastAsia="Arial" w:hAnsi="Arial"/>
          <w:sz w:val="18"/>
          <w:szCs w:val="18"/>
          <w:color w:val="auto"/>
        </w:rPr>
        <w:t>2474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(Issuer’s Telephone Number, Including Area Code)</w:t>
      </w:r>
    </w:p>
    <w:p>
      <w:pPr>
        <w:spacing w:after="0" w:line="76" w:lineRule="exact"/>
        <w:rPr>
          <w:sz w:val="24"/>
          <w:szCs w:val="24"/>
          <w:color w:val="auto"/>
        </w:rPr>
      </w:pPr>
    </w:p>
    <w:tbl>
      <w:tblPr>
        <w:tblLayout w:type="fixed"/>
        <w:tblInd w:w="40" w:type="dxa"/>
        <w:tblCellMar>
          <w:top w:w="0" w:type="dxa"/>
          <w:left w:w="0" w:type="dxa"/>
          <w:bottom w:w="0" w:type="dxa"/>
          <w:right w:w="0" w:type="dxa"/>
        </w:tblCellMar>
      </w:tblPr>
      <w:tr>
        <w:trPr>
          <w:trHeight w:val="229"/>
        </w:trPr>
        <w:tc>
          <w:tcPr>
            <w:tcW w:w="5720" w:type="dxa"/>
            <w:vAlign w:val="bottom"/>
            <w:gridSpan w:val="5"/>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2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29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Title of each class</w:t>
            </w:r>
          </w:p>
        </w:tc>
        <w:tc>
          <w:tcPr>
            <w:tcW w:w="27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Trading Symbol</w:t>
            </w:r>
          </w:p>
        </w:tc>
        <w:tc>
          <w:tcPr>
            <w:tcW w:w="320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176"/>
        </w:trPr>
        <w:tc>
          <w:tcPr>
            <w:tcW w:w="20" w:type="dxa"/>
            <w:vAlign w:val="bottom"/>
          </w:tcPr>
          <w:p>
            <w:pPr>
              <w:spacing w:after="0"/>
              <w:rPr>
                <w:sz w:val="15"/>
                <w:szCs w:val="15"/>
                <w:color w:val="auto"/>
              </w:rPr>
            </w:pPr>
          </w:p>
        </w:tc>
        <w:tc>
          <w:tcPr>
            <w:tcW w:w="28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Common Stock, $0.001 par value per share</w:t>
            </w:r>
          </w:p>
        </w:tc>
        <w:tc>
          <w:tcPr>
            <w:tcW w:w="180" w:type="dxa"/>
            <w:vAlign w:val="bottom"/>
          </w:tcPr>
          <w:p>
            <w:pPr>
              <w:spacing w:after="0"/>
              <w:rPr>
                <w:sz w:val="15"/>
                <w:szCs w:val="15"/>
                <w:color w:val="auto"/>
              </w:rPr>
            </w:pPr>
          </w:p>
        </w:tc>
        <w:tc>
          <w:tcPr>
            <w:tcW w:w="25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XELB</w:t>
            </w:r>
          </w:p>
        </w:tc>
        <w:tc>
          <w:tcPr>
            <w:tcW w:w="180" w:type="dxa"/>
            <w:vAlign w:val="bottom"/>
          </w:tcPr>
          <w:p>
            <w:pPr>
              <w:spacing w:after="0"/>
              <w:rPr>
                <w:sz w:val="15"/>
                <w:szCs w:val="15"/>
                <w:color w:val="auto"/>
              </w:rPr>
            </w:pPr>
          </w:p>
        </w:tc>
        <w:tc>
          <w:tcPr>
            <w:tcW w:w="32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8"/>
              </w:rPr>
              <w:t>NASDAQ Global Market</w:t>
            </w:r>
          </w:p>
        </w:tc>
      </w:tr>
    </w:tbl>
    <w:p>
      <w:pPr>
        <w:spacing w:after="0" w:line="46" w:lineRule="exact"/>
        <w:rPr>
          <w:sz w:val="24"/>
          <w:szCs w:val="24"/>
          <w:color w:val="auto"/>
        </w:rPr>
      </w:pPr>
    </w:p>
    <w:p>
      <w:pPr>
        <w:jc w:val="both"/>
        <w:ind w:left="40" w:right="59"/>
        <w:spacing w:after="0" w:line="22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47" w:lineRule="exact"/>
        <w:rPr>
          <w:sz w:val="24"/>
          <w:szCs w:val="24"/>
          <w:color w:val="auto"/>
        </w:rPr>
      </w:pPr>
    </w:p>
    <w:p>
      <w:pPr>
        <w:jc w:val="both"/>
        <w:ind w:left="40" w:right="59"/>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left="40" w:right="59"/>
        <w:spacing w:after="0" w:line="221" w:lineRule="exact"/>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7"/>
          <w:szCs w:val="17"/>
          <w:color w:val="auto"/>
        </w:rPr>
        <w:t>‑</w:t>
      </w:r>
      <w:r>
        <w:rPr>
          <w:rFonts w:ascii="Arial" w:cs="Arial" w:eastAsia="Arial" w:hAnsi="Arial"/>
          <w:sz w:val="17"/>
          <w:szCs w:val="17"/>
          <w:color w:val="auto"/>
        </w:rPr>
        <w:t>2 of the Exchange Act.</w:t>
      </w:r>
    </w:p>
    <w:p>
      <w:pPr>
        <w:spacing w:after="0" w:line="34" w:lineRule="exact"/>
        <w:rPr>
          <w:sz w:val="24"/>
          <w:szCs w:val="24"/>
          <w:color w:val="auto"/>
        </w:rPr>
      </w:pPr>
    </w:p>
    <w:tbl>
      <w:tblPr>
        <w:tblLayout w:type="fixed"/>
        <w:tblInd w:w="80" w:type="dxa"/>
        <w:tblCellMar>
          <w:top w:w="0" w:type="dxa"/>
          <w:left w:w="0" w:type="dxa"/>
          <w:bottom w:w="0" w:type="dxa"/>
          <w:right w:w="0" w:type="dxa"/>
        </w:tblCellMar>
      </w:tblPr>
      <w:tr>
        <w:trPr>
          <w:trHeight w:val="216"/>
        </w:trPr>
        <w:tc>
          <w:tcPr>
            <w:tcW w:w="288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3100" w:type="dxa"/>
            <w:vAlign w:val="bottom"/>
          </w:tcPr>
          <w:p>
            <w:pPr>
              <w:ind w:left="108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4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288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3100" w:type="dxa"/>
            <w:vAlign w:val="bottom"/>
          </w:tcPr>
          <w:p>
            <w:pPr>
              <w:ind w:left="1080"/>
              <w:spacing w:after="0"/>
              <w:rPr>
                <w:sz w:val="20"/>
                <w:szCs w:val="20"/>
                <w:color w:val="auto"/>
              </w:rPr>
            </w:pPr>
            <w:r>
              <w:rPr>
                <w:rFonts w:ascii="Arial" w:cs="Arial" w:eastAsia="Arial" w:hAnsi="Arial"/>
                <w:sz w:val="18"/>
                <w:szCs w:val="18"/>
                <w:color w:val="auto"/>
                <w:w w:val="92"/>
              </w:rPr>
              <w:t>Smaller reporting company</w:t>
            </w:r>
          </w:p>
        </w:tc>
        <w:tc>
          <w:tcPr>
            <w:tcW w:w="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880" w:type="dxa"/>
            <w:vAlign w:val="bottom"/>
          </w:tcPr>
          <w:p>
            <w:pPr>
              <w:spacing w:after="0"/>
              <w:rPr>
                <w:sz w:val="24"/>
                <w:szCs w:val="24"/>
                <w:color w:val="auto"/>
              </w:rPr>
            </w:pPr>
          </w:p>
        </w:tc>
        <w:tc>
          <w:tcPr>
            <w:tcW w:w="3100" w:type="dxa"/>
            <w:vAlign w:val="bottom"/>
          </w:tcPr>
          <w:p>
            <w:pPr>
              <w:ind w:left="1080"/>
              <w:spacing w:after="0"/>
              <w:rPr>
                <w:sz w:val="20"/>
                <w:szCs w:val="20"/>
                <w:color w:val="auto"/>
              </w:rPr>
            </w:pPr>
            <w:r>
              <w:rPr>
                <w:rFonts w:ascii="Arial" w:cs="Arial" w:eastAsia="Arial" w:hAnsi="Arial"/>
                <w:sz w:val="18"/>
                <w:szCs w:val="18"/>
                <w:color w:val="auto"/>
                <w:w w:val="93"/>
              </w:rPr>
              <w:t>Emerging growth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60" w:lineRule="exact"/>
        <w:rPr>
          <w:sz w:val="24"/>
          <w:szCs w:val="24"/>
          <w:color w:val="auto"/>
        </w:rPr>
      </w:pPr>
    </w:p>
    <w:p>
      <w:pPr>
        <w:jc w:val="both"/>
        <w:ind w:left="40" w:right="59"/>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6" w:lineRule="exact"/>
        <w:rPr>
          <w:sz w:val="24"/>
          <w:szCs w:val="24"/>
          <w:color w:val="auto"/>
        </w:rPr>
      </w:pPr>
    </w:p>
    <w:p>
      <w:pPr>
        <w:jc w:val="both"/>
        <w:ind w:left="180" w:right="59" w:hanging="134"/>
        <w:spacing w:after="0" w:line="250" w:lineRule="exact"/>
        <w:rPr>
          <w:sz w:val="20"/>
          <w:szCs w:val="20"/>
          <w:color w:val="auto"/>
        </w:rPr>
      </w:pPr>
      <w:r>
        <w:rPr>
          <w:rFonts w:ascii="Arial" w:cs="Arial" w:eastAsia="Arial" w:hAnsi="Arial"/>
          <w:sz w:val="18"/>
          <w:szCs w:val="18"/>
          <w:color w:val="auto"/>
        </w:rPr>
        <w:t>Indicate by a check mark whether the registrant is a shell company (as defined in Rule 12b</w:t>
      </w:r>
      <w:r>
        <w:rPr>
          <w:rFonts w:ascii="MS PGothic" w:cs="MS PGothic" w:eastAsia="MS PGothic" w:hAnsi="MS PGothic"/>
          <w:sz w:val="18"/>
          <w:szCs w:val="18"/>
          <w:color w:val="auto"/>
        </w:rPr>
        <w:t>‑</w:t>
      </w:r>
      <w:r>
        <w:rPr>
          <w:rFonts w:ascii="Arial" w:cs="Arial" w:eastAsia="Arial" w:hAnsi="Arial"/>
          <w:sz w:val="18"/>
          <w:szCs w:val="18"/>
          <w:color w:val="auto"/>
        </w:rPr>
        <w:t xml:space="preserve">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ind w:left="40"/>
        <w:spacing w:after="0"/>
        <w:rPr>
          <w:sz w:val="20"/>
          <w:szCs w:val="20"/>
          <w:color w:val="auto"/>
        </w:rPr>
      </w:pPr>
      <w:r>
        <w:rPr>
          <w:rFonts w:ascii="Arial" w:cs="Arial" w:eastAsia="Arial" w:hAnsi="Arial"/>
          <w:sz w:val="16"/>
          <w:szCs w:val="16"/>
          <w:color w:val="auto"/>
        </w:rPr>
        <w:t>As of May 7, 2020, there were 19,047,561 shares of common stock, $.001 par value per share, of the issuer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80645</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132080</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758190</wp:posOffset>
            </wp:positionV>
            <wp:extent cx="56578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233" w:right="1440" w:bottom="1440" w:gutter="0" w:footer="0" w:header="0"/>
        </w:sectPr>
      </w:pPr>
    </w:p>
    <w:bookmarkStart w:id="1" w:name="page2"/>
    <w:bookmarkEnd w:id="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260"/>
        <w:spacing w:after="0"/>
        <w:rPr>
          <w:sz w:val="20"/>
          <w:szCs w:val="20"/>
          <w:color w:val="auto"/>
        </w:rPr>
      </w:pPr>
      <w:r>
        <w:rPr>
          <w:rFonts w:ascii="Arial" w:cs="Arial" w:eastAsia="Arial" w:hAnsi="Arial"/>
          <w:sz w:val="18"/>
          <w:szCs w:val="18"/>
          <w:b w:val="1"/>
          <w:bCs w:val="1"/>
          <w:color w:val="auto"/>
        </w:rPr>
        <w:t>XCEL BRANDS, INC.</w:t>
      </w:r>
    </w:p>
    <w:p>
      <w:pPr>
        <w:spacing w:after="0" w:line="22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 - FINANCIAL INFORMATION</w:t>
        </w:r>
      </w:hyperlink>
    </w:p>
    <w:p>
      <w:pPr>
        <w:spacing w:after="0" w:line="198" w:lineRule="exact"/>
        <w:rPr>
          <w:sz w:val="20"/>
          <w:szCs w:val="20"/>
          <w:color w:val="auto"/>
        </w:rPr>
      </w:pPr>
    </w:p>
    <w:p>
      <w:pPr>
        <w:ind w:left="40"/>
        <w:spacing w:after="0"/>
        <w:tabs>
          <w:tab w:leader="none" w:pos="780" w:val="left"/>
        </w:tabs>
        <w:rPr>
          <w:rFonts w:ascii="Arial" w:cs="Arial" w:eastAsia="Arial" w:hAnsi="Arial"/>
          <w:sz w:val="16"/>
          <w:szCs w:val="16"/>
          <w:u w:val="single" w:color="auto"/>
          <w:color w:val="0000EE"/>
        </w:rPr>
      </w:pPr>
      <w:hyperlink w:anchor="page3">
        <w:r>
          <w:rPr>
            <w:rFonts w:ascii="Arial" w:cs="Arial" w:eastAsia="Arial" w:hAnsi="Arial"/>
            <w:sz w:val="18"/>
            <w:szCs w:val="18"/>
            <w:u w:val="single" w:color="auto"/>
            <w:color w:val="0000EE"/>
          </w:rPr>
          <w:t>Item 1.</w:t>
        </w:r>
      </w:hyperlink>
      <w:r>
        <w:rPr>
          <w:rFonts w:ascii="Arial" w:cs="Arial" w:eastAsia="Arial" w:hAnsi="Arial"/>
          <w:sz w:val="18"/>
          <w:szCs w:val="18"/>
          <w:u w:val="single" w:color="auto"/>
          <w:color w:val="0000EE"/>
        </w:rPr>
        <w:tab/>
      </w:r>
      <w:hyperlink w:anchor="page3">
        <w:r>
          <w:rPr>
            <w:rFonts w:ascii="Arial" w:cs="Arial" w:eastAsia="Arial" w:hAnsi="Arial"/>
            <w:sz w:val="16"/>
            <w:szCs w:val="16"/>
            <w:u w:val="single" w:color="auto"/>
            <w:color w:val="0000EE"/>
          </w:rPr>
          <w:t>Financial Statements</w:t>
        </w:r>
      </w:hyperlink>
    </w:p>
    <w:p>
      <w:pPr>
        <w:spacing w:after="0" w:line="198" w:lineRule="exact"/>
        <w:rPr>
          <w:sz w:val="20"/>
          <w:szCs w:val="20"/>
          <w:color w:val="auto"/>
        </w:rPr>
      </w:pPr>
    </w:p>
    <w:p>
      <w:pPr>
        <w:ind w:left="800" w:right="1740"/>
        <w:spacing w:after="0" w:line="497" w:lineRule="auto"/>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Unaudited Condensed Consolidated Balance Sheets</w:t>
        </w:r>
      </w:hyperlink>
      <w:r>
        <w:rPr>
          <w:rFonts w:ascii="Arial" w:cs="Arial" w:eastAsia="Arial" w:hAnsi="Arial"/>
          <w:sz w:val="17"/>
          <w:szCs w:val="17"/>
          <w:u w:val="single" w:color="auto"/>
          <w:color w:val="0000EE"/>
        </w:rPr>
        <w:t xml:space="preserve"> </w:t>
      </w:r>
      <w:hyperlink w:anchor="page4">
        <w:r>
          <w:rPr>
            <w:rFonts w:ascii="Arial" w:cs="Arial" w:eastAsia="Arial" w:hAnsi="Arial"/>
            <w:sz w:val="17"/>
            <w:szCs w:val="17"/>
            <w:u w:val="single" w:color="auto"/>
            <w:color w:val="0000EE"/>
          </w:rPr>
          <w:t>Unaudited Condensed Consolidated Statements of Operations</w:t>
        </w:r>
      </w:hyperlink>
      <w:r>
        <w:rPr>
          <w:rFonts w:ascii="Arial" w:cs="Arial" w:eastAsia="Arial" w:hAnsi="Arial"/>
          <w:sz w:val="17"/>
          <w:szCs w:val="17"/>
          <w:u w:val="single" w:color="auto"/>
          <w:color w:val="0000EE"/>
        </w:rPr>
        <w:t xml:space="preserve"> </w:t>
      </w:r>
      <w:hyperlink w:anchor="page5">
        <w:r>
          <w:rPr>
            <w:rFonts w:ascii="Arial" w:cs="Arial" w:eastAsia="Arial" w:hAnsi="Arial"/>
            <w:sz w:val="17"/>
            <w:szCs w:val="17"/>
            <w:u w:val="single" w:color="auto"/>
            <w:color w:val="0000EE"/>
          </w:rPr>
          <w:t>Unaudited Condensed Consolidated Statements of Stockholders’ Equity</w:t>
        </w:r>
      </w:hyperlink>
      <w:r>
        <w:rPr>
          <w:rFonts w:ascii="Arial" w:cs="Arial" w:eastAsia="Arial" w:hAnsi="Arial"/>
          <w:sz w:val="17"/>
          <w:szCs w:val="17"/>
          <w:u w:val="single" w:color="auto"/>
          <w:color w:val="0000EE"/>
        </w:rPr>
        <w:t xml:space="preserve"> </w:t>
      </w:r>
      <w:hyperlink w:anchor="page6">
        <w:r>
          <w:rPr>
            <w:rFonts w:ascii="Arial" w:cs="Arial" w:eastAsia="Arial" w:hAnsi="Arial"/>
            <w:sz w:val="17"/>
            <w:szCs w:val="17"/>
            <w:u w:val="single" w:color="auto"/>
            <w:color w:val="0000EE"/>
          </w:rPr>
          <w:t>Unaudited Condensed Consolidated Statements of Cash Flows</w:t>
        </w:r>
      </w:hyperlink>
      <w:r>
        <w:rPr>
          <w:rFonts w:ascii="Arial" w:cs="Arial" w:eastAsia="Arial" w:hAnsi="Arial"/>
          <w:sz w:val="17"/>
          <w:szCs w:val="17"/>
          <w:u w:val="single" w:color="auto"/>
          <w:color w:val="0000EE"/>
        </w:rPr>
        <w:t xml:space="preserve"> </w:t>
      </w:r>
      <w:hyperlink w:anchor="page7">
        <w:r>
          <w:rPr>
            <w:rFonts w:ascii="Arial" w:cs="Arial" w:eastAsia="Arial" w:hAnsi="Arial"/>
            <w:sz w:val="17"/>
            <w:szCs w:val="17"/>
            <w:u w:val="single" w:color="auto"/>
            <w:color w:val="0000EE"/>
          </w:rPr>
          <w:t>Notes to Unaudited Condensed Consolidated Financial Statements</w:t>
        </w:r>
      </w:hyperlink>
    </w:p>
    <w:p>
      <w:pPr>
        <w:spacing w:after="0" w:line="1" w:lineRule="exact"/>
        <w:rPr>
          <w:rFonts w:ascii="Arial" w:cs="Arial" w:eastAsia="Arial" w:hAnsi="Arial"/>
          <w:sz w:val="17"/>
          <w:szCs w:val="17"/>
          <w:u w:val="single" w:color="auto"/>
          <w:color w:val="0000EE"/>
        </w:rPr>
      </w:pPr>
    </w:p>
    <w:p>
      <w:pPr>
        <w:ind w:left="40" w:right="480"/>
        <w:spacing w:after="0" w:line="469" w:lineRule="auto"/>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2. Management’s Discussion and Analysis of Financial Condition and Results of Operations</w:t>
        </w:r>
      </w:hyperlink>
      <w:r>
        <w:rPr>
          <w:rFonts w:ascii="Arial" w:cs="Arial" w:eastAsia="Arial" w:hAnsi="Arial"/>
          <w:sz w:val="18"/>
          <w:szCs w:val="18"/>
          <w:u w:val="single" w:color="auto"/>
          <w:color w:val="0000EE"/>
        </w:rPr>
        <w:t xml:space="preserve"> </w:t>
      </w:r>
      <w:hyperlink w:anchor="page27">
        <w:r>
          <w:rPr>
            <w:rFonts w:ascii="Arial" w:cs="Arial" w:eastAsia="Arial" w:hAnsi="Arial"/>
            <w:sz w:val="18"/>
            <w:szCs w:val="18"/>
            <w:u w:val="single" w:color="auto"/>
            <w:color w:val="0000EE"/>
          </w:rPr>
          <w:t>Item 3. Quantitative and Qualitative Disclosures About Market Risk</w:t>
        </w:r>
      </w:hyperlink>
      <w:r>
        <w:rPr>
          <w:rFonts w:ascii="Arial" w:cs="Arial" w:eastAsia="Arial" w:hAnsi="Arial"/>
          <w:sz w:val="18"/>
          <w:szCs w:val="18"/>
          <w:u w:val="single" w:color="auto"/>
          <w:color w:val="0000EE"/>
        </w:rPr>
        <w:t xml:space="preserve"> </w:t>
      </w:r>
      <w:hyperlink w:anchor="page27">
        <w:r>
          <w:rPr>
            <w:rFonts w:ascii="Arial" w:cs="Arial" w:eastAsia="Arial" w:hAnsi="Arial"/>
            <w:sz w:val="18"/>
            <w:szCs w:val="18"/>
            <w:u w:val="single" w:color="auto"/>
            <w:color w:val="0000EE"/>
          </w:rPr>
          <w:t>Item 4. Controls and Procedures</w:t>
        </w:r>
      </w:hyperlink>
    </w:p>
    <w:p>
      <w:pPr>
        <w:spacing w:after="0" w:line="2" w:lineRule="exact"/>
        <w:rPr>
          <w:rFonts w:ascii="Arial" w:cs="Arial" w:eastAsia="Arial" w:hAnsi="Arial"/>
          <w:sz w:val="18"/>
          <w:szCs w:val="18"/>
          <w:u w:val="single" w:color="auto"/>
          <w:color w:val="0000EE"/>
        </w:rPr>
      </w:pPr>
    </w:p>
    <w:p>
      <w:pPr>
        <w:ind w:left="4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PART II - OTHER INFORMATION</w:t>
        </w:r>
      </w:hyperlink>
    </w:p>
    <w:p>
      <w:pPr>
        <w:spacing w:after="0" w:line="198" w:lineRule="exact"/>
        <w:rPr>
          <w:rFonts w:ascii="Arial" w:cs="Arial" w:eastAsia="Arial" w:hAnsi="Arial"/>
          <w:sz w:val="18"/>
          <w:szCs w:val="18"/>
          <w:u w:val="single" w:color="auto"/>
          <w:color w:val="0000EE"/>
        </w:rPr>
      </w:pPr>
    </w:p>
    <w:p>
      <w:pPr>
        <w:ind w:left="40"/>
        <w:spacing w:after="0"/>
        <w:tabs>
          <w:tab w:leader="none" w:pos="780" w:val="left"/>
        </w:tabs>
        <w:rPr>
          <w:rFonts w:ascii="Arial" w:cs="Arial" w:eastAsia="Arial" w:hAnsi="Arial"/>
          <w:sz w:val="16"/>
          <w:szCs w:val="16"/>
          <w:u w:val="single" w:color="auto"/>
          <w:color w:val="0000EE"/>
        </w:rPr>
      </w:pPr>
      <w:hyperlink w:anchor="page27">
        <w:r>
          <w:rPr>
            <w:rFonts w:ascii="Arial" w:cs="Arial" w:eastAsia="Arial" w:hAnsi="Arial"/>
            <w:sz w:val="18"/>
            <w:szCs w:val="18"/>
            <w:u w:val="single" w:color="auto"/>
            <w:color w:val="0000EE"/>
          </w:rPr>
          <w:t>Item 1.</w:t>
        </w:r>
      </w:hyperlink>
      <w:r>
        <w:rPr>
          <w:rFonts w:ascii="Arial" w:cs="Arial" w:eastAsia="Arial" w:hAnsi="Arial"/>
          <w:sz w:val="18"/>
          <w:szCs w:val="18"/>
          <w:u w:val="single" w:color="auto"/>
          <w:color w:val="0000EE"/>
        </w:rPr>
        <w:tab/>
      </w:r>
      <w:hyperlink w:anchor="page27">
        <w:r>
          <w:rPr>
            <w:rFonts w:ascii="Arial" w:cs="Arial" w:eastAsia="Arial" w:hAnsi="Arial"/>
            <w:sz w:val="16"/>
            <w:szCs w:val="16"/>
            <w:u w:val="single" w:color="auto"/>
            <w:color w:val="0000EE"/>
          </w:rPr>
          <w:t>Legal Proceedings</w:t>
        </w:r>
      </w:hyperlink>
    </w:p>
    <w:p>
      <w:pPr>
        <w:spacing w:after="0" w:line="198" w:lineRule="exact"/>
        <w:rPr>
          <w:sz w:val="20"/>
          <w:szCs w:val="20"/>
          <w:color w:val="auto"/>
        </w:rPr>
      </w:pPr>
    </w:p>
    <w:p>
      <w:pPr>
        <w:ind w:left="40"/>
        <w:spacing w:after="0"/>
        <w:rPr>
          <w:rFonts w:ascii="Arial" w:cs="Arial" w:eastAsia="Arial" w:hAnsi="Arial"/>
          <w:sz w:val="18"/>
          <w:szCs w:val="18"/>
          <w:color w:val="0000EE"/>
        </w:rPr>
      </w:pPr>
      <w:hyperlink w:anchor="page27">
        <w:r>
          <w:rPr>
            <w:rFonts w:ascii="Arial" w:cs="Arial" w:eastAsia="Arial" w:hAnsi="Arial"/>
            <w:sz w:val="18"/>
            <w:szCs w:val="18"/>
            <w:u w:val="single" w:color="auto"/>
            <w:color w:val="0000EE"/>
          </w:rPr>
          <w:t>Item 1A</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Risk Factors</w:t>
        </w:r>
      </w:hyperlink>
    </w:p>
    <w:p>
      <w:pPr>
        <w:spacing w:after="0" w:line="198" w:lineRule="exact"/>
        <w:rPr>
          <w:sz w:val="20"/>
          <w:szCs w:val="20"/>
          <w:color w:val="auto"/>
        </w:rPr>
      </w:pPr>
    </w:p>
    <w:p>
      <w:pPr>
        <w:ind w:left="40" w:right="2580"/>
        <w:spacing w:after="0" w:line="469" w:lineRule="auto"/>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Item 2. Unregistered Sales of Equity Securities and Use of Proceeds</w:t>
        </w:r>
      </w:hyperlink>
      <w:r>
        <w:rPr>
          <w:rFonts w:ascii="Arial" w:cs="Arial" w:eastAsia="Arial" w:hAnsi="Arial"/>
          <w:sz w:val="18"/>
          <w:szCs w:val="18"/>
          <w:u w:val="single" w:color="auto"/>
          <w:color w:val="0000EE"/>
        </w:rPr>
        <w:t xml:space="preserve"> </w:t>
      </w:r>
      <w:hyperlink w:anchor="page28">
        <w:r>
          <w:rPr>
            <w:rFonts w:ascii="Arial" w:cs="Arial" w:eastAsia="Arial" w:hAnsi="Arial"/>
            <w:sz w:val="18"/>
            <w:szCs w:val="18"/>
            <w:u w:val="single" w:color="auto"/>
            <w:color w:val="0000EE"/>
          </w:rPr>
          <w:t>Item 3. Defaults Upon Senior Securities</w:t>
        </w:r>
      </w:hyperlink>
      <w:r>
        <w:rPr>
          <w:rFonts w:ascii="Arial" w:cs="Arial" w:eastAsia="Arial" w:hAnsi="Arial"/>
          <w:sz w:val="18"/>
          <w:szCs w:val="18"/>
          <w:u w:val="single" w:color="auto"/>
          <w:color w:val="0000EE"/>
        </w:rPr>
        <w:t xml:space="preserve"> </w:t>
      </w:r>
      <w:hyperlink w:anchor="page28">
        <w:r>
          <w:rPr>
            <w:rFonts w:ascii="Arial" w:cs="Arial" w:eastAsia="Arial" w:hAnsi="Arial"/>
            <w:sz w:val="18"/>
            <w:szCs w:val="18"/>
            <w:u w:val="single" w:color="auto"/>
            <w:color w:val="0000EE"/>
          </w:rPr>
          <w:t>Item 4. Mine Safety Disclosures</w:t>
        </w:r>
      </w:hyperlink>
    </w:p>
    <w:p>
      <w:pPr>
        <w:spacing w:after="0" w:line="2" w:lineRule="exact"/>
        <w:rPr>
          <w:rFonts w:ascii="Arial" w:cs="Arial" w:eastAsia="Arial" w:hAnsi="Arial"/>
          <w:sz w:val="18"/>
          <w:szCs w:val="18"/>
          <w:u w:val="single" w:color="auto"/>
          <w:color w:val="0000EE"/>
        </w:rPr>
      </w:pPr>
    </w:p>
    <w:p>
      <w:pPr>
        <w:ind w:left="40"/>
        <w:spacing w:after="0"/>
        <w:tabs>
          <w:tab w:leader="none" w:pos="780" w:val="left"/>
        </w:tabs>
        <w:rPr>
          <w:rFonts w:ascii="Arial" w:cs="Arial" w:eastAsia="Arial" w:hAnsi="Arial"/>
          <w:sz w:val="16"/>
          <w:szCs w:val="16"/>
          <w:u w:val="single" w:color="auto"/>
          <w:color w:val="0000EE"/>
        </w:rPr>
      </w:pPr>
      <w:hyperlink w:anchor="page28">
        <w:r>
          <w:rPr>
            <w:rFonts w:ascii="Arial" w:cs="Arial" w:eastAsia="Arial" w:hAnsi="Arial"/>
            <w:sz w:val="18"/>
            <w:szCs w:val="18"/>
            <w:u w:val="single" w:color="auto"/>
            <w:color w:val="0000EE"/>
          </w:rPr>
          <w:t>Item 5.</w:t>
        </w:r>
      </w:hyperlink>
      <w:r>
        <w:rPr>
          <w:rFonts w:ascii="Arial" w:cs="Arial" w:eastAsia="Arial" w:hAnsi="Arial"/>
          <w:sz w:val="18"/>
          <w:szCs w:val="18"/>
          <w:u w:val="single" w:color="auto"/>
          <w:color w:val="0000EE"/>
        </w:rPr>
        <w:tab/>
      </w:r>
      <w:hyperlink w:anchor="page28">
        <w:r>
          <w:rPr>
            <w:rFonts w:ascii="Arial" w:cs="Arial" w:eastAsia="Arial" w:hAnsi="Arial"/>
            <w:sz w:val="16"/>
            <w:szCs w:val="16"/>
            <w:u w:val="single" w:color="auto"/>
            <w:color w:val="0000EE"/>
          </w:rPr>
          <w:t>Other Information</w:t>
        </w:r>
      </w:hyperlink>
    </w:p>
    <w:p>
      <w:pPr>
        <w:spacing w:after="0" w:line="198" w:lineRule="exact"/>
        <w:rPr>
          <w:sz w:val="20"/>
          <w:szCs w:val="20"/>
          <w:color w:val="auto"/>
        </w:rPr>
      </w:pPr>
    </w:p>
    <w:p>
      <w:pPr>
        <w:ind w:left="40"/>
        <w:spacing w:after="0"/>
        <w:tabs>
          <w:tab w:leader="none" w:pos="780" w:val="left"/>
        </w:tabs>
        <w:rPr>
          <w:rFonts w:ascii="Arial" w:cs="Arial" w:eastAsia="Arial" w:hAnsi="Arial"/>
          <w:sz w:val="17"/>
          <w:szCs w:val="17"/>
          <w:u w:val="single" w:color="auto"/>
          <w:color w:val="0000EE"/>
        </w:rPr>
      </w:pPr>
      <w:hyperlink w:anchor="page29">
        <w:r>
          <w:rPr>
            <w:rFonts w:ascii="Arial" w:cs="Arial" w:eastAsia="Arial" w:hAnsi="Arial"/>
            <w:sz w:val="18"/>
            <w:szCs w:val="18"/>
            <w:u w:val="single" w:color="auto"/>
            <w:color w:val="0000EE"/>
          </w:rPr>
          <w:t>Item 6.</w:t>
        </w:r>
      </w:hyperlink>
      <w:r>
        <w:rPr>
          <w:rFonts w:ascii="Arial" w:cs="Arial" w:eastAsia="Arial" w:hAnsi="Arial"/>
          <w:sz w:val="18"/>
          <w:szCs w:val="18"/>
          <w:u w:val="single" w:color="auto"/>
          <w:color w:val="0000EE"/>
        </w:rPr>
        <w:tab/>
      </w:r>
      <w:hyperlink w:anchor="page29">
        <w:r>
          <w:rPr>
            <w:rFonts w:ascii="Arial" w:cs="Arial" w:eastAsia="Arial" w:hAnsi="Arial"/>
            <w:sz w:val="17"/>
            <w:szCs w:val="17"/>
            <w:u w:val="single" w:color="auto"/>
            <w:color w:val="0000EE"/>
          </w:rPr>
          <w:t>Exhibits</w:t>
        </w:r>
      </w:hyperlink>
    </w:p>
    <w:p>
      <w:pPr>
        <w:spacing w:after="0" w:line="198" w:lineRule="exact"/>
        <w:rPr>
          <w:sz w:val="20"/>
          <w:szCs w:val="20"/>
          <w:color w:val="auto"/>
        </w:rPr>
      </w:pPr>
    </w:p>
    <w:p>
      <w:pPr>
        <w:ind w:left="80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Signatures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6350</wp:posOffset>
            </wp:positionV>
            <wp:extent cx="4457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78"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3</w:t>
      </w:r>
    </w:p>
    <w:p>
      <w:pPr>
        <w:spacing w:after="0" w:line="198"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3</w:t>
      </w:r>
    </w:p>
    <w:p>
      <w:pPr>
        <w:spacing w:after="0" w:line="198"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3</w:t>
      </w:r>
    </w:p>
    <w:p>
      <w:pPr>
        <w:spacing w:after="0" w:line="198"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4</w:t>
      </w:r>
    </w:p>
    <w:p>
      <w:pPr>
        <w:spacing w:after="0" w:line="198"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5</w:t>
      </w:r>
    </w:p>
    <w:p>
      <w:pPr>
        <w:spacing w:after="0" w:line="198"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6</w:t>
      </w:r>
    </w:p>
    <w:p>
      <w:pPr>
        <w:spacing w:after="0" w:line="198"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7</w:t>
      </w:r>
    </w:p>
    <w:p>
      <w:pPr>
        <w:spacing w:after="0" w:line="198"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20</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27</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27</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27</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27</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27</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28</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28</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28</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28</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29</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30</w:t>
      </w:r>
    </w:p>
    <w:p>
      <w:pPr>
        <w:sectPr>
          <w:pgSz w:w="11900" w:h="16838" w:orient="portrait"/>
          <w:cols w:equalWidth="0" w:num="2">
            <w:col w:w="7740" w:space="720"/>
            <w:col w:w="559"/>
          </w:cols>
          <w:pgMar w:left="1440" w:top="125" w:right="1440" w:bottom="1440" w:gutter="0" w:footer="0" w:header="0"/>
        </w:sectPr>
      </w:pPr>
    </w:p>
    <w:bookmarkStart w:id="2" w:name="page3"/>
    <w:bookmarkEnd w:id="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right="2979" w:firstLine="2918"/>
        <w:spacing w:after="0" w:line="391" w:lineRule="auto"/>
        <w:rPr>
          <w:sz w:val="20"/>
          <w:szCs w:val="20"/>
          <w:color w:val="auto"/>
        </w:rPr>
      </w:pPr>
      <w:r>
        <w:rPr>
          <w:rFonts w:ascii="Arial" w:cs="Arial" w:eastAsia="Arial" w:hAnsi="Arial"/>
          <w:sz w:val="18"/>
          <w:szCs w:val="18"/>
          <w:b w:val="1"/>
          <w:bCs w:val="1"/>
          <w:color w:val="auto"/>
        </w:rPr>
        <w:t>PART 1. FINANCIAL INFORMATION ITEM 1. FINANCIAL STATEMENTS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2020</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w w:val="93"/>
              </w:rPr>
              <w:t>December 31, 2019</w:t>
            </w:r>
          </w:p>
        </w:tc>
      </w:tr>
      <w:tr>
        <w:trPr>
          <w:trHeight w:val="142"/>
        </w:trPr>
        <w:tc>
          <w:tcPr>
            <w:tcW w:w="6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(Note 1)</w:t>
            </w:r>
          </w:p>
        </w:tc>
        <w:tc>
          <w:tcPr>
            <w:tcW w:w="20" w:type="dxa"/>
            <w:vAlign w:val="bottom"/>
          </w:tcPr>
          <w:p>
            <w:pPr>
              <w:spacing w:after="0"/>
              <w:rPr>
                <w:sz w:val="12"/>
                <w:szCs w:val="12"/>
                <w:color w:val="auto"/>
              </w:rPr>
            </w:pPr>
          </w:p>
        </w:tc>
      </w:tr>
      <w:tr>
        <w:trPr>
          <w:trHeight w:val="148"/>
        </w:trPr>
        <w:tc>
          <w:tcPr>
            <w:tcW w:w="6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6280" w:type="dxa"/>
            <w:vAlign w:val="bottom"/>
          </w:tcPr>
          <w:p>
            <w:pPr>
              <w:spacing w:after="0" w:line="149" w:lineRule="exact"/>
              <w:rPr>
                <w:sz w:val="20"/>
                <w:szCs w:val="20"/>
                <w:color w:val="auto"/>
              </w:rPr>
            </w:pPr>
            <w:r>
              <w:rPr>
                <w:rFonts w:ascii="Arial" w:cs="Arial" w:eastAsia="Arial" w:hAnsi="Arial"/>
                <w:sz w:val="14"/>
                <w:szCs w:val="14"/>
                <w:b w:val="1"/>
                <w:bCs w:val="1"/>
                <w:color w:val="auto"/>
              </w:rPr>
              <w:t>Current Assets:</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6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4,246</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4,641</w:t>
            </w:r>
          </w:p>
        </w:tc>
        <w:tc>
          <w:tcPr>
            <w:tcW w:w="20" w:type="dxa"/>
            <w:vAlign w:val="bottom"/>
          </w:tcPr>
          <w:p>
            <w:pPr>
              <w:spacing w:after="0"/>
              <w:rPr>
                <w:sz w:val="12"/>
                <w:szCs w:val="12"/>
                <w:color w:val="auto"/>
              </w:rPr>
            </w:pPr>
          </w:p>
        </w:tc>
      </w:tr>
      <w:tr>
        <w:trPr>
          <w:trHeight w:val="148"/>
        </w:trPr>
        <w:tc>
          <w:tcPr>
            <w:tcW w:w="6280" w:type="dxa"/>
            <w:vAlign w:val="bottom"/>
          </w:tcPr>
          <w:p>
            <w:pPr>
              <w:ind w:left="120"/>
              <w:spacing w:after="0" w:line="149" w:lineRule="exact"/>
              <w:rPr>
                <w:sz w:val="20"/>
                <w:szCs w:val="20"/>
                <w:color w:val="auto"/>
              </w:rPr>
            </w:pPr>
            <w:r>
              <w:rPr>
                <w:rFonts w:ascii="Arial" w:cs="Arial" w:eastAsia="Arial" w:hAnsi="Arial"/>
                <w:sz w:val="14"/>
                <w:szCs w:val="14"/>
                <w:color w:val="auto"/>
              </w:rPr>
              <w:t>Accounts receivable, net</w:t>
            </w:r>
          </w:p>
        </w:tc>
        <w:tc>
          <w:tcPr>
            <w:tcW w:w="1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8,843</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10,622</w:t>
            </w:r>
          </w:p>
        </w:tc>
        <w:tc>
          <w:tcPr>
            <w:tcW w:w="20" w:type="dxa"/>
            <w:vAlign w:val="bottom"/>
          </w:tcPr>
          <w:p>
            <w:pPr>
              <w:spacing w:after="0"/>
              <w:rPr>
                <w:sz w:val="12"/>
                <w:szCs w:val="12"/>
                <w:color w:val="auto"/>
              </w:rPr>
            </w:pPr>
          </w:p>
        </w:tc>
      </w:tr>
      <w:tr>
        <w:trPr>
          <w:trHeight w:val="149"/>
        </w:trPr>
        <w:tc>
          <w:tcPr>
            <w:tcW w:w="6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Inventory</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788</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899</w:t>
            </w:r>
          </w:p>
        </w:tc>
        <w:tc>
          <w:tcPr>
            <w:tcW w:w="20" w:type="dxa"/>
            <w:vAlign w:val="bottom"/>
          </w:tcPr>
          <w:p>
            <w:pPr>
              <w:spacing w:after="0"/>
              <w:rPr>
                <w:sz w:val="12"/>
                <w:szCs w:val="12"/>
                <w:color w:val="auto"/>
              </w:rPr>
            </w:pPr>
          </w:p>
        </w:tc>
      </w:tr>
      <w:tr>
        <w:trPr>
          <w:trHeight w:val="148"/>
        </w:trPr>
        <w:tc>
          <w:tcPr>
            <w:tcW w:w="628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1,433</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1,404</w:t>
            </w:r>
          </w:p>
        </w:tc>
        <w:tc>
          <w:tcPr>
            <w:tcW w:w="20" w:type="dxa"/>
            <w:vAlign w:val="bottom"/>
          </w:tcPr>
          <w:p>
            <w:pPr>
              <w:spacing w:after="0"/>
              <w:rPr>
                <w:sz w:val="12"/>
                <w:szCs w:val="12"/>
                <w:color w:val="auto"/>
              </w:rPr>
            </w:pPr>
          </w:p>
        </w:tc>
      </w:tr>
      <w:tr>
        <w:trPr>
          <w:trHeight w:val="142"/>
        </w:trPr>
        <w:tc>
          <w:tcPr>
            <w:tcW w:w="6280" w:type="dxa"/>
            <w:vAlign w:val="bottom"/>
            <w:shd w:val="clear" w:color="auto" w:fill="CCEEFF"/>
          </w:tcPr>
          <w:p>
            <w:pPr>
              <w:ind w:left="220"/>
              <w:spacing w:after="0" w:line="142" w:lineRule="exact"/>
              <w:rPr>
                <w:sz w:val="20"/>
                <w:szCs w:val="20"/>
                <w:color w:val="auto"/>
              </w:rPr>
            </w:pPr>
            <w:r>
              <w:rPr>
                <w:rFonts w:ascii="Arial" w:cs="Arial" w:eastAsia="Arial" w:hAnsi="Arial"/>
                <w:sz w:val="14"/>
                <w:szCs w:val="14"/>
                <w:color w:val="auto"/>
              </w:rPr>
              <w:t>Total current assets</w:t>
            </w:r>
          </w:p>
        </w:tc>
        <w:tc>
          <w:tcPr>
            <w:tcW w:w="10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15,310</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17,566</w:t>
            </w:r>
          </w:p>
        </w:tc>
        <w:tc>
          <w:tcPr>
            <w:tcW w:w="20" w:type="dxa"/>
            <w:vAlign w:val="bottom"/>
          </w:tcPr>
          <w:p>
            <w:pPr>
              <w:spacing w:after="0"/>
              <w:rPr>
                <w:sz w:val="12"/>
                <w:szCs w:val="12"/>
                <w:color w:val="auto"/>
              </w:rPr>
            </w:pPr>
          </w:p>
        </w:tc>
      </w:tr>
      <w:tr>
        <w:trPr>
          <w:trHeight w:val="142"/>
        </w:trPr>
        <w:tc>
          <w:tcPr>
            <w:tcW w:w="6280" w:type="dxa"/>
            <w:vAlign w:val="bottom"/>
          </w:tcPr>
          <w:p>
            <w:pPr>
              <w:ind w:left="120"/>
              <w:spacing w:after="0" w:line="142" w:lineRule="exact"/>
              <w:rPr>
                <w:sz w:val="20"/>
                <w:szCs w:val="20"/>
                <w:color w:val="auto"/>
              </w:rPr>
            </w:pPr>
            <w:r>
              <w:rPr>
                <w:rFonts w:ascii="Arial" w:cs="Arial" w:eastAsia="Arial" w:hAnsi="Arial"/>
                <w:sz w:val="14"/>
                <w:szCs w:val="14"/>
                <w:color w:val="auto"/>
              </w:rPr>
              <w:t>Property and equipment, net</w:t>
            </w:r>
          </w:p>
        </w:tc>
        <w:tc>
          <w:tcPr>
            <w:tcW w:w="10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Arial" w:cs="Arial" w:eastAsia="Arial" w:hAnsi="Arial"/>
                <w:sz w:val="14"/>
                <w:szCs w:val="14"/>
                <w:color w:val="auto"/>
              </w:rPr>
              <w:t>4,107</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Arial" w:cs="Arial" w:eastAsia="Arial" w:hAnsi="Arial"/>
                <w:sz w:val="14"/>
                <w:szCs w:val="14"/>
                <w:color w:val="auto"/>
              </w:rPr>
              <w:t>3,666</w:t>
            </w:r>
          </w:p>
        </w:tc>
        <w:tc>
          <w:tcPr>
            <w:tcW w:w="20" w:type="dxa"/>
            <w:vAlign w:val="bottom"/>
          </w:tcPr>
          <w:p>
            <w:pPr>
              <w:spacing w:after="0"/>
              <w:rPr>
                <w:sz w:val="12"/>
                <w:szCs w:val="12"/>
                <w:color w:val="auto"/>
              </w:rPr>
            </w:pPr>
          </w:p>
        </w:tc>
      </w:tr>
      <w:tr>
        <w:trPr>
          <w:trHeight w:val="149"/>
        </w:trPr>
        <w:tc>
          <w:tcPr>
            <w:tcW w:w="6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Operating lease right-of-use assets</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8,913</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9,250</w:t>
            </w:r>
          </w:p>
        </w:tc>
        <w:tc>
          <w:tcPr>
            <w:tcW w:w="20" w:type="dxa"/>
            <w:vAlign w:val="bottom"/>
          </w:tcPr>
          <w:p>
            <w:pPr>
              <w:spacing w:after="0"/>
              <w:rPr>
                <w:sz w:val="12"/>
                <w:szCs w:val="12"/>
                <w:color w:val="auto"/>
              </w:rPr>
            </w:pPr>
          </w:p>
        </w:tc>
      </w:tr>
      <w:tr>
        <w:trPr>
          <w:trHeight w:val="148"/>
        </w:trPr>
        <w:tc>
          <w:tcPr>
            <w:tcW w:w="6280" w:type="dxa"/>
            <w:vAlign w:val="bottom"/>
          </w:tcPr>
          <w:p>
            <w:pPr>
              <w:ind w:left="120"/>
              <w:spacing w:after="0" w:line="149" w:lineRule="exact"/>
              <w:rPr>
                <w:sz w:val="20"/>
                <w:szCs w:val="20"/>
                <w:color w:val="auto"/>
              </w:rPr>
            </w:pPr>
            <w:r>
              <w:rPr>
                <w:rFonts w:ascii="Arial" w:cs="Arial" w:eastAsia="Arial" w:hAnsi="Arial"/>
                <w:sz w:val="14"/>
                <w:szCs w:val="14"/>
                <w:color w:val="auto"/>
              </w:rPr>
              <w:t>Trademarks and other intangibles, net</w:t>
            </w:r>
          </w:p>
        </w:tc>
        <w:tc>
          <w:tcPr>
            <w:tcW w:w="1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109,955</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111,095</w:t>
            </w:r>
          </w:p>
        </w:tc>
        <w:tc>
          <w:tcPr>
            <w:tcW w:w="20" w:type="dxa"/>
            <w:vAlign w:val="bottom"/>
          </w:tcPr>
          <w:p>
            <w:pPr>
              <w:spacing w:after="0"/>
              <w:rPr>
                <w:sz w:val="12"/>
                <w:szCs w:val="12"/>
                <w:color w:val="auto"/>
              </w:rPr>
            </w:pPr>
          </w:p>
        </w:tc>
      </w:tr>
      <w:tr>
        <w:trPr>
          <w:trHeight w:val="148"/>
        </w:trPr>
        <w:tc>
          <w:tcPr>
            <w:tcW w:w="6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Restricted cash</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1,109</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1,109</w:t>
            </w:r>
          </w:p>
        </w:tc>
        <w:tc>
          <w:tcPr>
            <w:tcW w:w="20" w:type="dxa"/>
            <w:vAlign w:val="bottom"/>
          </w:tcPr>
          <w:p>
            <w:pPr>
              <w:spacing w:after="0"/>
              <w:rPr>
                <w:sz w:val="12"/>
                <w:szCs w:val="12"/>
                <w:color w:val="auto"/>
              </w:rPr>
            </w:pPr>
          </w:p>
        </w:tc>
      </w:tr>
      <w:tr>
        <w:trPr>
          <w:trHeight w:val="148"/>
        </w:trPr>
        <w:tc>
          <w:tcPr>
            <w:tcW w:w="628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Other assets</w:t>
            </w: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490</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505</w:t>
            </w:r>
          </w:p>
        </w:tc>
        <w:tc>
          <w:tcPr>
            <w:tcW w:w="20" w:type="dxa"/>
            <w:vAlign w:val="bottom"/>
          </w:tcPr>
          <w:p>
            <w:pPr>
              <w:spacing w:after="0"/>
              <w:rPr>
                <w:sz w:val="12"/>
                <w:szCs w:val="12"/>
                <w:color w:val="auto"/>
              </w:rPr>
            </w:pPr>
          </w:p>
        </w:tc>
      </w:tr>
      <w:tr>
        <w:trPr>
          <w:trHeight w:val="142"/>
        </w:trPr>
        <w:tc>
          <w:tcPr>
            <w:tcW w:w="6280" w:type="dxa"/>
            <w:vAlign w:val="bottom"/>
            <w:shd w:val="clear" w:color="auto" w:fill="CCEEFF"/>
          </w:tcPr>
          <w:p>
            <w:pPr>
              <w:ind w:left="220"/>
              <w:spacing w:after="0" w:line="142" w:lineRule="exact"/>
              <w:rPr>
                <w:sz w:val="20"/>
                <w:szCs w:val="20"/>
                <w:color w:val="auto"/>
              </w:rPr>
            </w:pPr>
            <w:r>
              <w:rPr>
                <w:rFonts w:ascii="Arial" w:cs="Arial" w:eastAsia="Arial" w:hAnsi="Arial"/>
                <w:sz w:val="14"/>
                <w:szCs w:val="14"/>
                <w:color w:val="auto"/>
              </w:rPr>
              <w:t>Total non-current assets</w:t>
            </w:r>
          </w:p>
        </w:tc>
        <w:tc>
          <w:tcPr>
            <w:tcW w:w="10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124,574</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125,625</w:t>
            </w:r>
          </w:p>
        </w:tc>
        <w:tc>
          <w:tcPr>
            <w:tcW w:w="20" w:type="dxa"/>
            <w:vAlign w:val="bottom"/>
          </w:tcPr>
          <w:p>
            <w:pPr>
              <w:spacing w:after="0"/>
              <w:rPr>
                <w:sz w:val="12"/>
                <w:szCs w:val="12"/>
                <w:color w:val="auto"/>
              </w:rPr>
            </w:pPr>
          </w:p>
        </w:tc>
      </w:tr>
      <w:tr>
        <w:trPr>
          <w:trHeight w:val="142"/>
        </w:trPr>
        <w:tc>
          <w:tcPr>
            <w:tcW w:w="6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6"/>
        </w:trPr>
        <w:tc>
          <w:tcPr>
            <w:tcW w:w="628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139,884</w:t>
            </w:r>
          </w:p>
        </w:tc>
        <w:tc>
          <w:tcPr>
            <w:tcW w:w="1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b w:val="1"/>
                <w:bCs w:val="1"/>
                <w:color w:val="auto"/>
                <w:w w:val="76"/>
              </w:rPr>
              <w:t>$</w:t>
            </w: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143,191</w:t>
            </w:r>
          </w:p>
        </w:tc>
        <w:tc>
          <w:tcPr>
            <w:tcW w:w="20" w:type="dxa"/>
            <w:vAlign w:val="bottom"/>
          </w:tcPr>
          <w:p>
            <w:pPr>
              <w:spacing w:after="0"/>
              <w:rPr>
                <w:sz w:val="13"/>
                <w:szCs w:val="13"/>
                <w:color w:val="auto"/>
              </w:rPr>
            </w:pPr>
          </w:p>
        </w:tc>
      </w:tr>
      <w:tr>
        <w:trPr>
          <w:trHeight w:val="148"/>
        </w:trPr>
        <w:tc>
          <w:tcPr>
            <w:tcW w:w="6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6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 and Equity</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6280" w:type="dxa"/>
            <w:vAlign w:val="bottom"/>
          </w:tcPr>
          <w:p>
            <w:pPr>
              <w:spacing w:after="0" w:line="149" w:lineRule="exact"/>
              <w:rPr>
                <w:sz w:val="20"/>
                <w:szCs w:val="20"/>
                <w:color w:val="auto"/>
              </w:rPr>
            </w:pPr>
            <w:r>
              <w:rPr>
                <w:rFonts w:ascii="Arial" w:cs="Arial" w:eastAsia="Arial" w:hAnsi="Arial"/>
                <w:sz w:val="14"/>
                <w:szCs w:val="14"/>
                <w:b w:val="1"/>
                <w:bCs w:val="1"/>
                <w:color w:val="auto"/>
              </w:rPr>
              <w:t>Current Liabilities:</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6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Accounts payable, accrued expenses and other current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3,747</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4,391</w:t>
            </w:r>
          </w:p>
        </w:tc>
        <w:tc>
          <w:tcPr>
            <w:tcW w:w="20" w:type="dxa"/>
            <w:vAlign w:val="bottom"/>
          </w:tcPr>
          <w:p>
            <w:pPr>
              <w:spacing w:after="0"/>
              <w:rPr>
                <w:sz w:val="12"/>
                <w:szCs w:val="12"/>
                <w:color w:val="auto"/>
              </w:rPr>
            </w:pPr>
          </w:p>
        </w:tc>
      </w:tr>
      <w:tr>
        <w:trPr>
          <w:trHeight w:val="149"/>
        </w:trPr>
        <w:tc>
          <w:tcPr>
            <w:tcW w:w="6280" w:type="dxa"/>
            <w:vAlign w:val="bottom"/>
          </w:tcPr>
          <w:p>
            <w:pPr>
              <w:ind w:left="120"/>
              <w:spacing w:after="0" w:line="149" w:lineRule="exact"/>
              <w:rPr>
                <w:sz w:val="20"/>
                <w:szCs w:val="20"/>
                <w:color w:val="auto"/>
              </w:rPr>
            </w:pPr>
            <w:r>
              <w:rPr>
                <w:rFonts w:ascii="Arial" w:cs="Arial" w:eastAsia="Arial" w:hAnsi="Arial"/>
                <w:sz w:val="14"/>
                <w:szCs w:val="14"/>
                <w:color w:val="auto"/>
              </w:rPr>
              <w:t>Accrued payroll</w:t>
            </w:r>
          </w:p>
        </w:tc>
        <w:tc>
          <w:tcPr>
            <w:tcW w:w="1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365</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1,444</w:t>
            </w:r>
          </w:p>
        </w:tc>
        <w:tc>
          <w:tcPr>
            <w:tcW w:w="20" w:type="dxa"/>
            <w:vAlign w:val="bottom"/>
          </w:tcPr>
          <w:p>
            <w:pPr>
              <w:spacing w:after="0"/>
              <w:rPr>
                <w:sz w:val="12"/>
                <w:szCs w:val="12"/>
                <w:color w:val="auto"/>
              </w:rPr>
            </w:pPr>
          </w:p>
        </w:tc>
      </w:tr>
      <w:tr>
        <w:trPr>
          <w:trHeight w:val="148"/>
        </w:trPr>
        <w:tc>
          <w:tcPr>
            <w:tcW w:w="6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Current portion of operating lease obligation</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1,800</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1,752</w:t>
            </w:r>
          </w:p>
        </w:tc>
        <w:tc>
          <w:tcPr>
            <w:tcW w:w="20" w:type="dxa"/>
            <w:vAlign w:val="bottom"/>
          </w:tcPr>
          <w:p>
            <w:pPr>
              <w:spacing w:after="0"/>
              <w:rPr>
                <w:sz w:val="12"/>
                <w:szCs w:val="12"/>
                <w:color w:val="auto"/>
              </w:rPr>
            </w:pPr>
          </w:p>
        </w:tc>
      </w:tr>
      <w:tr>
        <w:trPr>
          <w:trHeight w:val="148"/>
        </w:trPr>
        <w:tc>
          <w:tcPr>
            <w:tcW w:w="628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Current portion of long-term debt</w:t>
            </w: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3,375</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2,250</w:t>
            </w:r>
          </w:p>
        </w:tc>
        <w:tc>
          <w:tcPr>
            <w:tcW w:w="20" w:type="dxa"/>
            <w:vAlign w:val="bottom"/>
          </w:tcPr>
          <w:p>
            <w:pPr>
              <w:spacing w:after="0"/>
              <w:rPr>
                <w:sz w:val="12"/>
                <w:szCs w:val="12"/>
                <w:color w:val="auto"/>
              </w:rPr>
            </w:pPr>
          </w:p>
        </w:tc>
      </w:tr>
      <w:tr>
        <w:trPr>
          <w:trHeight w:val="142"/>
        </w:trPr>
        <w:tc>
          <w:tcPr>
            <w:tcW w:w="6280" w:type="dxa"/>
            <w:vAlign w:val="bottom"/>
            <w:shd w:val="clear" w:color="auto" w:fill="CCEEFF"/>
          </w:tcPr>
          <w:p>
            <w:pPr>
              <w:ind w:left="220"/>
              <w:spacing w:after="0" w:line="142" w:lineRule="exact"/>
              <w:rPr>
                <w:sz w:val="20"/>
                <w:szCs w:val="20"/>
                <w:color w:val="auto"/>
              </w:rPr>
            </w:pPr>
            <w:r>
              <w:rPr>
                <w:rFonts w:ascii="Arial" w:cs="Arial" w:eastAsia="Arial" w:hAnsi="Arial"/>
                <w:sz w:val="14"/>
                <w:szCs w:val="14"/>
                <w:color w:val="auto"/>
              </w:rPr>
              <w:t>Total current liabilities</w:t>
            </w:r>
          </w:p>
        </w:tc>
        <w:tc>
          <w:tcPr>
            <w:tcW w:w="10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9,287</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9,837</w:t>
            </w:r>
          </w:p>
        </w:tc>
        <w:tc>
          <w:tcPr>
            <w:tcW w:w="20" w:type="dxa"/>
            <w:vAlign w:val="bottom"/>
          </w:tcPr>
          <w:p>
            <w:pPr>
              <w:spacing w:after="0"/>
              <w:rPr>
                <w:sz w:val="12"/>
                <w:szCs w:val="12"/>
                <w:color w:val="auto"/>
              </w:rPr>
            </w:pPr>
          </w:p>
        </w:tc>
      </w:tr>
      <w:tr>
        <w:trPr>
          <w:trHeight w:val="142"/>
        </w:trPr>
        <w:tc>
          <w:tcPr>
            <w:tcW w:w="6280" w:type="dxa"/>
            <w:vAlign w:val="bottom"/>
          </w:tcPr>
          <w:p>
            <w:pPr>
              <w:spacing w:after="0" w:line="142" w:lineRule="exact"/>
              <w:rPr>
                <w:sz w:val="20"/>
                <w:szCs w:val="20"/>
                <w:color w:val="auto"/>
              </w:rPr>
            </w:pPr>
            <w:r>
              <w:rPr>
                <w:rFonts w:ascii="Arial" w:cs="Arial" w:eastAsia="Arial" w:hAnsi="Arial"/>
                <w:sz w:val="14"/>
                <w:szCs w:val="14"/>
                <w:b w:val="1"/>
                <w:bCs w:val="1"/>
                <w:color w:val="auto"/>
              </w:rPr>
              <w:t>Long-Term Liabilities:</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6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Long-term portion of operating lease obligation</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9,297</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9,773</w:t>
            </w:r>
          </w:p>
        </w:tc>
        <w:tc>
          <w:tcPr>
            <w:tcW w:w="20" w:type="dxa"/>
            <w:vAlign w:val="bottom"/>
          </w:tcPr>
          <w:p>
            <w:pPr>
              <w:spacing w:after="0"/>
              <w:rPr>
                <w:sz w:val="12"/>
                <w:szCs w:val="12"/>
                <w:color w:val="auto"/>
              </w:rPr>
            </w:pPr>
          </w:p>
        </w:tc>
      </w:tr>
      <w:tr>
        <w:trPr>
          <w:trHeight w:val="148"/>
        </w:trPr>
        <w:tc>
          <w:tcPr>
            <w:tcW w:w="6280" w:type="dxa"/>
            <w:vAlign w:val="bottom"/>
          </w:tcPr>
          <w:p>
            <w:pPr>
              <w:ind w:left="120"/>
              <w:spacing w:after="0" w:line="149" w:lineRule="exact"/>
              <w:rPr>
                <w:sz w:val="20"/>
                <w:szCs w:val="20"/>
                <w:color w:val="auto"/>
              </w:rPr>
            </w:pPr>
            <w:r>
              <w:rPr>
                <w:rFonts w:ascii="Arial" w:cs="Arial" w:eastAsia="Arial" w:hAnsi="Arial"/>
                <w:sz w:val="14"/>
                <w:szCs w:val="14"/>
                <w:color w:val="auto"/>
              </w:rPr>
              <w:t>Long-term debt, less current portion</w:t>
            </w:r>
          </w:p>
        </w:tc>
        <w:tc>
          <w:tcPr>
            <w:tcW w:w="1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15,471</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16,571</w:t>
            </w:r>
          </w:p>
        </w:tc>
        <w:tc>
          <w:tcPr>
            <w:tcW w:w="20" w:type="dxa"/>
            <w:vAlign w:val="bottom"/>
          </w:tcPr>
          <w:p>
            <w:pPr>
              <w:spacing w:after="0"/>
              <w:rPr>
                <w:sz w:val="12"/>
                <w:szCs w:val="12"/>
                <w:color w:val="auto"/>
              </w:rPr>
            </w:pPr>
          </w:p>
        </w:tc>
      </w:tr>
      <w:tr>
        <w:trPr>
          <w:trHeight w:val="148"/>
        </w:trPr>
        <w:tc>
          <w:tcPr>
            <w:tcW w:w="6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Contingent obligation</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w:t>
            </w:r>
          </w:p>
        </w:tc>
        <w:tc>
          <w:tcPr>
            <w:tcW w:w="20" w:type="dxa"/>
            <w:vAlign w:val="bottom"/>
          </w:tcPr>
          <w:p>
            <w:pPr>
              <w:spacing w:after="0"/>
              <w:rPr>
                <w:sz w:val="12"/>
                <w:szCs w:val="12"/>
                <w:color w:val="auto"/>
              </w:rPr>
            </w:pPr>
          </w:p>
        </w:tc>
      </w:tr>
      <w:tr>
        <w:trPr>
          <w:trHeight w:val="149"/>
        </w:trPr>
        <w:tc>
          <w:tcPr>
            <w:tcW w:w="6280" w:type="dxa"/>
            <w:vAlign w:val="bottom"/>
          </w:tcPr>
          <w:p>
            <w:pPr>
              <w:ind w:left="120"/>
              <w:spacing w:after="0" w:line="149" w:lineRule="exact"/>
              <w:rPr>
                <w:sz w:val="20"/>
                <w:szCs w:val="20"/>
                <w:color w:val="auto"/>
              </w:rPr>
            </w:pPr>
            <w:r>
              <w:rPr>
                <w:rFonts w:ascii="Arial" w:cs="Arial" w:eastAsia="Arial" w:hAnsi="Arial"/>
                <w:sz w:val="14"/>
                <w:szCs w:val="14"/>
                <w:color w:val="auto"/>
              </w:rPr>
              <w:t>Deferred tax liabilities, net</w:t>
            </w:r>
          </w:p>
        </w:tc>
        <w:tc>
          <w:tcPr>
            <w:tcW w:w="1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6,882</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7,434</w:t>
            </w:r>
          </w:p>
        </w:tc>
        <w:tc>
          <w:tcPr>
            <w:tcW w:w="20" w:type="dxa"/>
            <w:vAlign w:val="bottom"/>
          </w:tcPr>
          <w:p>
            <w:pPr>
              <w:spacing w:after="0"/>
              <w:rPr>
                <w:sz w:val="12"/>
                <w:szCs w:val="12"/>
                <w:color w:val="auto"/>
              </w:rPr>
            </w:pPr>
          </w:p>
        </w:tc>
      </w:tr>
      <w:tr>
        <w:trPr>
          <w:trHeight w:val="148"/>
        </w:trPr>
        <w:tc>
          <w:tcPr>
            <w:tcW w:w="6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long-term liabilities</w:t>
            </w:r>
          </w:p>
        </w:tc>
        <w:tc>
          <w:tcPr>
            <w:tcW w:w="10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224</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224</w:t>
            </w:r>
          </w:p>
        </w:tc>
        <w:tc>
          <w:tcPr>
            <w:tcW w:w="20" w:type="dxa"/>
            <w:vAlign w:val="bottom"/>
          </w:tcPr>
          <w:p>
            <w:pPr>
              <w:spacing w:after="0"/>
              <w:rPr>
                <w:sz w:val="12"/>
                <w:szCs w:val="12"/>
                <w:color w:val="auto"/>
              </w:rPr>
            </w:pPr>
          </w:p>
        </w:tc>
      </w:tr>
      <w:tr>
        <w:trPr>
          <w:trHeight w:val="142"/>
        </w:trPr>
        <w:tc>
          <w:tcPr>
            <w:tcW w:w="6280" w:type="dxa"/>
            <w:vAlign w:val="bottom"/>
            <w:tcBorders>
              <w:bottom w:val="single" w:sz="8" w:color="CCEEFF"/>
            </w:tcBorders>
          </w:tcPr>
          <w:p>
            <w:pPr>
              <w:ind w:left="220"/>
              <w:spacing w:after="0" w:line="142" w:lineRule="exact"/>
              <w:rPr>
                <w:sz w:val="20"/>
                <w:szCs w:val="20"/>
                <w:color w:val="auto"/>
              </w:rPr>
            </w:pPr>
            <w:r>
              <w:rPr>
                <w:rFonts w:ascii="Arial" w:cs="Arial" w:eastAsia="Arial" w:hAnsi="Arial"/>
                <w:sz w:val="14"/>
                <w:szCs w:val="14"/>
                <w:color w:val="auto"/>
              </w:rPr>
              <w:t>Total long-term liabilities</w:t>
            </w: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32,774</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34,902</w:t>
            </w:r>
          </w:p>
        </w:tc>
        <w:tc>
          <w:tcPr>
            <w:tcW w:w="20" w:type="dxa"/>
            <w:vAlign w:val="bottom"/>
          </w:tcPr>
          <w:p>
            <w:pPr>
              <w:spacing w:after="0"/>
              <w:rPr>
                <w:sz w:val="12"/>
                <w:szCs w:val="12"/>
                <w:color w:val="auto"/>
              </w:rPr>
            </w:pPr>
          </w:p>
        </w:tc>
      </w:tr>
      <w:tr>
        <w:trPr>
          <w:trHeight w:val="142"/>
        </w:trPr>
        <w:tc>
          <w:tcPr>
            <w:tcW w:w="62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Liabilities</w:t>
            </w:r>
          </w:p>
        </w:tc>
        <w:tc>
          <w:tcPr>
            <w:tcW w:w="10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42,061</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44,739</w:t>
            </w:r>
          </w:p>
        </w:tc>
        <w:tc>
          <w:tcPr>
            <w:tcW w:w="20" w:type="dxa"/>
            <w:vAlign w:val="bottom"/>
          </w:tcPr>
          <w:p>
            <w:pPr>
              <w:spacing w:after="0"/>
              <w:rPr>
                <w:sz w:val="12"/>
                <w:szCs w:val="12"/>
                <w:color w:val="auto"/>
              </w:rPr>
            </w:pPr>
          </w:p>
        </w:tc>
      </w:tr>
      <w:tr>
        <w:trPr>
          <w:trHeight w:val="142"/>
        </w:trPr>
        <w:tc>
          <w:tcPr>
            <w:tcW w:w="6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Commitments and Contingencies</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6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Equity:</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6280" w:type="dxa"/>
            <w:vAlign w:val="bottom"/>
          </w:tcPr>
          <w:p>
            <w:pPr>
              <w:ind w:left="120"/>
              <w:spacing w:after="0" w:line="149" w:lineRule="exact"/>
              <w:rPr>
                <w:sz w:val="20"/>
                <w:szCs w:val="20"/>
                <w:color w:val="auto"/>
              </w:rPr>
            </w:pPr>
            <w:r>
              <w:rPr>
                <w:rFonts w:ascii="Arial" w:cs="Arial" w:eastAsia="Arial" w:hAnsi="Arial"/>
                <w:sz w:val="14"/>
                <w:szCs w:val="14"/>
                <w:color w:val="auto"/>
              </w:rPr>
              <w:t>Preferred stock, $.001 par value, 1,000,000 shares authorized, none issued and outstanding</w:t>
            </w:r>
          </w:p>
        </w:tc>
        <w:tc>
          <w:tcPr>
            <w:tcW w:w="100" w:type="dxa"/>
            <w:vAlign w:val="bottom"/>
          </w:tcPr>
          <w:p>
            <w:pPr>
              <w:spacing w:after="0"/>
              <w:rPr>
                <w:sz w:val="12"/>
                <w:szCs w:val="12"/>
                <w:color w:val="auto"/>
              </w:rPr>
            </w:pPr>
          </w:p>
        </w:tc>
        <w:tc>
          <w:tcPr>
            <w:tcW w:w="13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30"/>
        </w:trPr>
        <w:tc>
          <w:tcPr>
            <w:tcW w:w="628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8"/>
              </w:rPr>
              <w:t>Common stock, $.001 par value, 50,000,000 shares authorized at March 31, 2020 and December 31,</w:t>
            </w: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8"/>
        </w:trPr>
        <w:tc>
          <w:tcPr>
            <w:tcW w:w="6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7"/>
              </w:rPr>
              <w:t>2019, respectively, and 19,047,561 and 18,866,417 shares issued and outstanding at March 31, 2020</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67"/>
        </w:trPr>
        <w:tc>
          <w:tcPr>
            <w:tcW w:w="6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and December 31, 2019, respectively</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20" w:type="dxa"/>
            <w:vAlign w:val="bottom"/>
          </w:tcPr>
          <w:p>
            <w:pPr>
              <w:spacing w:after="0"/>
              <w:rPr>
                <w:sz w:val="14"/>
                <w:szCs w:val="14"/>
                <w:color w:val="auto"/>
              </w:rPr>
            </w:pPr>
          </w:p>
        </w:tc>
      </w:tr>
      <w:tr>
        <w:trPr>
          <w:trHeight w:val="148"/>
        </w:trPr>
        <w:tc>
          <w:tcPr>
            <w:tcW w:w="6280" w:type="dxa"/>
            <w:vAlign w:val="bottom"/>
          </w:tcPr>
          <w:p>
            <w:pPr>
              <w:ind w:left="120"/>
              <w:spacing w:after="0" w:line="149" w:lineRule="exact"/>
              <w:rPr>
                <w:sz w:val="20"/>
                <w:szCs w:val="20"/>
                <w:color w:val="auto"/>
              </w:rPr>
            </w:pPr>
            <w:r>
              <w:rPr>
                <w:rFonts w:ascii="Arial" w:cs="Arial" w:eastAsia="Arial" w:hAnsi="Arial"/>
                <w:sz w:val="14"/>
                <w:szCs w:val="14"/>
                <w:color w:val="auto"/>
              </w:rPr>
              <w:t>Paid-in capital</w:t>
            </w:r>
          </w:p>
        </w:tc>
        <w:tc>
          <w:tcPr>
            <w:tcW w:w="1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101,945</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101,736</w:t>
            </w:r>
          </w:p>
        </w:tc>
        <w:tc>
          <w:tcPr>
            <w:tcW w:w="20" w:type="dxa"/>
            <w:vAlign w:val="bottom"/>
          </w:tcPr>
          <w:p>
            <w:pPr>
              <w:spacing w:after="0"/>
              <w:rPr>
                <w:sz w:val="12"/>
                <w:szCs w:val="12"/>
                <w:color w:val="auto"/>
              </w:rPr>
            </w:pPr>
          </w:p>
        </w:tc>
      </w:tr>
      <w:tr>
        <w:trPr>
          <w:trHeight w:val="149"/>
        </w:trPr>
        <w:tc>
          <w:tcPr>
            <w:tcW w:w="6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Accumulated deficit</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(4,464)</w:t>
            </w: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(3,659)</w:t>
            </w:r>
          </w:p>
        </w:tc>
        <w:tc>
          <w:tcPr>
            <w:tcW w:w="20" w:type="dxa"/>
            <w:vAlign w:val="bottom"/>
          </w:tcPr>
          <w:p>
            <w:pPr>
              <w:spacing w:after="0"/>
              <w:rPr>
                <w:sz w:val="12"/>
                <w:szCs w:val="12"/>
                <w:color w:val="auto"/>
              </w:rPr>
            </w:pPr>
          </w:p>
        </w:tc>
      </w:tr>
      <w:tr>
        <w:trPr>
          <w:trHeight w:val="142"/>
        </w:trPr>
        <w:tc>
          <w:tcPr>
            <w:tcW w:w="6280" w:type="dxa"/>
            <w:vAlign w:val="bottom"/>
          </w:tcPr>
          <w:p>
            <w:pPr>
              <w:ind w:left="220"/>
              <w:spacing w:after="0" w:line="142" w:lineRule="exact"/>
              <w:rPr>
                <w:sz w:val="20"/>
                <w:szCs w:val="20"/>
                <w:color w:val="auto"/>
              </w:rPr>
            </w:pPr>
            <w:r>
              <w:rPr>
                <w:rFonts w:ascii="Arial" w:cs="Arial" w:eastAsia="Arial" w:hAnsi="Arial"/>
                <w:sz w:val="14"/>
                <w:szCs w:val="14"/>
                <w:color w:val="auto"/>
              </w:rPr>
              <w:t>Total Xcel Brands, Inc. stockholders' equity</w:t>
            </w: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97,500</w:t>
            </w:r>
          </w:p>
        </w:tc>
        <w:tc>
          <w:tcPr>
            <w:tcW w:w="1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98,096</w:t>
            </w:r>
          </w:p>
        </w:tc>
        <w:tc>
          <w:tcPr>
            <w:tcW w:w="20" w:type="dxa"/>
            <w:vAlign w:val="bottom"/>
          </w:tcPr>
          <w:p>
            <w:pPr>
              <w:spacing w:after="0"/>
              <w:rPr>
                <w:sz w:val="12"/>
                <w:szCs w:val="12"/>
                <w:color w:val="auto"/>
              </w:rPr>
            </w:pPr>
          </w:p>
        </w:tc>
      </w:tr>
      <w:tr>
        <w:trPr>
          <w:trHeight w:val="148"/>
        </w:trPr>
        <w:tc>
          <w:tcPr>
            <w:tcW w:w="6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Noncontrolling interest</w:t>
            </w:r>
          </w:p>
        </w:tc>
        <w:tc>
          <w:tcPr>
            <w:tcW w:w="10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323</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356</w:t>
            </w:r>
          </w:p>
        </w:tc>
        <w:tc>
          <w:tcPr>
            <w:tcW w:w="20" w:type="dxa"/>
            <w:vAlign w:val="bottom"/>
          </w:tcPr>
          <w:p>
            <w:pPr>
              <w:spacing w:after="0"/>
              <w:rPr>
                <w:sz w:val="12"/>
                <w:szCs w:val="12"/>
                <w:color w:val="auto"/>
              </w:rPr>
            </w:pPr>
          </w:p>
        </w:tc>
      </w:tr>
      <w:tr>
        <w:trPr>
          <w:trHeight w:val="142"/>
        </w:trPr>
        <w:tc>
          <w:tcPr>
            <w:tcW w:w="62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Total Equity</w:t>
            </w: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97,823</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98,452</w:t>
            </w:r>
          </w:p>
        </w:tc>
        <w:tc>
          <w:tcPr>
            <w:tcW w:w="20" w:type="dxa"/>
            <w:vAlign w:val="bottom"/>
          </w:tcPr>
          <w:p>
            <w:pPr>
              <w:spacing w:after="0"/>
              <w:rPr>
                <w:sz w:val="12"/>
                <w:szCs w:val="12"/>
                <w:color w:val="auto"/>
              </w:rPr>
            </w:pPr>
          </w:p>
        </w:tc>
      </w:tr>
      <w:tr>
        <w:trPr>
          <w:trHeight w:val="142"/>
        </w:trPr>
        <w:tc>
          <w:tcPr>
            <w:tcW w:w="6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55"/>
        </w:trPr>
        <w:tc>
          <w:tcPr>
            <w:tcW w:w="6280" w:type="dxa"/>
            <w:vAlign w:val="bottom"/>
          </w:tcPr>
          <w:p>
            <w:pPr>
              <w:spacing w:after="0" w:line="149" w:lineRule="exact"/>
              <w:rPr>
                <w:sz w:val="20"/>
                <w:szCs w:val="20"/>
                <w:color w:val="auto"/>
              </w:rPr>
            </w:pPr>
            <w:r>
              <w:rPr>
                <w:rFonts w:ascii="Arial" w:cs="Arial" w:eastAsia="Arial" w:hAnsi="Arial"/>
                <w:sz w:val="14"/>
                <w:szCs w:val="14"/>
                <w:b w:val="1"/>
                <w:bCs w:val="1"/>
                <w:color w:val="auto"/>
              </w:rPr>
              <w:t>Total Liabilities and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139,884</w:t>
            </w:r>
          </w:p>
        </w:tc>
        <w:tc>
          <w:tcPr>
            <w:tcW w:w="180" w:type="dxa"/>
            <w:vAlign w:val="bottom"/>
          </w:tcPr>
          <w:p>
            <w:pPr>
              <w:spacing w:after="0"/>
              <w:rPr>
                <w:sz w:val="13"/>
                <w:szCs w:val="13"/>
                <w:color w:val="auto"/>
              </w:rPr>
            </w:pPr>
          </w:p>
        </w:tc>
        <w:tc>
          <w:tcPr>
            <w:tcW w:w="220" w:type="dxa"/>
            <w:vAlign w:val="bottom"/>
            <w:tcBorders>
              <w:bottom w:val="single" w:sz="8" w:color="auto"/>
            </w:tcBorders>
          </w:tcPr>
          <w:p>
            <w:pPr>
              <w:jc w:val="right"/>
              <w:ind w:right="68"/>
              <w:spacing w:after="0" w:line="149" w:lineRule="exact"/>
              <w:rPr>
                <w:sz w:val="20"/>
                <w:szCs w:val="20"/>
                <w:color w:val="auto"/>
              </w:rPr>
            </w:pPr>
            <w:r>
              <w:rPr>
                <w:rFonts w:ascii="Arial" w:cs="Arial" w:eastAsia="Arial" w:hAnsi="Arial"/>
                <w:sz w:val="14"/>
                <w:szCs w:val="14"/>
                <w:b w:val="1"/>
                <w:bCs w:val="1"/>
                <w:color w:val="auto"/>
                <w:w w:val="76"/>
              </w:rPr>
              <w:t>$</w:t>
            </w: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143,191</w:t>
            </w:r>
          </w:p>
        </w:tc>
        <w:tc>
          <w:tcPr>
            <w:tcW w:w="20" w:type="dxa"/>
            <w:vAlign w:val="bottom"/>
          </w:tcPr>
          <w:p>
            <w:pPr>
              <w:spacing w:after="0"/>
              <w:rPr>
                <w:sz w:val="13"/>
                <w:szCs w:val="13"/>
                <w:color w:val="auto"/>
              </w:rPr>
            </w:pPr>
          </w:p>
        </w:tc>
      </w:tr>
    </w:tbl>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 w:name="page4"/>
    <w:bookmarkEnd w:id="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Xcel Brands, Inc. and Subsidiaries Unaudited Condensed Consolidated Statements of Operations (in thousands, except share and per share data)</w:t>
      </w:r>
    </w:p>
    <w:p>
      <w:pPr>
        <w:spacing w:after="0" w:line="185" w:lineRule="exact"/>
        <w:rPr>
          <w:sz w:val="20"/>
          <w:szCs w:val="20"/>
          <w:color w:val="auto"/>
        </w:rPr>
      </w:pPr>
    </w:p>
    <w:p>
      <w:pPr>
        <w:jc w:val="center"/>
        <w:ind w:left="6360"/>
        <w:spacing w:after="0"/>
        <w:rPr>
          <w:sz w:val="20"/>
          <w:szCs w:val="20"/>
          <w:color w:val="auto"/>
        </w:rPr>
      </w:pPr>
      <w:r>
        <w:rPr>
          <w:rFonts w:ascii="Arial" w:cs="Arial" w:eastAsia="Arial" w:hAnsi="Arial"/>
          <w:sz w:val="14"/>
          <w:szCs w:val="14"/>
          <w:b w:val="1"/>
          <w:bCs w:val="1"/>
          <w:color w:val="auto"/>
        </w:rPr>
        <w:t>For the Three Months Ended</w:t>
      </w:r>
    </w:p>
    <w:p>
      <w:pPr>
        <w:jc w:val="center"/>
        <w:ind w:left="63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1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00"/>
              <w:spacing w:after="0"/>
              <w:rPr>
                <w:sz w:val="20"/>
                <w:szCs w:val="20"/>
                <w:color w:val="auto"/>
              </w:rPr>
            </w:pPr>
            <w:r>
              <w:rPr>
                <w:rFonts w:ascii="Arial" w:cs="Arial" w:eastAsia="Arial" w:hAnsi="Arial"/>
                <w:sz w:val="18"/>
                <w:szCs w:val="18"/>
                <w:color w:val="auto"/>
              </w:rPr>
              <w:t>Net licensing revenue</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5,641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7,863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sales</w:t>
            </w: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3,886</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Net revenue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10,301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Cost of goods sold (sales)</w:t>
            </w: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7,127</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8,469</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Salaries, benefits and employment taxes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00"/>
              <w:spacing w:after="0"/>
              <w:rPr>
                <w:sz w:val="20"/>
                <w:szCs w:val="20"/>
                <w:color w:val="auto"/>
              </w:rPr>
            </w:pPr>
            <w:r>
              <w:rPr>
                <w:rFonts w:ascii="Arial" w:cs="Arial" w:eastAsia="Arial" w:hAnsi="Arial"/>
                <w:sz w:val="18"/>
                <w:szCs w:val="18"/>
                <w:color w:val="auto"/>
              </w:rPr>
              <w:t>Other design and marketing costs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selling, general and administrative expenses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0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 operating costs and expenses</w:t>
            </w:r>
          </w:p>
        </w:tc>
        <w:tc>
          <w:tcPr>
            <w:tcW w:w="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8,223</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7,788</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(loss) income</w:t>
            </w:r>
          </w:p>
        </w:tc>
        <w:tc>
          <w:tcPr>
            <w:tcW w:w="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b w:val="1"/>
                <w:bCs w:val="1"/>
                <w:color w:val="auto"/>
              </w:rPr>
              <w:t>Interest and finance expense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 - term debt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00"/>
              <w:spacing w:after="0"/>
              <w:rPr>
                <w:sz w:val="20"/>
                <w:szCs w:val="20"/>
                <w:color w:val="auto"/>
              </w:rPr>
            </w:pPr>
            <w:r>
              <w:rPr>
                <w:rFonts w:ascii="Arial" w:cs="Arial" w:eastAsia="Arial" w:hAnsi="Arial"/>
                <w:sz w:val="18"/>
                <w:szCs w:val="18"/>
                <w:color w:val="auto"/>
              </w:rPr>
              <w:t>Other interest and finance charges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Loss on extinguishment of debt</w:t>
            </w: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 interest and finance expense</w:t>
            </w:r>
          </w:p>
        </w:tc>
        <w:tc>
          <w:tcPr>
            <w:tcW w:w="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b w:val="1"/>
                <w:bCs w:val="1"/>
                <w:color w:val="auto"/>
              </w:rPr>
              <w:t>(Loss) income before income taxes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(benefit) provision</w:t>
            </w:r>
          </w:p>
        </w:tc>
        <w:tc>
          <w:tcPr>
            <w:tcW w:w="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b w:val="1"/>
                <w:bCs w:val="1"/>
                <w:color w:val="auto"/>
              </w:rPr>
              <w:t>Net (loss) income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(838)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127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Less: Net loss attributable to noncontrolling interest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 income attributable to Xcel Brands, Inc. stockholders</w:t>
            </w:r>
          </w:p>
        </w:tc>
        <w:tc>
          <w:tcPr>
            <w:tcW w:w="3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(805)</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w w:val="95"/>
              </w:rPr>
              <w:t>(Loss) earnings per share attributable to Xcel Brands, Inc. common stockholders: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 net (loss) income per share:</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top w:val="single" w:sz="8" w:color="CCEEFF"/>
              <w:bottom w:val="single" w:sz="8" w:color="CCEEFF"/>
            </w:tcBorders>
          </w:tcPr>
          <w:p>
            <w:pPr>
              <w:ind w:left="100"/>
              <w:spacing w:after="0" w:line="203" w:lineRule="exact"/>
              <w:rPr>
                <w:sz w:val="20"/>
                <w:szCs w:val="20"/>
                <w:color w:val="auto"/>
              </w:rPr>
            </w:pPr>
            <w:r>
              <w:rPr>
                <w:rFonts w:ascii="Arial" w:cs="Arial" w:eastAsia="Arial" w:hAnsi="Arial"/>
                <w:sz w:val="18"/>
                <w:szCs w:val="18"/>
                <w:color w:val="auto"/>
              </w:rPr>
              <w:t>Diluted net (loss) income per share:</w:t>
            </w:r>
          </w:p>
        </w:tc>
        <w:tc>
          <w:tcPr>
            <w:tcW w:w="3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(0.04)</w:t>
            </w:r>
          </w:p>
        </w:tc>
        <w:tc>
          <w:tcPr>
            <w:tcW w:w="2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0.01</w:t>
            </w:r>
          </w:p>
        </w:tc>
        <w:tc>
          <w:tcPr>
            <w:tcW w:w="2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Basic weighted average common shares outstanding</w:t>
            </w:r>
          </w:p>
        </w:tc>
        <w:tc>
          <w:tcPr>
            <w:tcW w:w="3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18,870,398</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18,562,073</w:t>
            </w:r>
          </w:p>
        </w:tc>
        <w:tc>
          <w:tcPr>
            <w:tcW w:w="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Diluted weighted average common shares outstanding</w:t>
            </w:r>
          </w:p>
        </w:tc>
        <w:tc>
          <w:tcPr>
            <w:tcW w:w="3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18,870,398</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18,562,763</w:t>
            </w:r>
          </w:p>
        </w:tc>
        <w:tc>
          <w:tcPr>
            <w:tcW w:w="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 w:name="page5"/>
    <w:bookmarkEnd w:id="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Condensed 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Three Months Ended March 31, 2020 and 2019</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data)</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8"/>
          </w:tcPr>
          <w:p>
            <w:pPr>
              <w:ind w:left="20"/>
              <w:spacing w:after="0"/>
              <w:rPr>
                <w:sz w:val="20"/>
                <w:szCs w:val="20"/>
                <w:color w:val="auto"/>
              </w:rPr>
            </w:pPr>
            <w:r>
              <w:rPr>
                <w:rFonts w:ascii="Arial" w:cs="Arial" w:eastAsia="Arial" w:hAnsi="Arial"/>
                <w:sz w:val="13"/>
                <w:szCs w:val="13"/>
                <w:b w:val="1"/>
                <w:bCs w:val="1"/>
                <w:color w:val="auto"/>
                <w:w w:val="90"/>
              </w:rPr>
              <w:t>Xcel Brands, Inc. stockholders</w:t>
            </w:r>
          </w:p>
        </w:tc>
        <w:tc>
          <w:tcPr>
            <w:tcW w:w="6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00" w:type="dxa"/>
            <w:vAlign w:val="bottom"/>
          </w:tcPr>
          <w:p>
            <w:pPr>
              <w:spacing w:after="0"/>
              <w:rPr>
                <w:sz w:val="22"/>
                <w:szCs w:val="22"/>
                <w:color w:val="auto"/>
              </w:rPr>
            </w:pPr>
          </w:p>
        </w:tc>
        <w:tc>
          <w:tcPr>
            <w:tcW w:w="1380" w:type="dxa"/>
            <w:vAlign w:val="bottom"/>
            <w:tcBorders>
              <w:bottom w:val="single" w:sz="8" w:color="auto"/>
            </w:tcBorders>
            <w:gridSpan w:val="4"/>
          </w:tcPr>
          <w:p>
            <w:pPr>
              <w:jc w:val="right"/>
              <w:ind w:right="217"/>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96"/>
              </w:rPr>
              <w:t>Paid-In</w:t>
            </w:r>
          </w:p>
        </w:tc>
        <w:tc>
          <w:tcPr>
            <w:tcW w:w="860" w:type="dxa"/>
            <w:vAlign w:val="bottom"/>
            <w:gridSpan w:val="3"/>
            <w:vMerge w:val="restart"/>
          </w:tcPr>
          <w:p>
            <w:pPr>
              <w:ind w:left="140"/>
              <w:spacing w:after="0"/>
              <w:rPr>
                <w:sz w:val="20"/>
                <w:szCs w:val="20"/>
                <w:color w:val="auto"/>
              </w:rPr>
            </w:pPr>
            <w:r>
              <w:rPr>
                <w:rFonts w:ascii="Arial" w:cs="Arial" w:eastAsia="Arial" w:hAnsi="Arial"/>
                <w:sz w:val="13"/>
                <w:szCs w:val="13"/>
                <w:b w:val="1"/>
                <w:bCs w:val="1"/>
                <w:color w:val="auto"/>
                <w:w w:val="85"/>
              </w:rPr>
              <w:t>Accumulated</w:t>
            </w:r>
          </w:p>
        </w:tc>
        <w:tc>
          <w:tcPr>
            <w:tcW w:w="94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w w:val="99"/>
              </w:rPr>
              <w:t>Noncontrolling</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660" w:type="dxa"/>
            <w:vAlign w:val="bottom"/>
          </w:tcPr>
          <w:p>
            <w:pPr>
              <w:jc w:val="right"/>
              <w:spacing w:after="0" w:line="110" w:lineRule="exact"/>
              <w:rPr>
                <w:sz w:val="20"/>
                <w:szCs w:val="20"/>
                <w:color w:val="auto"/>
              </w:rPr>
            </w:pPr>
            <w:r>
              <w:rPr>
                <w:rFonts w:ascii="Arial" w:cs="Arial" w:eastAsia="Arial" w:hAnsi="Arial"/>
                <w:sz w:val="12"/>
                <w:szCs w:val="12"/>
                <w:b w:val="1"/>
                <w:bCs w:val="1"/>
                <w:color w:val="auto"/>
                <w:w w:val="99"/>
              </w:rPr>
              <w:t>Number of</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30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Shares</w:t>
            </w:r>
          </w:p>
        </w:tc>
        <w:tc>
          <w:tcPr>
            <w:tcW w:w="14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5"/>
              </w:rPr>
              <w:t>Amount</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6"/>
              </w:rPr>
              <w:t>Capital</w:t>
            </w:r>
          </w:p>
        </w:tc>
        <w:tc>
          <w:tcPr>
            <w:tcW w:w="1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Deficit</w:t>
            </w:r>
          </w:p>
        </w:tc>
        <w:tc>
          <w:tcPr>
            <w:tcW w:w="1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w w:val="97"/>
              </w:rPr>
              <w:t>Interest</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3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Balance as of December 31, 2018</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92"/>
              </w:rPr>
              <w:t>18,138,616</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18</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100,097</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(233)</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99,882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2"/>
              </w:rPr>
              <w:t>Issuance of common stock in connection with the acquisition of Halston Heritage</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777,778</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1,057</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1,058</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7"/>
              </w:rPr>
              <w:t>Compensation expense in connection with stock options and restricted stock</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347</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347</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127</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3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Balance as of March 31, 2019</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2"/>
              </w:rPr>
              <w:t>18,916,394</w:t>
            </w:r>
          </w:p>
        </w:tc>
        <w:tc>
          <w:tcPr>
            <w:tcW w:w="1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101,501</w:t>
            </w:r>
          </w:p>
        </w:tc>
        <w:tc>
          <w:tcPr>
            <w:tcW w:w="1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(106)</w:t>
            </w:r>
          </w:p>
        </w:tc>
        <w:tc>
          <w:tcPr>
            <w:tcW w:w="1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101,414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3"/>
                <w:szCs w:val="13"/>
                <w:color w:val="auto"/>
              </w:rPr>
              <w:t>Balance as of December 31, 2019</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w w:val="92"/>
              </w:rPr>
              <w:t>18,866,417</w:t>
            </w: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19</w:t>
            </w:r>
          </w:p>
        </w:tc>
        <w:tc>
          <w:tcPr>
            <w:tcW w:w="2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101,736</w:t>
            </w:r>
          </w:p>
        </w:tc>
        <w:tc>
          <w:tcPr>
            <w:tcW w:w="26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(3,659)</w:t>
            </w:r>
          </w:p>
        </w:tc>
        <w:tc>
          <w:tcPr>
            <w:tcW w:w="260" w:type="dxa"/>
            <w:vAlign w:val="bottom"/>
            <w:gridSpan w:val="2"/>
          </w:tcPr>
          <w:p>
            <w:pPr>
              <w:jc w:val="right"/>
              <w:ind w:right="8"/>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356</w:t>
            </w:r>
          </w:p>
        </w:tc>
        <w:tc>
          <w:tcPr>
            <w:tcW w:w="1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98,452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3"/>
                <w:szCs w:val="13"/>
                <w:color w:val="auto"/>
                <w:w w:val="92"/>
              </w:rPr>
              <w:t>Shares issued to employees in connection with stock grants for bonus payments</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336,700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220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220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3"/>
                <w:szCs w:val="13"/>
                <w:color w:val="auto"/>
              </w:rPr>
              <w:t>Shares repurchased from employees in exchange for withholding taxes</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(155,556)</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(102)</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3"/>
                <w:szCs w:val="13"/>
                <w:color w:val="auto"/>
                <w:w w:val="97"/>
              </w:rPr>
              <w:t>Compensation expense in connection with stock options and restricted stock</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91</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3"/>
                <w:szCs w:val="13"/>
                <w:color w:val="auto"/>
              </w:rPr>
              <w:t>Net loss</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(805)</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(33)</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(838)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color w:val="auto"/>
              </w:rPr>
              <w:t>Balance as of March 31, 2020</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2"/>
              </w:rPr>
              <w:t>19,047,561</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101,945</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(4,464)</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323</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97,823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20"/>
          </w:cols>
          <w:pgMar w:left="1440" w:top="125" w:right="1439" w:bottom="1440" w:gutter="0" w:footer="0" w:header="0"/>
        </w:sectPr>
      </w:pPr>
    </w:p>
    <w:bookmarkStart w:id="5" w:name="page6"/>
    <w:bookmarkEnd w:id="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Xcel Brands, Inc. and Subsidiaries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Condensed Consolidated Statements of Cash Flows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5"/>
          </w:tcPr>
          <w:p>
            <w:pPr>
              <w:ind w:left="120"/>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71"/>
        </w:trPr>
        <w:tc>
          <w:tcPr>
            <w:tcW w:w="6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March 31,</w:t>
            </w: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tcPr>
          <w:p>
            <w:pPr>
              <w:ind w:left="220"/>
              <w:spacing w:after="0" w:line="149" w:lineRule="exact"/>
              <w:rPr>
                <w:sz w:val="20"/>
                <w:szCs w:val="20"/>
                <w:color w:val="auto"/>
              </w:rPr>
            </w:pPr>
            <w:r>
              <w:rPr>
                <w:rFonts w:ascii="Arial" w:cs="Arial" w:eastAsia="Arial" w:hAnsi="Arial"/>
                <w:sz w:val="14"/>
                <w:szCs w:val="14"/>
                <w:color w:val="auto"/>
              </w:rPr>
              <w:t>Net (loss) income</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(838)</w:t>
            </w:r>
          </w:p>
        </w:tc>
        <w:tc>
          <w:tcPr>
            <w:tcW w:w="340" w:type="dxa"/>
            <w:vAlign w:val="bottom"/>
          </w:tcPr>
          <w:p>
            <w:pPr>
              <w:jc w:val="right"/>
              <w:ind w:right="18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Adjustments to reconcile net (loss) income to net cash provided by operating activities:</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tcPr>
          <w:p>
            <w:pPr>
              <w:ind w:left="220"/>
              <w:spacing w:after="0" w:line="149" w:lineRule="exact"/>
              <w:rPr>
                <w:sz w:val="20"/>
                <w:szCs w:val="20"/>
                <w:color w:val="auto"/>
              </w:rPr>
            </w:pPr>
            <w:r>
              <w:rPr>
                <w:rFonts w:ascii="Arial" w:cs="Arial" w:eastAsia="Arial" w:hAnsi="Arial"/>
                <w:sz w:val="14"/>
                <w:szCs w:val="14"/>
                <w:color w:val="auto"/>
              </w:rPr>
              <w:t>Depreciation and amortization expense</w:t>
            </w: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1,303</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Amortization of deferred finance costs</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tcPr>
          <w:p>
            <w:pPr>
              <w:ind w:left="220"/>
              <w:spacing w:after="0" w:line="149" w:lineRule="exact"/>
              <w:rPr>
                <w:sz w:val="20"/>
                <w:szCs w:val="20"/>
                <w:color w:val="auto"/>
              </w:rPr>
            </w:pPr>
            <w:r>
              <w:rPr>
                <w:rFonts w:ascii="Arial" w:cs="Arial" w:eastAsia="Arial" w:hAnsi="Arial"/>
                <w:sz w:val="14"/>
                <w:szCs w:val="14"/>
                <w:color w:val="auto"/>
              </w:rPr>
              <w:t>Stock-based compensation</w:t>
            </w: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243</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Amortization of note discount</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tcPr>
          <w:p>
            <w:pPr>
              <w:ind w:left="220"/>
              <w:spacing w:after="0" w:line="149" w:lineRule="exact"/>
              <w:rPr>
                <w:sz w:val="20"/>
                <w:szCs w:val="20"/>
                <w:color w:val="auto"/>
              </w:rPr>
            </w:pPr>
            <w:r>
              <w:rPr>
                <w:rFonts w:ascii="Arial" w:cs="Arial" w:eastAsia="Arial" w:hAnsi="Arial"/>
                <w:sz w:val="14"/>
                <w:szCs w:val="14"/>
                <w:color w:val="auto"/>
              </w:rPr>
              <w:t>Allowance for doubtful accounts</w:t>
            </w: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211</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Loss on extinguishment of debt</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tcPr>
          <w:p>
            <w:pPr>
              <w:ind w:left="220"/>
              <w:spacing w:after="0" w:line="149" w:lineRule="exact"/>
              <w:rPr>
                <w:sz w:val="20"/>
                <w:szCs w:val="20"/>
                <w:color w:val="auto"/>
              </w:rPr>
            </w:pPr>
            <w:r>
              <w:rPr>
                <w:rFonts w:ascii="Arial" w:cs="Arial" w:eastAsia="Arial" w:hAnsi="Arial"/>
                <w:sz w:val="14"/>
                <w:szCs w:val="14"/>
                <w:color w:val="auto"/>
              </w:rPr>
              <w:t>Deferred income tax (benefit) provision</w:t>
            </w:r>
          </w:p>
        </w:tc>
        <w:tc>
          <w:tcPr>
            <w:tcW w:w="18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(552)</w:t>
            </w: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tcPr>
          <w:p>
            <w:pPr>
              <w:ind w:left="220"/>
              <w:spacing w:after="0" w:line="149" w:lineRule="exact"/>
              <w:rPr>
                <w:sz w:val="20"/>
                <w:szCs w:val="20"/>
                <w:color w:val="auto"/>
              </w:rPr>
            </w:pPr>
            <w:r>
              <w:rPr>
                <w:rFonts w:ascii="Arial" w:cs="Arial" w:eastAsia="Arial" w:hAnsi="Arial"/>
                <w:sz w:val="14"/>
                <w:szCs w:val="14"/>
                <w:color w:val="auto"/>
              </w:rPr>
              <w:t>Accounts receivable</w:t>
            </w: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1,568</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Inventory</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tcPr>
          <w:p>
            <w:pPr>
              <w:ind w:left="220"/>
              <w:spacing w:after="0" w:line="149" w:lineRule="exact"/>
              <w:rPr>
                <w:sz w:val="20"/>
                <w:szCs w:val="20"/>
                <w:color w:val="auto"/>
              </w:rPr>
            </w:pPr>
            <w:r>
              <w:rPr>
                <w:rFonts w:ascii="Arial" w:cs="Arial" w:eastAsia="Arial" w:hAnsi="Arial"/>
                <w:sz w:val="14"/>
                <w:szCs w:val="14"/>
                <w:color w:val="auto"/>
              </w:rPr>
              <w:t>Prepaid expenses and other assets</w:t>
            </w:r>
          </w:p>
        </w:tc>
        <w:tc>
          <w:tcPr>
            <w:tcW w:w="18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w:t>
            </w: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Accounts payable, accrued expenses and other current liabilities</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(1,656)</w:t>
            </w: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tcPr>
          <w:p>
            <w:pPr>
              <w:ind w:left="220"/>
              <w:spacing w:after="0" w:line="149" w:lineRule="exact"/>
              <w:rPr>
                <w:sz w:val="20"/>
                <w:szCs w:val="20"/>
                <w:color w:val="auto"/>
              </w:rPr>
            </w:pPr>
            <w:r>
              <w:rPr>
                <w:rFonts w:ascii="Arial" w:cs="Arial" w:eastAsia="Arial" w:hAnsi="Arial"/>
                <w:sz w:val="14"/>
                <w:szCs w:val="14"/>
                <w:color w:val="auto"/>
              </w:rPr>
              <w:t>Cash paid in excess of rent expense</w:t>
            </w:r>
          </w:p>
        </w:tc>
        <w:tc>
          <w:tcPr>
            <w:tcW w:w="18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(91)</w:t>
            </w: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liabilities</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Net cash provided by operating activities</w:t>
            </w:r>
          </w:p>
        </w:tc>
        <w:tc>
          <w:tcPr>
            <w:tcW w:w="1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311</w:t>
            </w:r>
          </w:p>
        </w:tc>
        <w:tc>
          <w:tcPr>
            <w:tcW w:w="20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Cash consideration for acquisition of Halston Heritage assets</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tcPr>
          <w:p>
            <w:pPr>
              <w:ind w:left="220"/>
              <w:spacing w:after="0" w:line="149" w:lineRule="exact"/>
              <w:rPr>
                <w:sz w:val="20"/>
                <w:szCs w:val="20"/>
                <w:color w:val="auto"/>
              </w:rPr>
            </w:pPr>
            <w:r>
              <w:rPr>
                <w:rFonts w:ascii="Arial" w:cs="Arial" w:eastAsia="Arial" w:hAnsi="Arial"/>
                <w:sz w:val="14"/>
                <w:szCs w:val="14"/>
                <w:color w:val="auto"/>
              </w:rPr>
              <w:t>Purchase of property and equipment</w:t>
            </w:r>
          </w:p>
        </w:tc>
        <w:tc>
          <w:tcPr>
            <w:tcW w:w="18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(604)</w:t>
            </w: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cash used in investing activities</w:t>
            </w: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(604)</w:t>
            </w:r>
          </w:p>
        </w:tc>
        <w:tc>
          <w:tcPr>
            <w:tcW w:w="2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(9,112)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tcPr>
          <w:p>
            <w:pPr>
              <w:ind w:left="220"/>
              <w:spacing w:after="0" w:line="149" w:lineRule="exact"/>
              <w:rPr>
                <w:sz w:val="20"/>
                <w:szCs w:val="20"/>
                <w:color w:val="auto"/>
              </w:rPr>
            </w:pPr>
            <w:r>
              <w:rPr>
                <w:rFonts w:ascii="Arial" w:cs="Arial" w:eastAsia="Arial" w:hAnsi="Arial"/>
                <w:sz w:val="14"/>
                <w:szCs w:val="14"/>
                <w:color w:val="auto"/>
              </w:rPr>
              <w:t>Shares repurchased including vested restricted stock in exchange for withholding taxes</w:t>
            </w:r>
          </w:p>
        </w:tc>
        <w:tc>
          <w:tcPr>
            <w:tcW w:w="18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(102)</w:t>
            </w: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Payment of deferred finance costs</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tcPr>
          <w:p>
            <w:pPr>
              <w:ind w:left="220"/>
              <w:spacing w:after="0" w:line="149" w:lineRule="exact"/>
              <w:rPr>
                <w:sz w:val="20"/>
                <w:szCs w:val="20"/>
                <w:color w:val="auto"/>
              </w:rPr>
            </w:pPr>
            <w:r>
              <w:rPr>
                <w:rFonts w:ascii="Arial" w:cs="Arial" w:eastAsia="Arial" w:hAnsi="Arial"/>
                <w:sz w:val="14"/>
                <w:szCs w:val="14"/>
                <w:color w:val="auto"/>
              </w:rPr>
              <w:t>Proceeds from long-term debt</w:t>
            </w:r>
          </w:p>
        </w:tc>
        <w:tc>
          <w:tcPr>
            <w:tcW w:w="18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Payment of long-term debt</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Net cash (used in) provided by financing activities</w:t>
            </w:r>
          </w:p>
        </w:tc>
        <w:tc>
          <w:tcPr>
            <w:tcW w:w="1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(102)</w:t>
            </w:r>
          </w:p>
        </w:tc>
        <w:tc>
          <w:tcPr>
            <w:tcW w:w="20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5,472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tcPr>
          <w:p>
            <w:pPr>
              <w:spacing w:after="0" w:line="149" w:lineRule="exact"/>
              <w:rPr>
                <w:sz w:val="20"/>
                <w:szCs w:val="20"/>
                <w:color w:val="auto"/>
              </w:rPr>
            </w:pPr>
            <w:r>
              <w:rPr>
                <w:rFonts w:ascii="Arial" w:cs="Arial" w:eastAsia="Arial" w:hAnsi="Arial"/>
                <w:sz w:val="14"/>
                <w:szCs w:val="14"/>
                <w:b w:val="1"/>
                <w:bCs w:val="1"/>
                <w:color w:val="auto"/>
              </w:rPr>
              <w:t>Net decrease in cash, cash equivalents, and restricted cash</w:t>
            </w:r>
          </w:p>
        </w:tc>
        <w:tc>
          <w:tcPr>
            <w:tcW w:w="18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(395)</w:t>
            </w: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(2,408)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Cash, cash equivalents, and restricted cash at beginning of period</w:t>
            </w: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5,750</w:t>
            </w:r>
          </w:p>
        </w:tc>
        <w:tc>
          <w:tcPr>
            <w:tcW w:w="2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10,319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52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Cash, cash equivalents, and restricted cash at end of period</w:t>
            </w: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5,355</w:t>
            </w:r>
          </w:p>
        </w:tc>
        <w:tc>
          <w:tcPr>
            <w:tcW w:w="2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18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7,911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tcPr>
          <w:p>
            <w:pPr>
              <w:spacing w:after="0" w:line="149" w:lineRule="exact"/>
              <w:rPr>
                <w:sz w:val="20"/>
                <w:szCs w:val="20"/>
                <w:color w:val="auto"/>
              </w:rPr>
            </w:pPr>
            <w:r>
              <w:rPr>
                <w:rFonts w:ascii="Arial" w:cs="Arial" w:eastAsia="Arial" w:hAnsi="Arial"/>
                <w:sz w:val="14"/>
                <w:szCs w:val="14"/>
                <w:b w:val="1"/>
                <w:bCs w:val="1"/>
                <w:color w:val="auto"/>
              </w:rPr>
              <w:t>Reconciliation to amounts on consolidated balance sheets:</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4,246</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tcBorders>
              <w:bottom w:val="single" w:sz="8" w:color="CCEEFF"/>
            </w:tcBorders>
          </w:tcPr>
          <w:p>
            <w:pPr>
              <w:ind w:left="220"/>
              <w:spacing w:after="0" w:line="149" w:lineRule="exact"/>
              <w:rPr>
                <w:sz w:val="20"/>
                <w:szCs w:val="20"/>
                <w:color w:val="auto"/>
              </w:rPr>
            </w:pPr>
            <w:r>
              <w:rPr>
                <w:rFonts w:ascii="Arial" w:cs="Arial" w:eastAsia="Arial" w:hAnsi="Arial"/>
                <w:sz w:val="14"/>
                <w:szCs w:val="14"/>
                <w:color w:val="auto"/>
              </w:rPr>
              <w:t>Restricted cash</w:t>
            </w: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1,109</w:t>
            </w:r>
          </w:p>
        </w:tc>
        <w:tc>
          <w:tcPr>
            <w:tcW w:w="2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tcBorders>
              <w:bottom w:val="single" w:sz="8" w:color="CCEEFF"/>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Total cash, cash equivalents, and restricted cash</w:t>
            </w: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5,355</w:t>
            </w:r>
          </w:p>
        </w:tc>
        <w:tc>
          <w:tcPr>
            <w:tcW w:w="2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18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7,911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Supplemental disclosure of non-cash activities:</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520" w:type="dxa"/>
            <w:vAlign w:val="bottom"/>
          </w:tcPr>
          <w:p>
            <w:pPr>
              <w:ind w:left="220"/>
              <w:spacing w:after="0" w:line="149" w:lineRule="exact"/>
              <w:rPr>
                <w:sz w:val="20"/>
                <w:szCs w:val="20"/>
                <w:color w:val="auto"/>
              </w:rPr>
            </w:pPr>
            <w:r>
              <w:rPr>
                <w:rFonts w:ascii="Arial" w:cs="Arial" w:eastAsia="Arial" w:hAnsi="Arial"/>
                <w:sz w:val="14"/>
                <w:szCs w:val="14"/>
                <w:color w:val="auto"/>
              </w:rPr>
              <w:t>Operating lease right-of-use asset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jc w:val="right"/>
              <w:ind w:right="18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10,409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520" w:type="dxa"/>
            <w:vAlign w:val="bottom"/>
            <w:tcBorders>
              <w:top w:val="single" w:sz="8" w:color="CCEEFF"/>
              <w:bottom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Operating lease obligation</w:t>
            </w: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13,210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6520" w:type="dxa"/>
            <w:vAlign w:val="bottom"/>
            <w:tcBorders>
              <w:bottom w:val="single" w:sz="8" w:color="CCEEFF"/>
            </w:tcBorders>
          </w:tcPr>
          <w:p>
            <w:pPr>
              <w:ind w:left="220"/>
              <w:spacing w:after="0" w:line="135" w:lineRule="exact"/>
              <w:rPr>
                <w:sz w:val="20"/>
                <w:szCs w:val="20"/>
                <w:color w:val="auto"/>
              </w:rPr>
            </w:pPr>
            <w:r>
              <w:rPr>
                <w:rFonts w:ascii="Arial" w:cs="Arial" w:eastAsia="Arial" w:hAnsi="Arial"/>
                <w:sz w:val="14"/>
                <w:szCs w:val="14"/>
                <w:color w:val="auto"/>
              </w:rPr>
              <w:t>Accrued rent offset to operating lease right-of-use assets</w:t>
            </w: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jc w:val="right"/>
              <w:ind w:right="188"/>
              <w:spacing w:after="0" w:line="13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2,801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6520" w:type="dxa"/>
            <w:vAlign w:val="bottom"/>
            <w:tcBorders>
              <w:bottom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Settlement of seller note through offset to receivable</w:t>
            </w: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6520" w:type="dxa"/>
            <w:vAlign w:val="bottom"/>
            <w:tcBorders>
              <w:bottom w:val="single" w:sz="8" w:color="CCEEFF"/>
            </w:tcBorders>
          </w:tcPr>
          <w:p>
            <w:pPr>
              <w:ind w:left="220"/>
              <w:spacing w:after="0" w:line="135" w:lineRule="exact"/>
              <w:rPr>
                <w:sz w:val="20"/>
                <w:szCs w:val="20"/>
                <w:color w:val="auto"/>
              </w:rPr>
            </w:pPr>
            <w:r>
              <w:rPr>
                <w:rFonts w:ascii="Arial" w:cs="Arial" w:eastAsia="Arial" w:hAnsi="Arial"/>
                <w:sz w:val="14"/>
                <w:szCs w:val="14"/>
                <w:color w:val="auto"/>
              </w:rPr>
              <w:t>Settlement of contingent obligation through offset to note receivable</w:t>
            </w: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jc w:val="right"/>
              <w:ind w:right="188"/>
              <w:spacing w:after="0" w:line="13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100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6520" w:type="dxa"/>
            <w:vAlign w:val="bottom"/>
            <w:tcBorders>
              <w:bottom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Issuance of common stock in connection with Halston Heritage assets acquisition</w:t>
            </w: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6520" w:type="dxa"/>
            <w:vAlign w:val="bottom"/>
            <w:tcBorders>
              <w:bottom w:val="single" w:sz="8" w:color="CCEEFF"/>
            </w:tcBorders>
          </w:tcPr>
          <w:p>
            <w:pPr>
              <w:ind w:left="220"/>
              <w:spacing w:after="0" w:line="135" w:lineRule="exact"/>
              <w:rPr>
                <w:sz w:val="20"/>
                <w:szCs w:val="20"/>
                <w:color w:val="auto"/>
              </w:rPr>
            </w:pPr>
            <w:r>
              <w:rPr>
                <w:rFonts w:ascii="Arial" w:cs="Arial" w:eastAsia="Arial" w:hAnsi="Arial"/>
                <w:sz w:val="14"/>
                <w:szCs w:val="14"/>
                <w:color w:val="auto"/>
              </w:rPr>
              <w:t>Contingent obligation related to acquisition of Halston Heritage assets at fair value</w:t>
            </w: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jc w:val="right"/>
              <w:ind w:right="188"/>
              <w:spacing w:after="0" w:line="13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900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520" w:type="dxa"/>
            <w:vAlign w:val="bottom"/>
            <w:tcBorders>
              <w:bottom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Liability for equity-based bonuses</w:t>
            </w: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2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52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Cash paid during the period for income taxes</w:t>
            </w: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w:t>
            </w:r>
          </w:p>
        </w:tc>
        <w:tc>
          <w:tcPr>
            <w:tcW w:w="2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18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520" w:type="dxa"/>
            <w:vAlign w:val="bottom"/>
            <w:tcBorders>
              <w:bottom w:val="single" w:sz="8" w:color="CCEEFF"/>
            </w:tcBorders>
            <w:shd w:val="clear" w:color="auto" w:fill="CCEEFF"/>
          </w:tcPr>
          <w:p>
            <w:pPr>
              <w:ind w:left="120"/>
              <w:spacing w:after="0" w:line="149" w:lineRule="exact"/>
              <w:rPr>
                <w:sz w:val="20"/>
                <w:szCs w:val="20"/>
                <w:color w:val="auto"/>
              </w:rPr>
            </w:pPr>
            <w:r>
              <w:rPr>
                <w:rFonts w:ascii="Arial" w:cs="Arial" w:eastAsia="Arial" w:hAnsi="Arial"/>
                <w:sz w:val="14"/>
                <w:szCs w:val="14"/>
                <w:color w:val="auto"/>
              </w:rPr>
              <w:t>Cash paid during the period for interest</w:t>
            </w: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290</w:t>
            </w:r>
          </w:p>
        </w:tc>
        <w:tc>
          <w:tcPr>
            <w:tcW w:w="2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458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 w:name="page7"/>
    <w:bookmarkEnd w:id="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March 31,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Nature of Operations, Background, and Basis of Presentation</w:t>
      </w:r>
    </w:p>
    <w:p>
      <w:pPr>
        <w:spacing w:after="0" w:line="229" w:lineRule="exact"/>
        <w:rPr>
          <w:sz w:val="20"/>
          <w:szCs w:val="20"/>
          <w:color w:val="auto"/>
        </w:rPr>
      </w:pPr>
    </w:p>
    <w:p>
      <w:pPr>
        <w:jc w:val="both"/>
        <w:ind w:left="40" w:right="59"/>
        <w:spacing w:after="0" w:line="218" w:lineRule="exact"/>
        <w:rPr>
          <w:sz w:val="20"/>
          <w:szCs w:val="20"/>
          <w:color w:val="auto"/>
        </w:rPr>
      </w:pPr>
      <w:r>
        <w:rPr>
          <w:rFonts w:ascii="Arial" w:cs="Arial" w:eastAsia="Arial" w:hAnsi="Arial"/>
          <w:sz w:val="17"/>
          <w:szCs w:val="17"/>
          <w:color w:val="auto"/>
        </w:rPr>
        <w:t>The accompanying condensed consolidated balance sheet as of December 31, 2019 (which has been derived from audited financial statements) and the unaudited interim condensed consolidated financial statements have been prepared in accordance with accounting principles generally accepted in the United States (“GAAP”) for interim financial information and pursuant to the instructions to Form 10</w:t>
      </w:r>
      <w:r>
        <w:rPr>
          <w:rFonts w:ascii="MS PGothic" w:cs="MS PGothic" w:eastAsia="MS PGothic" w:hAnsi="MS PGothic"/>
          <w:sz w:val="17"/>
          <w:szCs w:val="17"/>
          <w:color w:val="auto"/>
        </w:rPr>
        <w:t>‑</w:t>
      </w:r>
      <w:r>
        <w:rPr>
          <w:rFonts w:ascii="Arial" w:cs="Arial" w:eastAsia="Arial" w:hAnsi="Arial"/>
          <w:sz w:val="17"/>
          <w:szCs w:val="17"/>
          <w:color w:val="auto"/>
        </w:rPr>
        <w:t>Q and Article 8 of Regulation S-X promulgated by the United States Securities and Exchange Commission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comprehensive presentation of financial position, results of operations, or cash flows.</w:t>
      </w:r>
    </w:p>
    <w:p>
      <w:pPr>
        <w:spacing w:after="0" w:line="204" w:lineRule="exact"/>
        <w:rPr>
          <w:sz w:val="20"/>
          <w:szCs w:val="20"/>
          <w:color w:val="auto"/>
        </w:rPr>
      </w:pPr>
    </w:p>
    <w:p>
      <w:pPr>
        <w:jc w:val="both"/>
        <w:ind w:left="40" w:right="59"/>
        <w:spacing w:after="0" w:line="218" w:lineRule="exact"/>
        <w:rPr>
          <w:sz w:val="20"/>
          <w:szCs w:val="20"/>
          <w:color w:val="auto"/>
        </w:rPr>
      </w:pPr>
      <w:r>
        <w:rPr>
          <w:rFonts w:ascii="Arial" w:cs="Arial" w:eastAsia="Arial" w:hAnsi="Arial"/>
          <w:sz w:val="18"/>
          <w:szCs w:val="18"/>
          <w:color w:val="auto"/>
        </w:rPr>
        <w:t>In the opinion of management, the accompanying unaudited condensed consolidated financial statements were prepared following the same policies and procedures used in the preparation of the audited consolidated financial statements and reflect all adjustments (consisting of normal recurring adjustments) necessary to present fairly the results of operations, financial position, and cash flows of Xcel Brands, Inc. and its subsidiaries (the “Company” or "Xcel"). The results of operations for the interim periods presented herein are not necessarily indicative of the results for the entire fiscal year or for any future interim periods. These unaudited condensed consolidated financial statements should be read in conjunction with the Company’s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2019, as filed with the SEC on April 14, 2020.</w:t>
      </w:r>
    </w:p>
    <w:p>
      <w:pPr>
        <w:spacing w:after="0" w:line="205" w:lineRule="exact"/>
        <w:rPr>
          <w:sz w:val="20"/>
          <w:szCs w:val="20"/>
          <w:color w:val="auto"/>
        </w:rPr>
      </w:pPr>
    </w:p>
    <w:p>
      <w:pPr>
        <w:jc w:val="both"/>
        <w:ind w:left="40" w:right="59"/>
        <w:spacing w:after="0" w:line="269" w:lineRule="auto"/>
        <w:rPr>
          <w:sz w:val="20"/>
          <w:szCs w:val="20"/>
          <w:color w:val="auto"/>
        </w:rPr>
      </w:pPr>
      <w:r>
        <w:rPr>
          <w:rFonts w:ascii="Arial" w:cs="Arial" w:eastAsia="Arial" w:hAnsi="Arial"/>
          <w:sz w:val="17"/>
          <w:szCs w:val="17"/>
          <w:color w:val="auto"/>
        </w:rPr>
        <w:t>The Company is a media and consumer products company engaged in the design, production, marketing, wholesale distribution, and direct-to-consumer sales of branded apparel, footwear, accessories, jewelry, home goods and other consumer products, and the acquisition of dynamic consumer lifestyle brands. The Company has developed a design, production, and supply chain capability driven by its proprietary integrated technology platform. Currently, the Company’s brand portfolio consists of the Isaac Mizrahi brands (the "Isaac Mizrahi Brand"), the Judith Ripka brands (the "Ripka Brand"), the Halston brands (the "Halston Brands"), the C Wonder brands (the "C Wonder Brand"), and other proprietary brands. The Company also manages the Longaberger brand (“the Longaberger Brand”) through its 50% ownership interest in Longaberger Licensing, LLC. The Company designs, produces, markets, and distributes products, and in certain cases, licenses its brands to third parties, and generates licensing fees. The Company and its licensees distribute through a ubiquitous-channel retail sales strategy, which includes distribution through interactive television, the internet, and traditional brick-and-mortar retail channels.</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jc w:val="both"/>
        <w:ind w:left="40" w:right="59"/>
        <w:spacing w:after="0" w:line="219" w:lineRule="exact"/>
        <w:rPr>
          <w:sz w:val="20"/>
          <w:szCs w:val="20"/>
          <w:color w:val="auto"/>
        </w:rPr>
      </w:pPr>
      <w:r>
        <w:rPr>
          <w:rFonts w:ascii="Arial" w:cs="Arial" w:eastAsia="Arial" w:hAnsi="Arial"/>
          <w:sz w:val="17"/>
          <w:szCs w:val="17"/>
          <w:color w:val="auto"/>
        </w:rPr>
        <w:t>The Company adopted Accounting Standards Update ("ASU") No. 2018</w:t>
      </w:r>
      <w:r>
        <w:rPr>
          <w:rFonts w:ascii="MS PGothic" w:cs="MS PGothic" w:eastAsia="MS PGothic" w:hAnsi="MS PGothic"/>
          <w:sz w:val="17"/>
          <w:szCs w:val="17"/>
          <w:color w:val="auto"/>
        </w:rPr>
        <w:t>‑</w:t>
      </w:r>
      <w:r>
        <w:rPr>
          <w:rFonts w:ascii="Arial" w:cs="Arial" w:eastAsia="Arial" w:hAnsi="Arial"/>
          <w:sz w:val="17"/>
          <w:szCs w:val="17"/>
          <w:color w:val="auto"/>
        </w:rPr>
        <w:t>13, “Fair Value Measurement (Topic 820): Disclosure Framework – Changes to the Disclosure Requirements for Fair Value Measurement,” effective January 1, 2020. This ASU adds, modifies, and removes several disclosure requirements relative to the three levels of inputs used to measure fair value in accordance with Topic 820, “Fair Value Measurement.” The adoption of this new guidance did not have any impact on the Company’s results of operations, cash flows,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 w:name="page8"/>
    <w:bookmarkEnd w:id="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March 31,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Trademarks and Other Intangibles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Trademarks and other intangibles, net consist of the following:</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6"/>
            <w:vMerge w:val="restart"/>
          </w:tcPr>
          <w:p>
            <w:pPr>
              <w:jc w:val="center"/>
              <w:ind w:right="120"/>
              <w:spacing w:after="0"/>
              <w:rPr>
                <w:sz w:val="20"/>
                <w:szCs w:val="20"/>
                <w:color w:val="auto"/>
              </w:rPr>
            </w:pPr>
            <w:r>
              <w:rPr>
                <w:rFonts w:ascii="Arial" w:cs="Arial" w:eastAsia="Arial" w:hAnsi="Arial"/>
                <w:sz w:val="14"/>
                <w:szCs w:val="14"/>
                <w:b w:val="1"/>
                <w:bCs w:val="1"/>
                <w:color w:val="auto"/>
                <w:w w:val="96"/>
              </w:rPr>
              <w:t>March 31, 2020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6"/>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rPr>
              <w:t>Amortization</w:t>
            </w:r>
          </w:p>
        </w:tc>
        <w:tc>
          <w:tcPr>
            <w:tcW w:w="140" w:type="dxa"/>
            <w:vAlign w:val="bottom"/>
          </w:tcPr>
          <w:p>
            <w:pPr>
              <w:spacing w:after="0"/>
              <w:rPr>
                <w:sz w:val="10"/>
                <w:szCs w:val="10"/>
                <w:color w:val="auto"/>
              </w:rPr>
            </w:pPr>
          </w:p>
        </w:tc>
        <w:tc>
          <w:tcPr>
            <w:tcW w:w="9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Gross Carrying</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20" w:type="dxa"/>
            <w:vAlign w:val="bottom"/>
          </w:tcPr>
          <w:p>
            <w:pPr>
              <w:spacing w:after="0"/>
              <w:rPr>
                <w:sz w:val="10"/>
                <w:szCs w:val="10"/>
                <w:color w:val="auto"/>
              </w:rPr>
            </w:pPr>
          </w:p>
        </w:tc>
        <w:tc>
          <w:tcPr>
            <w:tcW w:w="8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Net Carrying</w:t>
            </w:r>
          </w:p>
        </w:tc>
        <w:tc>
          <w:tcPr>
            <w:tcW w:w="0" w:type="dxa"/>
            <w:vAlign w:val="bottom"/>
          </w:tcPr>
          <w:p>
            <w:pPr>
              <w:spacing w:after="0"/>
              <w:rPr>
                <w:sz w:val="1"/>
                <w:szCs w:val="1"/>
                <w:color w:val="auto"/>
              </w:rPr>
            </w:pPr>
          </w:p>
        </w:tc>
      </w:tr>
      <w:tr>
        <w:trPr>
          <w:trHeight w:val="171"/>
        </w:trPr>
        <w:tc>
          <w:tcPr>
            <w:tcW w:w="4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Period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154"/>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4"/>
          </w:tcPr>
          <w:p>
            <w:pPr>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53"/>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10"/>
        </w:trPr>
        <w:tc>
          <w:tcPr>
            <w:tcW w:w="47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Trademarks (indefinite-lived)</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7"/>
              </w:rPr>
              <w:t>n/a</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44,500</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Trademarks (finite-lived)</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86"/>
              </w:rPr>
              <w:t>15 years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34,613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5,137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29,476</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Trademarks (finite-lived)</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18 years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35,596</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Other intellectual property</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88"/>
              </w:rPr>
              <w:t>7 years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Copyrights and other intellectual property</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10 years</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118,259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gridSpan w:val="2"/>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8,304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109,955</w:t>
            </w:r>
          </w:p>
        </w:tc>
        <w:tc>
          <w:tcPr>
            <w:tcW w:w="0" w:type="dxa"/>
            <w:vAlign w:val="bottom"/>
          </w:tcPr>
          <w:p>
            <w:pPr>
              <w:spacing w:after="0"/>
              <w:rPr>
                <w:sz w:val="1"/>
                <w:szCs w:val="1"/>
                <w:color w:val="auto"/>
              </w:rPr>
            </w:pPr>
          </w:p>
        </w:tc>
      </w:tr>
      <w:tr>
        <w:trPr>
          <w:trHeight w:val="355"/>
        </w:trPr>
        <w:tc>
          <w:tcPr>
            <w:tcW w:w="4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gridSpan w:val="8"/>
            <w:vMerge w:val="restart"/>
          </w:tcPr>
          <w:p>
            <w:pPr>
              <w:jc w:val="center"/>
              <w:ind w:left="634"/>
              <w:spacing w:after="0"/>
              <w:rPr>
                <w:sz w:val="20"/>
                <w:szCs w:val="20"/>
                <w:color w:val="auto"/>
              </w:rPr>
            </w:pPr>
            <w:r>
              <w:rPr>
                <w:rFonts w:ascii="Arial" w:cs="Arial" w:eastAsia="Arial" w:hAnsi="Arial"/>
                <w:sz w:val="14"/>
                <w:szCs w:val="14"/>
                <w:b w:val="1"/>
                <w:bCs w:val="1"/>
                <w:color w:val="auto"/>
                <w:w w:val="91"/>
              </w:rPr>
              <w:t>December 31, 2019</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8"/>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10"/>
                <w:szCs w:val="10"/>
                <w:color w:val="auto"/>
              </w:rPr>
            </w:pPr>
          </w:p>
        </w:tc>
        <w:tc>
          <w:tcPr>
            <w:tcW w:w="880" w:type="dxa"/>
            <w:vAlign w:val="bottom"/>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rPr>
              <w:t>Amortization</w:t>
            </w:r>
          </w:p>
        </w:tc>
        <w:tc>
          <w:tcPr>
            <w:tcW w:w="140" w:type="dxa"/>
            <w:vAlign w:val="bottom"/>
          </w:tcPr>
          <w:p>
            <w:pPr>
              <w:spacing w:after="0"/>
              <w:rPr>
                <w:sz w:val="10"/>
                <w:szCs w:val="10"/>
                <w:color w:val="auto"/>
              </w:rPr>
            </w:pPr>
          </w:p>
        </w:tc>
        <w:tc>
          <w:tcPr>
            <w:tcW w:w="9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Gross Carrying</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rPr>
              <w:t>Accumulated</w:t>
            </w:r>
          </w:p>
        </w:tc>
        <w:tc>
          <w:tcPr>
            <w:tcW w:w="20" w:type="dxa"/>
            <w:vAlign w:val="bottom"/>
          </w:tcPr>
          <w:p>
            <w:pPr>
              <w:spacing w:after="0"/>
              <w:rPr>
                <w:sz w:val="10"/>
                <w:szCs w:val="10"/>
                <w:color w:val="auto"/>
              </w:rPr>
            </w:pPr>
          </w:p>
        </w:tc>
        <w:tc>
          <w:tcPr>
            <w:tcW w:w="8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Net Carrying</w:t>
            </w:r>
          </w:p>
        </w:tc>
        <w:tc>
          <w:tcPr>
            <w:tcW w:w="0" w:type="dxa"/>
            <w:vAlign w:val="bottom"/>
          </w:tcPr>
          <w:p>
            <w:pPr>
              <w:spacing w:after="0"/>
              <w:rPr>
                <w:sz w:val="1"/>
                <w:szCs w:val="1"/>
                <w:color w:val="auto"/>
              </w:rPr>
            </w:pPr>
          </w:p>
        </w:tc>
      </w:tr>
      <w:tr>
        <w:trPr>
          <w:trHeight w:val="171"/>
        </w:trPr>
        <w:tc>
          <w:tcPr>
            <w:tcW w:w="4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Period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134"/>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4"/>
          </w:tcPr>
          <w:p>
            <w:pPr>
              <w:ind w:left="2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33"/>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09"/>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Trademarks (indefinite-lived)</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62,900</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62,900</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Trademarks (finite-lived)</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center"/>
              <w:ind w:right="40"/>
              <w:spacing w:after="0"/>
              <w:rPr>
                <w:sz w:val="20"/>
                <w:szCs w:val="20"/>
                <w:color w:val="auto"/>
              </w:rPr>
            </w:pPr>
            <w:r>
              <w:rPr>
                <w:rFonts w:ascii="Arial" w:cs="Arial" w:eastAsia="Arial" w:hAnsi="Arial"/>
                <w:sz w:val="18"/>
                <w:szCs w:val="18"/>
                <w:color w:val="auto"/>
                <w:w w:val="86"/>
              </w:rPr>
              <w:t>15 years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16,213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4,560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11,653</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Trademarks (finite-lived)</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86"/>
              </w:rPr>
              <w:t>18 years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36,127</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Other intellectual property</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center"/>
              <w:ind w:right="40"/>
              <w:spacing w:after="0"/>
              <w:rPr>
                <w:sz w:val="20"/>
                <w:szCs w:val="20"/>
                <w:color w:val="auto"/>
              </w:rPr>
            </w:pPr>
            <w:r>
              <w:rPr>
                <w:rFonts w:ascii="Arial" w:cs="Arial" w:eastAsia="Arial" w:hAnsi="Arial"/>
                <w:sz w:val="18"/>
                <w:szCs w:val="18"/>
                <w:color w:val="auto"/>
                <w:w w:val="88"/>
              </w:rPr>
              <w:t>7 years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Copyrights and other intellectual property</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86"/>
              </w:rPr>
              <w:t>10 years</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7"/>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118,259</w:t>
            </w:r>
          </w:p>
        </w:tc>
        <w:tc>
          <w:tcPr>
            <w:tcW w:w="20" w:type="dxa"/>
            <w:vAlign w:val="bottom"/>
            <w:tcBorders>
              <w:bottom w:val="single" w:sz="8" w:color="auto"/>
            </w:tcBorders>
          </w:tcPr>
          <w:p>
            <w:pPr>
              <w:spacing w:after="0"/>
              <w:rPr>
                <w:sz w:val="18"/>
                <w:szCs w:val="18"/>
                <w:color w:val="auto"/>
              </w:rPr>
            </w:pPr>
          </w:p>
        </w:tc>
        <w:tc>
          <w:tcPr>
            <w:tcW w:w="160" w:type="dxa"/>
            <w:vAlign w:val="bottom"/>
            <w:gridSpan w:val="2"/>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7,164</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111,095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Amortization expense for intangible assets was approximately $1.14 million for the three-month period ended March 31, 2020 (the "current quarter") and was approximately $0.77 million for the three-month period ended March 31, 2019 (the "prior year quarter").</w:t>
      </w:r>
    </w:p>
    <w:p>
      <w:pPr>
        <w:spacing w:after="0" w:line="184"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Effective January 1, 2020, the Company determined that the Ripka Brand, inclusive of all its trademarks, has a finite life of 15 years, and is amortized on a straight-line basis accordingly. Prior to January 1, 2020, the Ripka Brand trademarks were considered indefinite-lived assets.</w:t>
      </w:r>
    </w:p>
    <w:p>
      <w:pPr>
        <w:spacing w:after="0" w:line="184"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The trademarks related to the Isaac Mizrahi Brand have been determined to have indefinite useful lives and, accordingly, no amortization has been recorded for these assets.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Significant Contracts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QVC Agreements</w:t>
      </w:r>
    </w:p>
    <w:p>
      <w:pPr>
        <w:spacing w:after="0" w:line="225"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Under the Company’s agreements with QVC, QVC is required to pay the Company fees based primarily on a percentage of its net sales of Isaac Mizrahi, Ripka, and H Halston branded merchandise. QVC royalty revenue represents a significant portion of the Company’s total revenues.</w:t>
      </w:r>
    </w:p>
    <w:p>
      <w:pPr>
        <w:spacing w:after="0" w:line="184" w:lineRule="exact"/>
        <w:rPr>
          <w:sz w:val="20"/>
          <w:szCs w:val="20"/>
          <w:color w:val="auto"/>
        </w:rPr>
      </w:pPr>
    </w:p>
    <w:p>
      <w:pPr>
        <w:jc w:val="both"/>
        <w:ind w:left="1020" w:right="79" w:hanging="328"/>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revenues from QVC totaled $4.69 million and $6.86 million for the current and prior year quarter, respectively, representing approximately 49% and 82% of the Company’s total net revenues for the current and prior year quarter, respectively.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 w:name="page9"/>
    <w:bookmarkEnd w:id="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March 31,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left="1020" w:right="59" w:hanging="328"/>
        <w:spacing w:after="0" w:line="263" w:lineRule="auto"/>
        <w:tabs>
          <w:tab w:leader="none" w:pos="10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As of March 31, 2020 and December 31, 2019, the Company had receivables from QVC of $4.59 million and $4.33 million, respectively, representing approximately 52% and 41% of the Company’s total receivables, respectively.</w:t>
      </w:r>
    </w:p>
    <w:p>
      <w:pPr>
        <w:spacing w:after="0" w:line="179" w:lineRule="exact"/>
        <w:rPr>
          <w:rFonts w:ascii="Arial" w:cs="Arial" w:eastAsia="Arial" w:hAnsi="Arial"/>
          <w:sz w:val="18"/>
          <w:szCs w:val="18"/>
          <w:color w:val="auto"/>
        </w:rPr>
      </w:pPr>
    </w:p>
    <w:p>
      <w:pPr>
        <w:ind w:left="220" w:hanging="176"/>
        <w:spacing w:after="0"/>
        <w:tabs>
          <w:tab w:leader="none" w:pos="2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The Company has operating leases for its current office, former office, and certain equipment with a term of 12 months or less. The Company’s office leases have remaining lease terms of approximately 2 years to 8 years.</w:t>
      </w:r>
    </w:p>
    <w:p>
      <w:pPr>
        <w:spacing w:after="0" w:line="170" w:lineRule="exact"/>
        <w:rPr>
          <w:sz w:val="20"/>
          <w:szCs w:val="20"/>
          <w:color w:val="auto"/>
        </w:rPr>
      </w:pPr>
    </w:p>
    <w:p>
      <w:pPr>
        <w:jc w:val="both"/>
        <w:ind w:left="40" w:right="59"/>
        <w:spacing w:after="0" w:line="293" w:lineRule="auto"/>
        <w:rPr>
          <w:sz w:val="20"/>
          <w:szCs w:val="20"/>
          <w:color w:val="auto"/>
        </w:rPr>
      </w:pPr>
      <w:r>
        <w:rPr>
          <w:rFonts w:ascii="Arial" w:cs="Arial" w:eastAsia="Arial" w:hAnsi="Arial"/>
          <w:sz w:val="16"/>
          <w:szCs w:val="16"/>
          <w:color w:val="auto"/>
        </w:rPr>
        <w:t>Under GAAP, a lessee is generally required to recognize a liability for its obligation to make future lease payments (the lease liability) and a right-of-use (“ROU”) asset representing its right to use the underlying leased asset for the lease term. The Company determines if an arrangement is a lease at inception. Operating leases are recorded in operating lease ROU assets, current portion of operating lease liabilities, and long-term operating lease liabilities on the Company’s condensed consolidated balance sheets. The Company does not recognize lease liabilities and ROU assets for lease terms of 12 months or less, but recognizes such lease payments in net income on a straight-line basis over the lease terms.</w:t>
      </w:r>
    </w:p>
    <w:p>
      <w:pPr>
        <w:spacing w:after="0" w:line="164"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8"/>
          <w:szCs w:val="18"/>
          <w:color w:val="auto"/>
        </w:rPr>
        <w:t>Operating lease ROU assets and lease liabilities are recognized at commencement date based on the present value of lease payments over the lease term. As most of the Company’s leases do not provide an implicit rate, the Company generally uses its incremental borrowing rate based on the information available at commencement date in determining the present value of lease payments. Lease terms may include options to extend or terminate the lease when it is reasonably certain that the Company will exercise that option. Lease expense for operating lease payments is recognized on a straight-line basis over the lease term.</w:t>
      </w:r>
    </w:p>
    <w:p>
      <w:pPr>
        <w:spacing w:after="0" w:line="192"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For the current and prior year quarter, lease expense included in selling, general and administrative expenses on the Company’s unaudited condensed consolidated statements of operations was $0.4 million.</w:t>
      </w:r>
    </w:p>
    <w:p>
      <w:pPr>
        <w:spacing w:after="0" w:line="170"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As of March 31, 2020, the weighted average remaining operating lease term was 6.6 years and the weighted average discount rate for operating leases was 6.3%.</w:t>
      </w:r>
    </w:p>
    <w:p>
      <w:pPr>
        <w:spacing w:after="0" w:line="170"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Cash paid for amounts included in the measurement of operating lease liabilities in both the current and prior year quarter was $0.6 million.</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 of March 31, 2020, the maturities of lease liabilities were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in thousands)</w:t>
            </w:r>
          </w:p>
        </w:tc>
        <w:tc>
          <w:tcPr>
            <w:tcW w:w="398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39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2021</w:t>
            </w: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2,577</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2023</w:t>
            </w: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1,552</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w:t>
            </w:r>
          </w:p>
        </w:tc>
      </w:tr>
      <w:tr>
        <w:trPr>
          <w:trHeight w:val="216"/>
        </w:trPr>
        <w:tc>
          <w:tcPr>
            <w:tcW w:w="3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After 2024</w:t>
            </w:r>
          </w:p>
        </w:tc>
        <w:tc>
          <w:tcPr>
            <w:tcW w:w="39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4,398</w:t>
            </w: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3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13,628</w:t>
            </w:r>
          </w:p>
        </w:tc>
      </w:tr>
      <w:tr>
        <w:trPr>
          <w:trHeight w:val="229"/>
        </w:trPr>
        <w:tc>
          <w:tcPr>
            <w:tcW w:w="3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Discount</w:t>
            </w:r>
          </w:p>
        </w:tc>
        <w:tc>
          <w:tcPr>
            <w:tcW w:w="39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2,531</w:t>
            </w:r>
          </w:p>
        </w:tc>
      </w:tr>
      <w:tr>
        <w:trPr>
          <w:trHeight w:val="223"/>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3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11,097</w:t>
            </w:r>
          </w:p>
        </w:tc>
      </w:tr>
      <w:tr>
        <w:trPr>
          <w:trHeight w:val="230"/>
        </w:trPr>
        <w:tc>
          <w:tcPr>
            <w:tcW w:w="3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Current portion of lease liabilities</w:t>
            </w:r>
          </w:p>
        </w:tc>
        <w:tc>
          <w:tcPr>
            <w:tcW w:w="39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w:t>
            </w:r>
          </w:p>
        </w:tc>
      </w:tr>
      <w:tr>
        <w:trPr>
          <w:trHeight w:val="230"/>
        </w:trPr>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portion of lease liabilities</w:t>
            </w:r>
          </w:p>
        </w:tc>
        <w:tc>
          <w:tcPr>
            <w:tcW w:w="39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9,297</w:t>
            </w:r>
          </w:p>
        </w:tc>
      </w:tr>
      <w:tr>
        <w:trPr>
          <w:trHeight w:val="864"/>
        </w:trPr>
        <w:tc>
          <w:tcPr>
            <w:tcW w:w="3600" w:type="dxa"/>
            <w:vAlign w:val="bottom"/>
          </w:tcPr>
          <w:p>
            <w:pPr>
              <w:spacing w:after="0"/>
              <w:rPr>
                <w:sz w:val="24"/>
                <w:szCs w:val="24"/>
                <w:color w:val="auto"/>
              </w:rPr>
            </w:pPr>
          </w:p>
        </w:tc>
        <w:tc>
          <w:tcPr>
            <w:tcW w:w="3980" w:type="dxa"/>
            <w:vAlign w:val="bottom"/>
          </w:tcPr>
          <w:p>
            <w:pPr>
              <w:jc w:val="right"/>
              <w:ind w:right="299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560"/>
        </w:trPr>
        <w:tc>
          <w:tcPr>
            <w:tcW w:w="36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9" w:name="page10"/>
    <w:bookmarkEnd w:id="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March 31,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5. Debt and Contingent Obligation</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Debt</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Company’s net carrying amount of debt was comprised of the following:</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0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14"/>
                <w:szCs w:val="14"/>
                <w:color w:val="auto"/>
              </w:rPr>
            </w:pPr>
          </w:p>
        </w:tc>
        <w:tc>
          <w:tcPr>
            <w:tcW w:w="124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4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Xcel Term Loan</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Unamortized deferred finance costs related to term loan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18,821</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3,375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15,471</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16,571</w:t>
            </w:r>
          </w:p>
        </w:tc>
        <w:tc>
          <w:tcPr>
            <w:tcW w:w="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0" w:right="59"/>
        <w:spacing w:after="0" w:line="291" w:lineRule="auto"/>
        <w:rPr>
          <w:sz w:val="20"/>
          <w:szCs w:val="20"/>
          <w:color w:val="auto"/>
        </w:rPr>
      </w:pPr>
      <w:r>
        <w:rPr>
          <w:rFonts w:ascii="Arial" w:cs="Arial" w:eastAsia="Arial" w:hAnsi="Arial"/>
          <w:sz w:val="16"/>
          <w:szCs w:val="16"/>
          <w:color w:val="auto"/>
        </w:rPr>
        <w:t>On February 11, 2019, the Company entered into an amended loan agreement with Bank Hapoalim B.M. (“BHI”), which amended and restated the prior Xcel Term Loan. Immediately prior to February 11, 2019, the aggregate principal amount of the prior Xcel Term Loan was $14.5 million. Pursuant to the Xcel Term Loan agreement, the Lenders extended to Xcel an additional term loan in the amount of $7.5 million, such that, as of February 11, 2019, the aggregate outstanding balance of all the term loans extended by BHI to Xcel was $22.0 million, which amount has been divided under the Xcel Term Loan agreement into two term loans: (1) a term loan in the amount of $7.3 million (“Term Loan A”) and (2) a term loan in the amount of $14.7 million (“Term Loan B” and, together with Term Loan A, the “Term Loans”).</w:t>
      </w:r>
    </w:p>
    <w:p>
      <w:pPr>
        <w:spacing w:after="0" w:line="166"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color w:val="auto"/>
        </w:rPr>
        <w:t>The terms and conditions of the Xcel Term Loan resulted in significantly different debt service payment requirements compared with the prior term debt with BHI. Management assessed and determined that this amendment resulted in a loss on extinguishment of debt and recognized a loss of $0.2 million (consisting of unamortized deferred finance costs) during the prior year quarter. Upon entering into the Xcel Term Loan, Xcel paid an upfront fee in the amount of $0.09 million to BHI.</w:t>
      </w:r>
    </w:p>
    <w:p>
      <w:pPr>
        <w:spacing w:after="0" w:line="188" w:lineRule="exact"/>
        <w:rPr>
          <w:sz w:val="20"/>
          <w:szCs w:val="20"/>
          <w:color w:val="auto"/>
        </w:rPr>
      </w:pPr>
    </w:p>
    <w:p>
      <w:pPr>
        <w:jc w:val="both"/>
        <w:ind w:left="40" w:right="59"/>
        <w:spacing w:after="0" w:line="254" w:lineRule="auto"/>
        <w:rPr>
          <w:sz w:val="20"/>
          <w:szCs w:val="20"/>
          <w:color w:val="auto"/>
        </w:rPr>
      </w:pPr>
      <w:r>
        <w:rPr>
          <w:rFonts w:ascii="Arial" w:cs="Arial" w:eastAsia="Arial" w:hAnsi="Arial"/>
          <w:sz w:val="18"/>
          <w:szCs w:val="18"/>
          <w:color w:val="auto"/>
        </w:rPr>
        <w:t>The Xcel Term Loan also allows that BHI and any other lender party to the Xcel Term Loan (collectively, the “Lenders”) can provide to Xcel a revolving loan facility and a letter of credit facility, the terms of each of which shall be agreed to by Xcel and the Lenders. Amounts advanced under the revolving loan facility (the “Revolving Loans”) will be used for the purpose of consummating acquisitions by Xcel or its subsidiaries that are or become parties to the Xcel Term Loan. Xcel will have the right to convert Revolving Loans to incremental term loans (the “Incremental Term Loans”) in minimum amounts of $5.0 million. The Company has not drawn down any funds under either the revolving loan facility or letter of credit facility.</w:t>
      </w:r>
    </w:p>
    <w:p>
      <w:pPr>
        <w:spacing w:after="0" w:line="195"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7"/>
          <w:szCs w:val="17"/>
          <w:color w:val="auto"/>
        </w:rPr>
        <w:t>On April 13, 2020, the Company further amended its Second Amended and Restated Loan and Security Agreement with BHI. Under this amendment, the quarterly installment payment due March 31, 2020 was deferred, and the amounts of the quarterly installment payments due throughout the remainder of 2020 were reduced, while the amount of principal to be repaid through variable payments based on excess cash flow was increased. In addition, there were multiple changes and waivers to the various financial covenants. Further, this amendment permits Xcel to incur unsecured debt through the Paycheck Protection Program (“PPP”) under the Coronavirus Aid, Relief, and Economic Security Act (“CARES Act”), and excludes any associated PPP debt and debt service from the covenant calculations. There were no changes to the total principal balance, interest rate, or maturity date.</w:t>
      </w:r>
    </w:p>
    <w:p>
      <w:pPr>
        <w:spacing w:after="0" w:line="178"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The Term Loans mature on December 31, 2023; Incremental Term Loans shall mature on the date set forth in the applicable term note; and Revolving Loans and the letter of credit facility shall mature on such date as agreed upon by Xcel and the Lenders. Any letter of credit issued under Xcel Term Loan shall terminate no later than one year following the date of issuance thereof.</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 w:name="page11"/>
    <w:bookmarkEnd w:id="1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March 31,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on the Xcel Term Loan, as amended, is payable in fixed installments as follows:</w:t>
      </w:r>
    </w:p>
    <w:p>
      <w:pPr>
        <w:spacing w:after="0" w:line="23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in thousands)</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220" w:type="dxa"/>
            <w:vAlign w:val="bottom"/>
            <w:tcBorders>
              <w:top w:val="single" w:sz="8" w:color="auto"/>
              <w:bottom w:val="single" w:sz="8" w:color="auto"/>
            </w:tcBorders>
          </w:tcPr>
          <w:p>
            <w:pPr>
              <w:ind w:left="2760"/>
              <w:spacing w:after="0" w:line="142" w:lineRule="exact"/>
              <w:rPr>
                <w:sz w:val="20"/>
                <w:szCs w:val="20"/>
                <w:color w:val="auto"/>
              </w:rPr>
            </w:pPr>
            <w:r>
              <w:rPr>
                <w:rFonts w:ascii="Arial" w:cs="Arial" w:eastAsia="Arial" w:hAnsi="Arial"/>
                <w:sz w:val="14"/>
                <w:szCs w:val="14"/>
                <w:b w:val="1"/>
                <w:bCs w:val="1"/>
                <w:color w:val="auto"/>
              </w:rPr>
              <w:t>Installment Payment Dates</w:t>
            </w:r>
          </w:p>
        </w:tc>
        <w:tc>
          <w:tcPr>
            <w:tcW w:w="2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June 30, 2020, September 30, 2020, and December 31, 2020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March 31, 2021, June 30, 2021, September 30, 2021, and December 31, 2021</w:t>
            </w:r>
          </w:p>
        </w:tc>
        <w:tc>
          <w:tcPr>
            <w:tcW w:w="50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April 30, 2021</w:t>
            </w:r>
          </w:p>
        </w:tc>
        <w:tc>
          <w:tcPr>
            <w:tcW w:w="50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March 31, 2022, June 30, 2022, September 30, 2022, and December 31, 2022</w:t>
            </w:r>
          </w:p>
        </w:tc>
        <w:tc>
          <w:tcPr>
            <w:tcW w:w="50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March 31, 2023, June 30, 2023, September 30, 2023, and December 31, 2023</w:t>
            </w:r>
          </w:p>
        </w:tc>
        <w:tc>
          <w:tcPr>
            <w:tcW w:w="50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0" w:right="59"/>
        <w:spacing w:after="0" w:line="290" w:lineRule="auto"/>
        <w:rPr>
          <w:sz w:val="20"/>
          <w:szCs w:val="20"/>
          <w:color w:val="auto"/>
        </w:rPr>
      </w:pPr>
      <w:r>
        <w:rPr>
          <w:rFonts w:ascii="Arial" w:cs="Arial" w:eastAsia="Arial" w:hAnsi="Arial"/>
          <w:sz w:val="16"/>
          <w:szCs w:val="16"/>
          <w:color w:val="auto"/>
        </w:rPr>
        <w:t>In addition to the fixed installments outlined above, commencing with the fiscal quarter ended March 31, 2021, the Company is required to repay a portion of the Xcel Term Loan in an amount equal to 50% of the excess cash flow for the fiscal quarter, provided that no early termination fee shall be payable with respect to any such payment. Excess cash flow means, for any period, cash flow from operations (before certain permitted distributions) less (i) capital expenditures not made through the incurrence of indebtedness, (ii) all cash principal paid or payable during such period, and (iii) all dividends declared and paid (or which could have been declared and paid) during such period to equity holders of any credit party treated as a disregarded entity for tax purposes. To the extent that the cumulative amount of such variable repayments made is less than $2.00 million as of March 31, 2022, any such shortfall must be repaid at that date.</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Thus, the aggregate remaining annual principal payments under the Xcel Term Loan are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58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ind w:right="77"/>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7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7"/>
              </w:rPr>
              <w:t>Principal</w:t>
            </w:r>
          </w:p>
        </w:tc>
        <w:tc>
          <w:tcPr>
            <w:tcW w:w="0" w:type="dxa"/>
            <w:vAlign w:val="bottom"/>
          </w:tcPr>
          <w:p>
            <w:pPr>
              <w:spacing w:after="0"/>
              <w:rPr>
                <w:sz w:val="1"/>
                <w:szCs w:val="1"/>
                <w:color w:val="auto"/>
              </w:rPr>
            </w:pPr>
          </w:p>
        </w:tc>
      </w:tr>
      <w:tr>
        <w:trPr>
          <w:trHeight w:val="171"/>
        </w:trPr>
        <w:tc>
          <w:tcPr>
            <w:tcW w:w="7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Ending December 31,</w:t>
            </w: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2"/>
              </w:rPr>
              <w:t>Payment</w:t>
            </w: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5,250</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16"/>
        </w:trPr>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2023</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7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0" w:right="59"/>
        <w:spacing w:after="0" w:line="301" w:lineRule="auto"/>
        <w:rPr>
          <w:sz w:val="20"/>
          <w:szCs w:val="20"/>
          <w:color w:val="auto"/>
        </w:rPr>
      </w:pPr>
      <w:r>
        <w:rPr>
          <w:rFonts w:ascii="Arial" w:cs="Arial" w:eastAsia="Arial" w:hAnsi="Arial"/>
          <w:sz w:val="16"/>
          <w:szCs w:val="16"/>
          <w:color w:val="auto"/>
        </w:rPr>
        <w:t>Xcel has the right to prepay the Term Loans, Incremental Term Loans, Revolving Loans, and obligations with respect to letters of credit and accrued and unpaid interest thereon and to terminate the Lenders’ obligations to make Revolving Loans and issue letters of credit; provided that any prepayment of less than all of the outstanding balances of the Term Loans and Incremental Term Loans shall be applied to the remaining amounts due in inverse order of maturity.</w:t>
      </w:r>
    </w:p>
    <w:p>
      <w:pPr>
        <w:spacing w:after="0" w:line="157" w:lineRule="exact"/>
        <w:rPr>
          <w:sz w:val="20"/>
          <w:szCs w:val="20"/>
          <w:color w:val="auto"/>
        </w:rPr>
      </w:pPr>
    </w:p>
    <w:p>
      <w:pPr>
        <w:jc w:val="both"/>
        <w:ind w:left="40" w:right="59"/>
        <w:spacing w:after="0" w:line="289" w:lineRule="auto"/>
        <w:rPr>
          <w:sz w:val="20"/>
          <w:szCs w:val="20"/>
          <w:color w:val="auto"/>
        </w:rPr>
      </w:pPr>
      <w:r>
        <w:rPr>
          <w:rFonts w:ascii="Arial" w:cs="Arial" w:eastAsia="Arial" w:hAnsi="Arial"/>
          <w:sz w:val="16"/>
          <w:szCs w:val="16"/>
          <w:color w:val="auto"/>
        </w:rPr>
        <w:t>If any Term Loan or any Incremental Term Loan is prepaid on or prior to the third anniversary of the Closing Date (including as a result of an event of default), Xcel shall pay an early termination fee as follows: an amount equal to the principal amount of the Term Loan or Incremental Term Loan, as applicable, being prepaid, multiplied by: (i) two percent (2.00%) if any of Term Loan B or any Incremental Term Loan is prepaid on or before the second anniversary of the later of the Closing Date or the date such Incremental Term Loan was made, as applicable; (ii) one percent (1.00%) if any of Term Loan A is prepaid on or before the second anniversary of the Closing Date; (iii) one percent (1.00%) if any of Term Loan B or any Incremental Term Loan is prepaid after the second anniversary of the later of the Closing Date or such Incremental Term Loan was made, as applicable, but on or before the third anniversary of such date; (iv) one-half of one percent (0.50%) if any of Term Loan A is prepaid after the second anniversary of the Closing Date, but on or before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 w:name="page12"/>
    <w:bookmarkEnd w:id="1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March 31,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color w:val="auto"/>
        </w:rPr>
        <w:t>the third anniversary of such date; or (v) zero percent (0.00%) if any Term Loan or any Incremental Term Loan is prepaid after the third anniversary of the later of the Closing Date or the date such Incremental Term Loan was made, as applicable.</w:t>
      </w:r>
    </w:p>
    <w:p>
      <w:pPr>
        <w:spacing w:after="0" w:line="124"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Notwithstanding the above, Xcel may make a voluntary prepayment of up to $0.75 million without any early termination fees. Any such prepayment would be applied against the April 30, 2021 fixed installment payment and would be excluded from the computation of excess cash flows.</w:t>
      </w:r>
    </w:p>
    <w:p>
      <w:pPr>
        <w:spacing w:after="0" w:line="184"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color w:val="auto"/>
        </w:rPr>
        <w:t>Xcel’s obligations under the Xcel Term Loan are guaranteed by and secured by all of the assets of Xcel and its wholly owned subsidiaries, as well as any subsidiary formed or acquired that becomes a credit party to the Xcel Term Loan agreement (the “Guarantors”) and, subject to certain limitations contained in Xcel Term Loan, equity interests of the Guarantors. Xcel also granted the Lenders a right of first offer to finance any acquisition for which the consideration will be paid other than by cash of Xcel or by the issuance of equity interest of Xcel.</w:t>
      </w:r>
    </w:p>
    <w:p>
      <w:pPr>
        <w:spacing w:after="0" w:line="188" w:lineRule="exact"/>
        <w:rPr>
          <w:sz w:val="20"/>
          <w:szCs w:val="20"/>
          <w:color w:val="auto"/>
        </w:rPr>
      </w:pPr>
    </w:p>
    <w:p>
      <w:pPr>
        <w:jc w:val="both"/>
        <w:ind w:left="40" w:right="59"/>
        <w:spacing w:after="0" w:line="270" w:lineRule="auto"/>
        <w:rPr>
          <w:sz w:val="20"/>
          <w:szCs w:val="20"/>
          <w:color w:val="auto"/>
        </w:rPr>
      </w:pPr>
      <w:r>
        <w:rPr>
          <w:rFonts w:ascii="Arial" w:cs="Arial" w:eastAsia="Arial" w:hAnsi="Arial"/>
          <w:sz w:val="17"/>
          <w:szCs w:val="17"/>
          <w:color w:val="auto"/>
        </w:rPr>
        <w:t>Interest on Term Loan A accrues at a fixed rate of 5.1% per annum and is payable on each day on which the scheduled principal payments on Term Loans are required to be made. Interest on Term Loan B accrues at a fixed rate of 6.25% per annum and is payable on each day on which the scheduled principal payments on Term Loans are required to be made. Interest on the Revolving Loans will accrue at either the Base Rate or LIBOR, as elected by Xcel, plus a margin to be agreed to by Xcel and the Lenders and will be payable on the first day of each month. Base Rate is defined in the Xcel Term Loan agreement as the greater of (a) BHI’s stated prime rate or (b) 2.00% per annum plus the overnight federal funds rate published by the Federal Reserve Bank of New York. Interest on the Incremental Term Loans will accrue at rates to be agreed to by Xcel and the Lenders and will be payable on each day on which the scheduled principal payments under the applicable note are required to be made.</w:t>
      </w:r>
    </w:p>
    <w:p>
      <w:pPr>
        <w:spacing w:after="0" w:line="181"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The Xcel Term Loan contains customary covenants, including reporting requirements, trademark preservation, and the following financial covenants of Xcel (on a consolidated basis with Xcel and the Guarantors under the Second Amended and Restated Loan and Security Agreement):</w:t>
      </w:r>
    </w:p>
    <w:p>
      <w:pPr>
        <w:spacing w:after="0" w:line="184" w:lineRule="exact"/>
        <w:rPr>
          <w:sz w:val="20"/>
          <w:szCs w:val="20"/>
          <w:color w:val="auto"/>
        </w:rPr>
      </w:pPr>
    </w:p>
    <w:p>
      <w:pPr>
        <w:ind w:left="1020" w:hanging="328"/>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worth of at least $90.0 million at the end of each fiscal quarter;</w:t>
      </w:r>
    </w:p>
    <w:p>
      <w:pPr>
        <w:spacing w:after="0" w:line="225" w:lineRule="exact"/>
        <w:rPr>
          <w:rFonts w:ascii="Arial" w:cs="Arial" w:eastAsia="Arial" w:hAnsi="Arial"/>
          <w:sz w:val="18"/>
          <w:szCs w:val="18"/>
          <w:color w:val="auto"/>
        </w:rPr>
      </w:pPr>
    </w:p>
    <w:p>
      <w:pPr>
        <w:jc w:val="both"/>
        <w:ind w:left="1020" w:right="59" w:hanging="328"/>
        <w:spacing w:after="0" w:line="286"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liquid assets of at least $3.25 million through the earlier of December 31, 2020 or such time as any PPP loan proceeds are received by the Company, at least $4.0 million through December 31, 2020 provided that PPP loan proceeds have been received by the Company, and at least $5.0 million thereafter;</w:t>
      </w:r>
    </w:p>
    <w:p>
      <w:pPr>
        <w:spacing w:after="0" w:line="165" w:lineRule="exact"/>
        <w:rPr>
          <w:rFonts w:ascii="Arial" w:cs="Arial" w:eastAsia="Arial" w:hAnsi="Arial"/>
          <w:sz w:val="17"/>
          <w:szCs w:val="17"/>
          <w:color w:val="auto"/>
        </w:rPr>
      </w:pPr>
    </w:p>
    <w:p>
      <w:pPr>
        <w:ind w:left="1020" w:right="79" w:hanging="328"/>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EBITDA shall not be less than $5.0 million for the twelve fiscal month period ended March 31, 2020, and $4.8 million for the twelve fiscal month period ending June 30, 2020;</w:t>
      </w:r>
    </w:p>
    <w:p>
      <w:pPr>
        <w:spacing w:after="0" w:line="170" w:lineRule="exact"/>
        <w:rPr>
          <w:rFonts w:ascii="Arial" w:cs="Arial" w:eastAsia="Arial" w:hAnsi="Arial"/>
          <w:sz w:val="18"/>
          <w:szCs w:val="18"/>
          <w:color w:val="auto"/>
        </w:rPr>
      </w:pPr>
    </w:p>
    <w:p>
      <w:pPr>
        <w:ind w:left="1020" w:right="59" w:hanging="328"/>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fixed charge coverage ratio for the twelve fiscal month period ending at the end of each fiscal quarter shall not be less than the ratio set forth below:</w:t>
      </w:r>
    </w:p>
    <w:p>
      <w:pPr>
        <w:spacing w:after="0" w:line="175"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4820" w:type="dxa"/>
            <w:vAlign w:val="bottom"/>
            <w:gridSpan w:val="2"/>
          </w:tcPr>
          <w:p>
            <w:pPr>
              <w:ind w:left="1740"/>
              <w:spacing w:after="0"/>
              <w:rPr>
                <w:sz w:val="20"/>
                <w:szCs w:val="20"/>
                <w:color w:val="auto"/>
              </w:rPr>
            </w:pPr>
            <w:r>
              <w:rPr>
                <w:rFonts w:ascii="Arial" w:cs="Arial" w:eastAsia="Arial" w:hAnsi="Arial"/>
                <w:sz w:val="14"/>
                <w:szCs w:val="14"/>
                <w:b w:val="1"/>
                <w:bCs w:val="1"/>
                <w:color w:val="auto"/>
              </w:rPr>
              <w:t>Fiscal Quarter End</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3"/>
              </w:rPr>
              <w:t>Fixed Charge Coverage Ratio</w:t>
            </w:r>
          </w:p>
        </w:tc>
      </w:tr>
      <w:tr>
        <w:trPr>
          <w:trHeight w:val="209"/>
        </w:trPr>
        <w:tc>
          <w:tcPr>
            <w:tcW w:w="4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September 30, 2020</w:t>
            </w:r>
          </w:p>
        </w:tc>
        <w:tc>
          <w:tcPr>
            <w:tcW w:w="14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1.00 to 1.00</w:t>
            </w: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December 31, 2020, and thereafter</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1.10 to 1.00</w:t>
            </w:r>
          </w:p>
        </w:tc>
      </w:tr>
    </w:tbl>
    <w:p>
      <w:pPr>
        <w:spacing w:after="0" w:line="187" w:lineRule="exact"/>
        <w:rPr>
          <w:sz w:val="20"/>
          <w:szCs w:val="20"/>
          <w:color w:val="auto"/>
        </w:rPr>
      </w:pPr>
    </w:p>
    <w:p>
      <w:pPr>
        <w:jc w:val="both"/>
        <w:ind w:left="1020" w:right="59" w:hanging="328"/>
        <w:spacing w:after="0" w:line="263"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 expenditures (excluding any capitalized compensation costs) shall not exceed $1.6 million for the fiscal year ending December 31, 2020, and $0.7 million for any fiscal year beginning after December 31, 2020; and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 w:name="page13"/>
    <w:bookmarkEnd w:id="1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March 31,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1020" w:right="359" w:hanging="328"/>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leverage ratio for the twelve fiscal month period ending at the end of each fiscal period set forth below shall not exceed the ratio below:</w:t>
      </w:r>
    </w:p>
    <w:p>
      <w:pPr>
        <w:spacing w:after="0" w:line="175"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5040" w:type="dxa"/>
            <w:vAlign w:val="bottom"/>
            <w:gridSpan w:val="2"/>
          </w:tcPr>
          <w:p>
            <w:pPr>
              <w:ind w:left="2040"/>
              <w:spacing w:after="0"/>
              <w:rPr>
                <w:sz w:val="20"/>
                <w:szCs w:val="20"/>
                <w:color w:val="auto"/>
              </w:rPr>
            </w:pPr>
            <w:r>
              <w:rPr>
                <w:rFonts w:ascii="Arial" w:cs="Arial" w:eastAsia="Arial" w:hAnsi="Arial"/>
                <w:sz w:val="14"/>
                <w:szCs w:val="14"/>
                <w:b w:val="1"/>
                <w:bCs w:val="1"/>
                <w:color w:val="auto"/>
              </w:rPr>
              <w:t>Fiscal Period</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4"/>
              </w:rPr>
              <w:t>Maximum Leverage Ratio</w:t>
            </w:r>
          </w:p>
        </w:tc>
      </w:tr>
      <w:tr>
        <w:trPr>
          <w:trHeight w:val="210"/>
        </w:trPr>
        <w:tc>
          <w:tcPr>
            <w:tcW w:w="4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14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2.90 to 1.00</w:t>
            </w: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June 30, 2020</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4.25 to 1.00</w:t>
            </w: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2020</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3.50 to 1.00</w:t>
            </w: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December 31, 2020</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2.75 to 1.00</w:t>
            </w: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2021, June 30, 2021 and September 30, 2021</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1.70 to 1.00</w:t>
            </w: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December 31, 2021 and each Fiscal Quarter end thereafter</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1.50 to 1.00</w:t>
            </w:r>
          </w:p>
        </w:tc>
      </w:tr>
    </w:tbl>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Company was in compliance with all applicable covenants as of March 31, 2020.</w:t>
      </w:r>
    </w:p>
    <w:p>
      <w:pPr>
        <w:spacing w:after="0" w:line="22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For the current and prior year quarter, the Company incurred aggregate interest expense related to term loan debt of approximately $288,000 and $260,000, respectively.</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Contingent Obligation</w:t>
      </w:r>
    </w:p>
    <w:p>
      <w:pPr>
        <w:spacing w:after="0" w:line="225" w:lineRule="exact"/>
        <w:rPr>
          <w:sz w:val="20"/>
          <w:szCs w:val="20"/>
          <w:color w:val="auto"/>
        </w:rPr>
      </w:pPr>
    </w:p>
    <w:p>
      <w:pPr>
        <w:jc w:val="both"/>
        <w:ind w:left="40" w:right="59"/>
        <w:spacing w:after="0" w:line="253" w:lineRule="auto"/>
        <w:rPr>
          <w:sz w:val="20"/>
          <w:szCs w:val="20"/>
          <w:color w:val="auto"/>
        </w:rPr>
      </w:pPr>
      <w:r>
        <w:rPr>
          <w:rFonts w:ascii="Arial" w:cs="Arial" w:eastAsia="Arial" w:hAnsi="Arial"/>
          <w:sz w:val="18"/>
          <w:szCs w:val="18"/>
          <w:color w:val="auto"/>
        </w:rPr>
        <w:t>In connection with the February 11, 2019 purchase of the Halston Heritage Trademarks from the H Company IP, LLC (“HIP”), the Company agreed to pay HIP additional consideration (the “Halston Heritage Earn-Out”) of up to an aggregate of $6.0 million, based on royalties earned through December 31, 2022. The Halston Heritage Earn-Out of $0.9 million is recorded as a long-term liability at March 31, 2020 and December 31, 2019 in the accompanying condensed consolidated balance sheets, based on the difference between the fair value of the acquired assets of the Halston Heritage Trademarks and the total consideration paid. In accordance with Accounting Standards Codification (“ASC”) Topic 480, “Distinguishing Liabilities from Equity,” the Halston Heritage Earn-Out obligation is treated as a liability in the accompanying condensed consolidated balance sheets because of the variable number of shares payable under the agreement.</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6. Stockholders’ Equity</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2011 Equity Incentive Plan</w:t>
      </w:r>
    </w:p>
    <w:p>
      <w:pPr>
        <w:spacing w:after="0" w:line="225" w:lineRule="exact"/>
        <w:rPr>
          <w:sz w:val="20"/>
          <w:szCs w:val="20"/>
          <w:color w:val="auto"/>
        </w:rPr>
      </w:pPr>
    </w:p>
    <w:p>
      <w:pPr>
        <w:jc w:val="both"/>
        <w:ind w:left="40" w:right="59"/>
        <w:spacing w:after="0" w:line="272" w:lineRule="auto"/>
        <w:rPr>
          <w:sz w:val="20"/>
          <w:szCs w:val="20"/>
          <w:color w:val="auto"/>
        </w:rPr>
      </w:pPr>
      <w:r>
        <w:rPr>
          <w:rFonts w:ascii="Arial" w:cs="Arial" w:eastAsia="Arial" w:hAnsi="Arial"/>
          <w:sz w:val="17"/>
          <w:szCs w:val="17"/>
          <w:color w:val="auto"/>
        </w:rPr>
        <w:t>The Company’s 2011 Equity Incentive Plan, as amended and restated (the “Plan”), is designed and utilized to enable the Company to provide its employees, officers, directors, consultants, and others whose past, present, and/or potential contributions to the Company have been, are, or will be important to the success of the Company, an opportunity to acquire a proprietary interest in the Company. A total of 13,000,000 shares of common stock are eligible for issuance under the Plan. The Plan provides for the grant of any or all of the following types of awards: stock options, restricted stock, deferred stock, stock appreciation rights, and other stock-based awards. The Plan is administered by the Company’s Board of Directors, or, at the Board’s discretion, a committee of the Board.</w:t>
      </w:r>
    </w:p>
    <w:p>
      <w:pPr>
        <w:spacing w:after="0" w:line="177"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The Company accounts for stock-based compensation in accordance with ASC Topic 718, “Compensation - Stock Compensation,” by recognizing the fair value of stock-based compensation as an operating expense over the service period of the award or term of the corresponding contract, as applicable.</w:t>
      </w:r>
    </w:p>
    <w:p>
      <w:pPr>
        <w:spacing w:after="0" w:line="184" w:lineRule="exact"/>
        <w:rPr>
          <w:sz w:val="20"/>
          <w:szCs w:val="20"/>
          <w:color w:val="auto"/>
        </w:rPr>
      </w:pPr>
    </w:p>
    <w:p>
      <w:pPr>
        <w:jc w:val="both"/>
        <w:ind w:left="40" w:right="59"/>
        <w:spacing w:after="0" w:line="296" w:lineRule="auto"/>
        <w:rPr>
          <w:sz w:val="20"/>
          <w:szCs w:val="20"/>
          <w:color w:val="auto"/>
        </w:rPr>
      </w:pPr>
      <w:r>
        <w:rPr>
          <w:rFonts w:ascii="Arial" w:cs="Arial" w:eastAsia="Arial" w:hAnsi="Arial"/>
          <w:sz w:val="16"/>
          <w:szCs w:val="16"/>
          <w:color w:val="auto"/>
        </w:rPr>
        <w:t>The fair value of options and warrants is estimated on the date of grant using the Black-Scholes option pricing model. The valuation determined by the Black-Scholes option pricing model is affected by the Company’s stock price as well as assumptions regarding a number of highly complex and subjective variables. These variables include, but are not limited to, expected stock price volatility over the term of the awards, and actual and projected employee stock option exercise behaviors. The risk-free rate is based on the U.S. Treasury rate for the expected life at the time of grant, volatility is based</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 w:name="page14"/>
    <w:bookmarkEnd w:id="1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March 31,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color w:val="auto"/>
        </w:rPr>
        <w:t>on the average long-term implied volatilities of peer companies, and expected life is based on the estimated average of the life of options and warrants using the simplified method. The Company utilizes the simplified method to determine the expected life of the options and warrants due to insufficient exercise activity during recent years as a basis from which to estimate future exercise patterns. The expected dividend assumption is based on the Company’s history and expectation of dividend payouts.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Restricted stock awards are valued using the fair value of the Company’s stock at the date of grant.</w:t>
      </w:r>
    </w:p>
    <w:p>
      <w:pPr>
        <w:spacing w:after="0" w:line="225" w:lineRule="exact"/>
        <w:rPr>
          <w:sz w:val="20"/>
          <w:szCs w:val="20"/>
          <w:color w:val="auto"/>
        </w:rPr>
      </w:pPr>
    </w:p>
    <w:p>
      <w:pPr>
        <w:jc w:val="both"/>
        <w:ind w:left="40" w:right="59"/>
        <w:spacing w:after="0" w:line="220" w:lineRule="exact"/>
        <w:rPr>
          <w:sz w:val="20"/>
          <w:szCs w:val="20"/>
          <w:color w:val="auto"/>
        </w:rPr>
      </w:pPr>
      <w:r>
        <w:rPr>
          <w:rFonts w:ascii="Arial" w:cs="Arial" w:eastAsia="Arial" w:hAnsi="Arial"/>
          <w:sz w:val="18"/>
          <w:szCs w:val="18"/>
          <w:color w:val="auto"/>
        </w:rPr>
        <w:t>The Company accounts for non-employee awards in accordance with ASU 2018</w:t>
      </w:r>
      <w:r>
        <w:rPr>
          <w:rFonts w:ascii="MS PGothic" w:cs="MS PGothic" w:eastAsia="MS PGothic" w:hAnsi="MS PGothic"/>
          <w:sz w:val="18"/>
          <w:szCs w:val="18"/>
          <w:color w:val="auto"/>
        </w:rPr>
        <w:t>‑</w:t>
      </w:r>
      <w:r>
        <w:rPr>
          <w:rFonts w:ascii="Arial" w:cs="Arial" w:eastAsia="Arial" w:hAnsi="Arial"/>
          <w:sz w:val="18"/>
          <w:szCs w:val="18"/>
          <w:color w:val="auto"/>
        </w:rPr>
        <w:t>07, “Compensation - Stock Compensation (Topic 718) - Improvements to Nonemployee Share-Based Payment Accounting”. Such awards are measured at the grant-date fair value of the equity instruments to be issued, and the Company recognizes compensation cost for grants to non-employees on a straight-line basis over the period of the grant.</w:t>
      </w:r>
    </w:p>
    <w:p>
      <w:pPr>
        <w:spacing w:after="0" w:line="204"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For stock option awards for which vesting is contingent upon the achievement of certain performance targets, the timing and amount of compensation expense recognized is based upon the Company’s projections and estimates of the relevant performance metric(s) until the time the performance obligation is satisfied.</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Forfeitures are accounted for as a reduction of compensation cost in the period when such forfeitures occur.</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Options granted under the Plan expire at various times - either five, seven, or ten years from the date of grant, depending on the particular grant.</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summary of the Company’s stock options activity for the current quarter is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Remaining</w:t>
            </w: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Aggregate</w:t>
            </w: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9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Exercise</w:t>
            </w: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Life</w:t>
            </w:r>
          </w:p>
        </w:tc>
        <w:tc>
          <w:tcPr>
            <w:tcW w:w="100" w:type="dxa"/>
            <w:vAlign w:val="bottom"/>
          </w:tcPr>
          <w:p>
            <w:pPr>
              <w:spacing w:after="0"/>
              <w:rPr>
                <w:sz w:val="12"/>
                <w:szCs w:val="12"/>
                <w:color w:val="auto"/>
              </w:rPr>
            </w:pPr>
          </w:p>
        </w:tc>
        <w:tc>
          <w:tcPr>
            <w:tcW w:w="64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Options</w:t>
            </w:r>
          </w:p>
        </w:tc>
        <w:tc>
          <w:tcPr>
            <w:tcW w:w="10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Price</w:t>
            </w: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Pr>
          <w:p>
            <w:pPr>
              <w:spacing w:after="0"/>
              <w:rPr>
                <w:sz w:val="14"/>
                <w:szCs w:val="14"/>
                <w:color w:val="auto"/>
              </w:rPr>
            </w:pPr>
          </w:p>
        </w:tc>
        <w:tc>
          <w:tcPr>
            <w:tcW w:w="640" w:type="dxa"/>
            <w:vAlign w:val="bottom"/>
          </w:tcPr>
          <w:p>
            <w:pPr>
              <w:jc w:val="right"/>
              <w:ind w:right="11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2020</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7,222,625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tcPr>
          <w:p>
            <w:pPr>
              <w:ind w:left="120"/>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230,000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2.23</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Canceled</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20"/>
              <w:spacing w:after="0"/>
              <w:rPr>
                <w:sz w:val="20"/>
                <w:szCs w:val="20"/>
                <w:color w:val="auto"/>
              </w:rPr>
            </w:pPr>
            <w:r>
              <w:rPr>
                <w:rFonts w:ascii="Arial" w:cs="Arial" w:eastAsia="Arial" w:hAnsi="Arial"/>
                <w:sz w:val="18"/>
                <w:szCs w:val="18"/>
                <w:color w:val="auto"/>
              </w:rPr>
              <w:t>Exercised</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Expired/Forfeited</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(121,000)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at March 31, 2020, and expected to vest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7,331,625</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4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at March 31, 2020</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2,940,125</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color w:val="auto"/>
        </w:rPr>
        <w:t>On January 1, 2020, the Company granted options to purchase 5,000 shares of stock to a board observer. The exercise price of the options is $4.00 per share, and 50% of the options vest on each of January 1, 2021 and January 1, 2022.</w:t>
      </w:r>
    </w:p>
    <w:p>
      <w:pPr>
        <w:spacing w:after="0" w:line="124"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On January 31, 2020, the Company granted options to purchase 75,000 shares of stock to a consultant. The exercise price of the options is $1.57 per share, and all options vested immediately on the date of grant.</w:t>
      </w:r>
    </w:p>
    <w:p>
      <w:pPr>
        <w:spacing w:after="0" w:line="170"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On February 28, 2020, the Company granted options to purchase 50,000 shares of common stock to an employee. The exercise price is $1.40 per share, and the vesting of such options is dependent upon the Company achieving certain 12-month sales targets through December 31, 2021.</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 w:name="page15"/>
    <w:bookmarkEnd w:id="1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March 31,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6"/>
          <w:szCs w:val="16"/>
          <w:color w:val="auto"/>
        </w:rPr>
        <w:t>On March 13, 2020, the Company granted options to purchase 50,000 shares of common stock to a certain key employee.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exercise price of the options is $5.50 per share, and all options vested immediately on the date of grant.</w:t>
      </w:r>
    </w:p>
    <w:p>
      <w:pPr>
        <w:spacing w:after="0" w:line="211"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On March 31, 2020, the Company granted options to purchase 50,000 shares of common stock to an employee. The exercise price of the options is $0.61 per share, and one-third of the options shall vest on each of March 31, 2021, March 31, 2021, and March 31, 2022.</w:t>
      </w:r>
    </w:p>
    <w:p>
      <w:pPr>
        <w:spacing w:after="0" w:line="184"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Compensation expense related to stock options for the current quarter and the prior year quarter was approximately $68,000 and $243,000, respectively. Total unrecognized compensation expense related to unvested stock options at March 31, 2020 amounts to approximately $276,000 and is expected to be recognized over a weighted average period of approximately 1.71 years.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summary of the Company’s non-vested stock options activity for the current quarter is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860" w:type="dxa"/>
            <w:vAlign w:val="bottom"/>
          </w:tcPr>
          <w:p>
            <w:pPr>
              <w:spacing w:after="0"/>
              <w:rPr>
                <w:sz w:val="12"/>
                <w:szCs w:val="12"/>
                <w:color w:val="auto"/>
              </w:rPr>
            </w:pPr>
          </w:p>
        </w:tc>
        <w:tc>
          <w:tcPr>
            <w:tcW w:w="92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686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Options</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09"/>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2020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4,551,500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230,000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16"/>
        </w:trPr>
        <w:tc>
          <w:tcPr>
            <w:tcW w:w="68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Forfeited or Canceled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(115,000)</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16"/>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2020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4,391,500</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7"/>
          <w:szCs w:val="17"/>
          <w:color w:val="auto"/>
        </w:rPr>
        <w:t>Warrants expire at various times - either five or ten years from the date of grant, depending on the particular grant.</w:t>
      </w: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summary of the Company’s warrants activity for the current quarter is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5"/>
              </w:rPr>
              <w:t>Weighted</w:t>
            </w: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Remaining</w:t>
            </w:r>
          </w:p>
        </w:tc>
        <w:tc>
          <w:tcPr>
            <w:tcW w:w="20" w:type="dxa"/>
            <w:vAlign w:val="bottom"/>
          </w:tcPr>
          <w:p>
            <w:pPr>
              <w:spacing w:after="0"/>
              <w:rPr>
                <w:sz w:val="12"/>
                <w:szCs w:val="12"/>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8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Exercise</w:t>
            </w: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Life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Warrants</w:t>
            </w:r>
          </w:p>
        </w:tc>
        <w:tc>
          <w:tcPr>
            <w:tcW w:w="10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Price</w:t>
            </w: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(in Years)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3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9"/>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and exercisable at January 1, 2020</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579,815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tcPr>
          <w:p>
            <w:pPr>
              <w:ind w:left="120"/>
              <w:spacing w:after="0"/>
              <w:rPr>
                <w:sz w:val="20"/>
                <w:szCs w:val="20"/>
                <w:color w:val="auto"/>
              </w:rPr>
            </w:pPr>
            <w:r>
              <w:rPr>
                <w:rFonts w:ascii="Arial" w:cs="Arial" w:eastAsia="Arial" w:hAnsi="Arial"/>
                <w:sz w:val="18"/>
                <w:szCs w:val="18"/>
                <w:color w:val="auto"/>
              </w:rPr>
              <w:t>Granted</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Canceled</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20"/>
              <w:spacing w:after="0"/>
              <w:rPr>
                <w:sz w:val="20"/>
                <w:szCs w:val="20"/>
                <w:color w:val="auto"/>
              </w:rPr>
            </w:pPr>
            <w:r>
              <w:rPr>
                <w:rFonts w:ascii="Arial" w:cs="Arial" w:eastAsia="Arial" w:hAnsi="Arial"/>
                <w:sz w:val="18"/>
                <w:szCs w:val="18"/>
                <w:color w:val="auto"/>
              </w:rPr>
              <w:t>Exercised</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Expired/Forfeited</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Outstanding and exercisable at March 31, 2020</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579,815</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r>
              <w:rPr>
                <w:rFonts w:ascii="Arial" w:cs="Arial" w:eastAsia="Arial" w:hAnsi="Arial"/>
                <w:sz w:val="18"/>
                <w:szCs w:val="18"/>
                <w:u w:val="single" w:color="auto"/>
                <w:color w:val="auto"/>
              </w:rPr>
              <w:t>63</w:t>
            </w:r>
          </w:p>
        </w:tc>
        <w:tc>
          <w:tcPr>
            <w:tcW w:w="18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 compensation expense was recognized in the current quarter or prior year quarter related to warrants.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 w:name="page16"/>
    <w:bookmarkEnd w:id="1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March 31,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Stock Awards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summary of the Company’s restricted stock activity for the current quarter is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1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1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8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86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Restricted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Shares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3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2020</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1,230,623</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336,700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Canceled</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Arial" w:cs="Arial" w:eastAsia="Arial" w:hAnsi="Arial"/>
                <w:sz w:val="18"/>
                <w:szCs w:val="18"/>
                <w:color w:val="auto"/>
              </w:rPr>
              <w:t>Vested</w:t>
            </w:r>
          </w:p>
        </w:tc>
        <w:tc>
          <w:tcPr>
            <w:tcW w:w="920" w:type="dxa"/>
            <w:vAlign w:val="bottom"/>
          </w:tcPr>
          <w:p>
            <w:pPr>
              <w:jc w:val="right"/>
              <w:spacing w:after="0"/>
              <w:rPr>
                <w:sz w:val="20"/>
                <w:szCs w:val="20"/>
                <w:color w:val="auto"/>
              </w:rPr>
            </w:pPr>
            <w:r>
              <w:rPr>
                <w:rFonts w:ascii="Arial" w:cs="Arial" w:eastAsia="Arial" w:hAnsi="Arial"/>
                <w:sz w:val="18"/>
                <w:szCs w:val="18"/>
                <w:color w:val="auto"/>
              </w:rPr>
              <w:t>(657,298)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Expired/Forfeited</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6860" w:type="dxa"/>
            <w:vAlign w:val="bottom"/>
          </w:tcPr>
          <w:p>
            <w:pPr>
              <w:spacing w:after="0"/>
              <w:rPr>
                <w:sz w:val="20"/>
                <w:szCs w:val="20"/>
                <w:color w:val="auto"/>
              </w:rPr>
            </w:pPr>
            <w:r>
              <w:rPr>
                <w:rFonts w:ascii="Arial" w:cs="Arial" w:eastAsia="Arial" w:hAnsi="Arial"/>
                <w:sz w:val="18"/>
                <w:szCs w:val="18"/>
                <w:color w:val="auto"/>
              </w:rPr>
              <w:t>Outstanding at March 31, 2020</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910,025</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On March 30, 2020, the Company issued 336,700 shares of stock to a member of senior management as payment for a performance bonus earned in 2019. These shares vested immediately.</w:t>
      </w:r>
    </w:p>
    <w:p>
      <w:pPr>
        <w:spacing w:after="0" w:line="170"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Compensation expense related to restricted stock grants for the current and prior year quarter was approximately $23,000 and $104,000, respectively. Total unrecognized compensation expense related to unvested restricted stock grants at March 31, 2020 amounts to approximately $43,000 and is expected to be recognized over a weighted average period of approximately 1.00 year.</w:t>
      </w:r>
    </w:p>
    <w:p>
      <w:pPr>
        <w:spacing w:after="0" w:line="187"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The Company also recognized approximately $152,000 of compensation expense in the current quarter related to certain senior management bonuses payable in stock in 2021.</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Shares Available Under the Company’s 2011 Equity Incentive Plan</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 of March 31, 2020, there were 1,610,649 shares of common stock available for issuance under the Plan.</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Shares Reserved for Issuance</w:t>
      </w:r>
    </w:p>
    <w:p>
      <w:pPr>
        <w:spacing w:after="0" w:line="22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As of March 31, 2020, there were 9,812,233 shares of common stock reserved for issuance pursuant to unexercised warrants and stock options, or available for issuance under the Plan.</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Company has not paid any dividends to date.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 w:name="page17"/>
    <w:bookmarkEnd w:id="1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March 31,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tabs>
          <w:tab w:leader="none" w:pos="34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Earnings Per Share</w:t>
      </w:r>
    </w:p>
    <w:p>
      <w:pPr>
        <w:spacing w:after="0" w:line="229"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7"/>
          <w:szCs w:val="17"/>
          <w:color w:val="auto"/>
        </w:rPr>
        <w:t>Basic earnings per share (“EPS”) is computed by dividing net income (loss) available to common stockholders by the weighted average number of common shares outstanding during the period. Diluted EPS gives effect to all potentially dilutive common shares outstanding during the period, including stock options and warrants, using the treasury stock method. Diluted EPS excludes all potentially dilutive shares of common stock if their effect is anti-dilutive.</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30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820" w:type="dxa"/>
            <w:vAlign w:val="bottom"/>
            <w:gridSpan w:val="3"/>
          </w:tcPr>
          <w:p>
            <w:pPr>
              <w:jc w:val="center"/>
              <w:ind w:left="859"/>
              <w:spacing w:after="0" w:line="149" w:lineRule="exact"/>
              <w:rPr>
                <w:sz w:val="20"/>
                <w:szCs w:val="20"/>
                <w:color w:val="auto"/>
              </w:rPr>
            </w:pPr>
            <w:r>
              <w:rPr>
                <w:rFonts w:ascii="Arial" w:cs="Arial" w:eastAsia="Arial" w:hAnsi="Arial"/>
                <w:sz w:val="14"/>
                <w:szCs w:val="14"/>
                <w:b w:val="1"/>
                <w:bCs w:val="1"/>
                <w:color w:val="auto"/>
                <w:w w:val="99"/>
              </w:rPr>
              <w:t>March 31,</w:t>
            </w:r>
          </w:p>
        </w:tc>
        <w:tc>
          <w:tcPr>
            <w:tcW w:w="98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6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18,870,398</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18,562,073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Effect of exercise of warrants</w:t>
            </w:r>
          </w:p>
        </w:tc>
        <w:tc>
          <w:tcPr>
            <w:tcW w:w="182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690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18,870,398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18,562,763</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color w:val="auto"/>
        </w:rPr>
        <w:t>As a result of the net loss presented for the current quarter, the Company calculated diluted earnings per share using basic weighted average shares outstanding for such period, as utilizing diluted shares would be anti-dilutive to loss per share.</w:t>
      </w:r>
    </w:p>
    <w:p>
      <w:pPr>
        <w:spacing w:after="0" w:line="124"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The computation of diluted EPS excludes the following potentially dilutive securities because their inclusion would be anti-dilutive:</w:t>
      </w:r>
    </w:p>
    <w:p>
      <w:pPr>
        <w:spacing w:after="0" w:line="175" w:lineRule="exact"/>
        <w:rPr>
          <w:sz w:val="20"/>
          <w:szCs w:val="20"/>
          <w:color w:val="auto"/>
        </w:rPr>
      </w:pPr>
    </w:p>
    <w:p>
      <w:pPr>
        <w:ind w:left="6720"/>
        <w:spacing w:after="0"/>
        <w:rPr>
          <w:sz w:val="20"/>
          <w:szCs w:val="20"/>
          <w:color w:val="auto"/>
        </w:rPr>
      </w:pPr>
      <w:r>
        <w:rPr>
          <w:rFonts w:ascii="Arial" w:cs="Arial" w:eastAsia="Arial" w:hAnsi="Arial"/>
          <w:sz w:val="14"/>
          <w:szCs w:val="14"/>
          <w:b w:val="1"/>
          <w:bCs w:val="1"/>
          <w:color w:val="auto"/>
        </w:rPr>
        <w:t>Three Months Ended</w:t>
      </w:r>
    </w:p>
    <w:p>
      <w:pPr>
        <w:ind w:left="7040"/>
        <w:spacing w:after="0" w:line="226" w:lineRule="auto"/>
        <w:rPr>
          <w:sz w:val="20"/>
          <w:szCs w:val="20"/>
          <w:color w:val="auto"/>
        </w:rPr>
      </w:pPr>
      <w:r>
        <w:rPr>
          <w:rFonts w:ascii="Arial" w:cs="Arial" w:eastAsia="Arial" w:hAnsi="Arial"/>
          <w:sz w:val="14"/>
          <w:szCs w:val="14"/>
          <w:b w:val="1"/>
          <w:bCs w:val="1"/>
          <w:color w:val="auto"/>
        </w:rPr>
        <w:t>March 31,</w:t>
      </w:r>
    </w:p>
    <w:p>
      <w:pPr>
        <w:ind w:left="6460"/>
        <w:spacing w:after="0" w:line="232" w:lineRule="auto"/>
        <w:tabs>
          <w:tab w:leader="none" w:pos="798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tbl>
      <w:tblPr>
        <w:tblLayout w:type="fixed"/>
        <w:tblInd w:w="40" w:type="dxa"/>
        <w:tblCellMar>
          <w:top w:w="0" w:type="dxa"/>
          <w:left w:w="0" w:type="dxa"/>
          <w:bottom w:w="0" w:type="dxa"/>
          <w:right w:w="0" w:type="dxa"/>
        </w:tblCellMar>
      </w:tblPr>
      <w:tr>
        <w:trPr>
          <w:trHeight w:val="216"/>
        </w:trPr>
        <w:tc>
          <w:tcPr>
            <w:tcW w:w="5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 and warrants</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7,911,440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4,862,525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11" w:lineRule="exact"/>
        <w:rPr>
          <w:sz w:val="20"/>
          <w:szCs w:val="20"/>
          <w:color w:val="auto"/>
        </w:rPr>
      </w:pPr>
    </w:p>
    <w:p>
      <w:pPr>
        <w:ind w:left="40"/>
        <w:spacing w:after="0"/>
        <w:tabs>
          <w:tab w:leader="none" w:pos="34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Income Tax</w:t>
      </w:r>
    </w:p>
    <w:p>
      <w:pPr>
        <w:spacing w:after="0" w:line="229" w:lineRule="exact"/>
        <w:rPr>
          <w:sz w:val="20"/>
          <w:szCs w:val="20"/>
          <w:color w:val="auto"/>
        </w:rPr>
      </w:pPr>
    </w:p>
    <w:p>
      <w:pPr>
        <w:jc w:val="both"/>
        <w:ind w:left="40" w:right="59"/>
        <w:spacing w:after="0" w:line="308" w:lineRule="auto"/>
        <w:rPr>
          <w:sz w:val="20"/>
          <w:szCs w:val="20"/>
          <w:color w:val="auto"/>
        </w:rPr>
      </w:pPr>
      <w:r>
        <w:rPr>
          <w:rFonts w:ascii="Arial" w:cs="Arial" w:eastAsia="Arial" w:hAnsi="Arial"/>
          <w:sz w:val="17"/>
          <w:szCs w:val="17"/>
          <w:color w:val="auto"/>
        </w:rPr>
        <w:t>The effective income tax rate for the current quarter and the prior year quarter was approximately 40% and 37%, respectively, resulting in an income tax (benefit) provision of $(0.55) million and $0.08 million, respectively.</w:t>
      </w:r>
    </w:p>
    <w:p>
      <w:pPr>
        <w:spacing w:after="0" w:line="146"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For the current quarter, the federal statutory rate differs from the effective tax rate primarily due to state taxes and recurring permanent differences, which increased the effective tax rate by approximately 8% and 4%, respectively. The effective tax rate was also attributable to the tax impact of a potential federal net operating loss carryback due to the CARES Act. This item increased the effective rate by 7%.</w:t>
      </w:r>
    </w:p>
    <w:p>
      <w:pPr>
        <w:spacing w:after="0" w:line="187" w:lineRule="exact"/>
        <w:rPr>
          <w:sz w:val="20"/>
          <w:szCs w:val="20"/>
          <w:color w:val="auto"/>
        </w:rPr>
      </w:pPr>
    </w:p>
    <w:p>
      <w:pPr>
        <w:jc w:val="both"/>
        <w:ind w:left="40" w:right="59"/>
        <w:spacing w:after="0" w:line="308" w:lineRule="auto"/>
        <w:rPr>
          <w:sz w:val="20"/>
          <w:szCs w:val="20"/>
          <w:color w:val="auto"/>
        </w:rPr>
      </w:pPr>
      <w:r>
        <w:rPr>
          <w:rFonts w:ascii="Arial" w:cs="Arial" w:eastAsia="Arial" w:hAnsi="Arial"/>
          <w:sz w:val="17"/>
          <w:szCs w:val="17"/>
          <w:color w:val="auto"/>
        </w:rPr>
        <w:t>For the prior year quarter, the federal statutory rate differed from the effective tax rate primarily due to state taxes and recurring permanent differences, which increased the effective tax rate by approximately 10% and 7%, respectively.</w:t>
      </w:r>
    </w:p>
    <w:p>
      <w:pPr>
        <w:spacing w:after="0" w:line="146" w:lineRule="exact"/>
        <w:rPr>
          <w:sz w:val="20"/>
          <w:szCs w:val="20"/>
          <w:color w:val="auto"/>
        </w:rPr>
      </w:pPr>
    </w:p>
    <w:p>
      <w:pPr>
        <w:jc w:val="both"/>
        <w:ind w:left="40" w:right="59"/>
        <w:spacing w:after="0" w:line="289" w:lineRule="auto"/>
        <w:rPr>
          <w:sz w:val="20"/>
          <w:szCs w:val="20"/>
          <w:color w:val="auto"/>
        </w:rPr>
      </w:pPr>
      <w:r>
        <w:rPr>
          <w:rFonts w:ascii="Arial" w:cs="Arial" w:eastAsia="Arial" w:hAnsi="Arial"/>
          <w:sz w:val="16"/>
          <w:szCs w:val="16"/>
          <w:color w:val="auto"/>
        </w:rPr>
        <w:t>On March 27, 2020, the CARES Act was enacted and signed into law. The CARES Act includes certain provisions impacting businesses’ income taxes related to 2018, 2019, and 2020. Some of the significant tax law changes are to increase the limitation on deductible business interest expense for 2019 and 2020, allow for the five-year carryback of net operating losses for 2018-2020, suspend the 80% limitation of taxable income for net operating loss carryforwards for 2018-2020, provide for the acceleration of depreciation expense from 2018 and forward on qualified improvement property, and accelerate the ability to claim refunds of AMT credit carryforwards. The Company is required to recognize the effect of tax law changes on its financial statements in the period in which the law was enacted. At this time, the Company may avail itself of the ability to carry back net operating losses generated in 2018 and 2019 tax years for five years, resulting in an estimated income statement benefit of $98,000 and tax refund receivable of $203,000.</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 w:name="page18"/>
    <w:bookmarkEnd w:id="1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March 31,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40"/>
        <w:spacing w:after="0"/>
        <w:tabs>
          <w:tab w:leader="none" w:pos="34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Related Party Transactions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Benjamin Malka</w:t>
      </w:r>
    </w:p>
    <w:p>
      <w:pPr>
        <w:spacing w:after="0" w:line="225" w:lineRule="exact"/>
        <w:rPr>
          <w:sz w:val="20"/>
          <w:szCs w:val="20"/>
          <w:color w:val="auto"/>
        </w:rPr>
      </w:pPr>
    </w:p>
    <w:p>
      <w:pPr>
        <w:jc w:val="both"/>
        <w:ind w:left="40" w:right="59"/>
        <w:spacing w:after="0" w:line="342" w:lineRule="auto"/>
        <w:rPr>
          <w:sz w:val="20"/>
          <w:szCs w:val="20"/>
          <w:color w:val="auto"/>
        </w:rPr>
      </w:pPr>
      <w:r>
        <w:rPr>
          <w:rFonts w:ascii="Arial" w:cs="Arial" w:eastAsia="Arial" w:hAnsi="Arial"/>
          <w:sz w:val="16"/>
          <w:szCs w:val="16"/>
          <w:color w:val="auto"/>
        </w:rPr>
        <w:t>Benjamin Malka was a director of the Company from June 2014 through September 2019. Mr. Malka is also a 25% equity holder of HIP’s parent company, House of Halston LLC (“HOH”), and is the former Chief Executive Officer of HOH.</w:t>
      </w:r>
    </w:p>
    <w:p>
      <w:pPr>
        <w:spacing w:after="0" w:line="124" w:lineRule="exact"/>
        <w:rPr>
          <w:sz w:val="20"/>
          <w:szCs w:val="20"/>
          <w:color w:val="auto"/>
        </w:rPr>
      </w:pPr>
    </w:p>
    <w:p>
      <w:pPr>
        <w:jc w:val="both"/>
        <w:ind w:left="40" w:right="59"/>
        <w:spacing w:after="0" w:line="279" w:lineRule="auto"/>
        <w:rPr>
          <w:sz w:val="20"/>
          <w:szCs w:val="20"/>
          <w:color w:val="auto"/>
        </w:rPr>
      </w:pPr>
      <w:r>
        <w:rPr>
          <w:rFonts w:ascii="Arial" w:cs="Arial" w:eastAsia="Arial" w:hAnsi="Arial"/>
          <w:sz w:val="17"/>
          <w:szCs w:val="17"/>
          <w:color w:val="auto"/>
        </w:rPr>
        <w:t>On February 11, 2019, the Company and its wholly owned subsidiary, H Heritage Licensing, LLC, entered into an asset purchase agreement (the "Heritage Asset Purchase Agreement") with HIP and HOH, pursuant to which the Company acquired certain assets of HIP, including the "Halston," "Halston Heritage," and "Roy Frowick" trademarks (collectively, the "Halston Heritage Trademarks") and other intellectual property rights relating thereto.</w:t>
      </w:r>
    </w:p>
    <w:p>
      <w:pPr>
        <w:spacing w:after="0" w:line="171"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8"/>
          <w:szCs w:val="18"/>
          <w:color w:val="auto"/>
        </w:rPr>
        <w:t>Pursuant to the Heritage Asset Purchase Agreement, at closing, the Company delivered in escrow for HIP or its designees (collectively, the “Sellers”) an aggregate of $8.4 million in cash and 777,778 shares of the Company’s common stock valued at $1.1 million (the “Xcel Shares”), subject to a voting agreement and a lock-up agreement relating to the Xcel Shares and a consent and waiver agreement each in form satisfactory to Xcel within three months from the date of the Heritage Asset Purchase Agreement. Such agreements were executed and delivered to Xcel, and the Xcel Shares were issued and delivered to the Sellers.</w:t>
      </w:r>
    </w:p>
    <w:p>
      <w:pPr>
        <w:spacing w:after="0" w:line="192" w:lineRule="exact"/>
        <w:rPr>
          <w:sz w:val="20"/>
          <w:szCs w:val="20"/>
          <w:color w:val="auto"/>
        </w:rPr>
      </w:pPr>
    </w:p>
    <w:p>
      <w:pPr>
        <w:jc w:val="both"/>
        <w:ind w:left="40" w:right="59"/>
        <w:spacing w:after="0" w:line="285" w:lineRule="auto"/>
        <w:rPr>
          <w:sz w:val="20"/>
          <w:szCs w:val="20"/>
          <w:color w:val="auto"/>
        </w:rPr>
      </w:pPr>
      <w:r>
        <w:rPr>
          <w:rFonts w:ascii="Arial" w:cs="Arial" w:eastAsia="Arial" w:hAnsi="Arial"/>
          <w:sz w:val="16"/>
          <w:szCs w:val="16"/>
          <w:color w:val="auto"/>
        </w:rPr>
        <w:t>In addition to the closing considerations, HIP is eligible to earn up to an aggregate of $6.0 million (the “Earn-Out Value”) through December 31, 2022 based on Excess Net Royalties. “Excess Net Royalties” during any calendar year for 2019 through 2022 (each, a “Royalty Target Year”) is equal to (a) the positive amount, if any, of the Net Royalties as calculated for such Royalty Target Year, less the greater of (i) One Million Five Hundred Thousand Dollars ($1.5 million), or (ii) the maximum Net Royalties for any previous Royalty Target Year. “Applicable Percentage” means (a) 50% of the first $10.0 million of Excess Net Royalties during the Earn-Out Period, (b) 20% of aggregate Excess Net Royalties during the Earn-Out Period greater than $10.0 million and up to $15.0 million and (c) 0% of aggregate Excess Net Royalties during the Earn-Out Period in excess of $15.0 million. The Earn-Out Consideration shall be payable in common stock of Xcel (the “Earn-Out Shares”); provided, however, that if the number of Earn-Out Shares, when combined with the number of Xcel Shares issued at the Closing Date, will exceed 4.99% of the aggregate number of shares of Xcel common stock outstanding as of the Closing Date (calculated in accordance with Nasdaq Rule 5635(a)) (the “Xcel Share Limit”), then Xcel may, in its sole and unfettered discretion, elect to (x) pay cash for the Earn-Out Value attributable to the Earn-Out Shares that would exceed the Xcel Share Limit; (y) solicit stockholder approval for the issuance of Earn-Out Shares in excess of the Xcel Share Limit in accordance with Nasdaq Rule 5635(a)(2) and, if such stockholder approval is obtained, issue such Earn-Out Shares to HIP; or (z) solicit stockholder approval for the issuance of Shares in excess of the Xcel Share Limit in accordance with Nasdaq Rule 5635(a)(2) and, if such stockholder approval is obtained, pay the applicable Earn-Out Consideration with a combination of cash and Earn-Out Shares.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 w:name="page19"/>
    <w:bookmarkEnd w:id="1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March 31,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440" w:hanging="396"/>
        <w:spacing w:after="0"/>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In March 2020, the World Health Organization declared the outbreak of a novel coronavirus disease (“COVID-19”) as a pandemic, which continues to spread throughout the U.S. COVID-19 is having an unprecedented impact on the U.S. economy as federal, state, and local governments react to this public health crisis.</w:t>
      </w:r>
    </w:p>
    <w:p>
      <w:pPr>
        <w:spacing w:after="0" w:line="184" w:lineRule="exact"/>
        <w:rPr>
          <w:sz w:val="20"/>
          <w:szCs w:val="20"/>
          <w:color w:val="auto"/>
        </w:rPr>
      </w:pPr>
    </w:p>
    <w:p>
      <w:pPr>
        <w:jc w:val="both"/>
        <w:ind w:left="40" w:right="59"/>
        <w:spacing w:after="0" w:line="272" w:lineRule="auto"/>
        <w:rPr>
          <w:sz w:val="20"/>
          <w:szCs w:val="20"/>
          <w:color w:val="auto"/>
        </w:rPr>
      </w:pPr>
      <w:r>
        <w:rPr>
          <w:rFonts w:ascii="Arial" w:cs="Arial" w:eastAsia="Arial" w:hAnsi="Arial"/>
          <w:sz w:val="17"/>
          <w:szCs w:val="17"/>
          <w:color w:val="auto"/>
        </w:rPr>
        <w:t>The impacts of the current COVID-19 pandemic are broad reaching and are having an impact on the Company’s licensing and wholesale businesses. The COVID-19 pandemic is impacting the Company’s supply chain as most of the Company’s products are manufactured in China, Thailand, and other places around the world affected by this event. Temporary factory closures and the pace of workers returning to work have impacted contract manufacturers’ ability to source certain raw materials and to produce finished goods in a timely manner. The outbreak is also impacting distribution and logistics providers' ability to operate in the normal course of business. Further, the pandemic has resulted in a sudden decrease in sales for many of the Company’s products, resulting in order cancelations.</w:t>
      </w:r>
    </w:p>
    <w:p>
      <w:pPr>
        <w:spacing w:after="0" w:line="177"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Due to the COVID-19 outbreak, there is significant uncertainty surrounding the potential impact on the Company’s future results of operations and cash flows. Continued impacts of the pandemic could materially adversely affect the Company’s near-term and long-term revenues, earnings, liquidity, and cash flows as the Company’s customers and/or licensees may request temporary relief, delay, or not make scheduled payments.</w:t>
      </w:r>
    </w:p>
    <w:p>
      <w:pPr>
        <w:spacing w:after="0" w:line="183" w:lineRule="exact"/>
        <w:rPr>
          <w:sz w:val="20"/>
          <w:szCs w:val="20"/>
          <w:color w:val="auto"/>
        </w:rPr>
      </w:pPr>
    </w:p>
    <w:p>
      <w:pPr>
        <w:ind w:left="40"/>
        <w:spacing w:after="0"/>
        <w:tabs>
          <w:tab w:leader="none" w:pos="4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color w:val="auto"/>
        </w:rPr>
        <w:t>Subsequent Events</w:t>
      </w:r>
    </w:p>
    <w:p>
      <w:pPr>
        <w:spacing w:after="0" w:line="229"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7"/>
          <w:szCs w:val="17"/>
          <w:color w:val="auto"/>
        </w:rPr>
        <w:t>On April 13, 2020, the Company further amended its Second Amended and Restated Loan and Security Agreement with BHI. Under this amendment, the quarterly installment payment due March 31, 2020 was deferred, and the amounts of the quarterly installment payments due throughout the remainder of 2020 were reduced, while the amount of principal to be repaid through variable payments based on excess cash flow was increased. In addition, there were multiple changes and waivers to the various financial covenants. Further, this amendment permits Xcel to incur unsecured debt through the PPP under the CARES Act, and excludes any associated PPP debt and debt service from the covenant calculations. There were no changes to the total principal balance, interest rate, or maturity date. See Note 5, “Debt and Contingent Obligation,” for additional information.</w:t>
      </w:r>
    </w:p>
    <w:p>
      <w:pPr>
        <w:spacing w:after="0" w:line="178" w:lineRule="exact"/>
        <w:rPr>
          <w:sz w:val="20"/>
          <w:szCs w:val="20"/>
          <w:color w:val="auto"/>
        </w:rPr>
      </w:pPr>
    </w:p>
    <w:p>
      <w:pPr>
        <w:jc w:val="both"/>
        <w:ind w:left="40" w:right="59"/>
        <w:spacing w:after="0" w:line="283" w:lineRule="auto"/>
        <w:rPr>
          <w:sz w:val="20"/>
          <w:szCs w:val="20"/>
          <w:color w:val="auto"/>
        </w:rPr>
      </w:pPr>
      <w:r>
        <w:rPr>
          <w:rFonts w:ascii="Arial" w:cs="Arial" w:eastAsia="Arial" w:hAnsi="Arial"/>
          <w:sz w:val="16"/>
          <w:szCs w:val="16"/>
          <w:color w:val="auto"/>
        </w:rPr>
        <w:t>On April 20, 2020, the Company executed a promissory note (the “Promissory Note”) with Bank of America, N.A., which provides for an unsecured loan in the amount of $1.8 million (the “PPP Loan”), pursuant to the PPP under the CARES Act. The PPP Loan has a two-year term and bears interest at a fixed rate of 1.0% per annum. Monthly principal and interest payments are deferred for six months after the date of disbursement. The PPP Loan may be prepaid at any time prior to maturity with no prepayment penalties. The Promissory Note contains events of default and other provisions customary for a loan of this type. The PPP also provides that the PPP Loan may be partially or wholly forgiven if the funds are used for certain qualifying expenses as described in the CARES Act. Such forgiveness will be determined, subject to limitations, based on the use of loan proceeds for payment of payroll costs and any payments of mortgage interest, rent, and utilities. The Company may apply for forgiveness of the PPP Loan upon application by the Company beginning 60 days but not later than 90 days after the PPP Loan is funded. However, no assurance is provided that forgiveness for any portion of the</w:t>
      </w:r>
    </w:p>
    <w:p>
      <w:pPr>
        <w:spacing w:after="0" w:line="5" w:lineRule="exact"/>
        <w:rPr>
          <w:sz w:val="20"/>
          <w:szCs w:val="20"/>
          <w:color w:val="auto"/>
        </w:rPr>
      </w:pPr>
    </w:p>
    <w:p>
      <w:pPr>
        <w:ind w:left="380" w:hanging="336"/>
        <w:spacing w:after="0"/>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Loan will be obtained. The PPP Loan was funded on April 23, 2020.</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13" w:lineRule="exact"/>
        <w:rPr>
          <w:rFonts w:ascii="Arial" w:cs="Arial" w:eastAsia="Arial" w:hAnsi="Arial"/>
          <w:sz w:val="16"/>
          <w:szCs w:val="16"/>
          <w:color w:val="auto"/>
        </w:rPr>
      </w:pPr>
    </w:p>
    <w:p>
      <w:pPr>
        <w:ind w:left="4420"/>
        <w:spacing w:after="0"/>
        <w:rPr>
          <w:rFonts w:ascii="Arial" w:cs="Arial" w:eastAsia="Arial" w:hAnsi="Arial"/>
          <w:sz w:val="16"/>
          <w:szCs w:val="16"/>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 w:name="page20"/>
    <w:bookmarkEnd w:id="1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ind w:left="880" w:right="59" w:hanging="841"/>
        <w:spacing w:after="0" w:line="282" w:lineRule="auto"/>
        <w:tabs>
          <w:tab w:leader="none" w:pos="86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166" w:lineRule="exact"/>
        <w:rPr>
          <w:sz w:val="20"/>
          <w:szCs w:val="20"/>
          <w:color w:val="auto"/>
        </w:rPr>
      </w:pPr>
    </w:p>
    <w:p>
      <w:pPr>
        <w:jc w:val="both"/>
        <w:ind w:left="40" w:right="59"/>
        <w:spacing w:after="0" w:line="218" w:lineRule="exact"/>
        <w:rPr>
          <w:sz w:val="20"/>
          <w:szCs w:val="20"/>
          <w:color w:val="auto"/>
        </w:rPr>
      </w:pPr>
      <w:r>
        <w:rPr>
          <w:rFonts w:ascii="Arial" w:cs="Arial" w:eastAsia="Arial" w:hAnsi="Arial"/>
          <w:sz w:val="17"/>
          <w:szCs w:val="17"/>
          <w:i w:val="1"/>
          <w:iCs w:val="1"/>
          <w:color w:val="auto"/>
        </w:rPr>
        <w:t xml:space="preserve">Safe Harbor Statement under the Private Securities Litigation Reform Act of 1995. </w:t>
      </w:r>
      <w:r>
        <w:rPr>
          <w:rFonts w:ascii="Arial" w:cs="Arial" w:eastAsia="Arial" w:hAnsi="Arial"/>
          <w:sz w:val="17"/>
          <w:szCs w:val="17"/>
          <w:color w:val="auto"/>
        </w:rPr>
        <w:t>The statements that are not historical</w:t>
      </w:r>
      <w:r>
        <w:rPr>
          <w:rFonts w:ascii="Arial" w:cs="Arial" w:eastAsia="Arial" w:hAnsi="Arial"/>
          <w:sz w:val="17"/>
          <w:szCs w:val="17"/>
          <w:i w:val="1"/>
          <w:iCs w:val="1"/>
          <w:color w:val="auto"/>
        </w:rPr>
        <w:t xml:space="preserve"> </w:t>
      </w:r>
      <w:r>
        <w:rPr>
          <w:rFonts w:ascii="Arial" w:cs="Arial" w:eastAsia="Arial" w:hAnsi="Arial"/>
          <w:sz w:val="17"/>
          <w:szCs w:val="17"/>
          <w:color w:val="auto"/>
        </w:rPr>
        <w:t>facts contained in this report are forward-looking statements that involve a number of known and unknown risks, uncertainties and other factors, all of which are difficult or impossible to predict and many of which are beyond our control, which may cause our actual results, performance or achievements to be materially different from any future results, performance or achievements expressed or implied by such forward-looking statements. These risks are detailed in the Risk Section of our Form 10</w:t>
      </w:r>
      <w:r>
        <w:rPr>
          <w:rFonts w:ascii="MS PGothic" w:cs="MS PGothic" w:eastAsia="MS PGothic" w:hAnsi="MS PGothic"/>
          <w:sz w:val="17"/>
          <w:szCs w:val="17"/>
          <w:color w:val="auto"/>
        </w:rPr>
        <w:t>‑</w:t>
      </w:r>
      <w:r>
        <w:rPr>
          <w:rFonts w:ascii="Arial" w:cs="Arial" w:eastAsia="Arial" w:hAnsi="Arial"/>
          <w:sz w:val="17"/>
          <w:szCs w:val="17"/>
          <w:color w:val="auto"/>
        </w:rPr>
        <w:t>K for the fiscal year ended December 31, 2019. The words “believe,” “anticipate,” “expect,” “continue,” “estimate,” “appear,” “suggest,” “goal,” “potential,” “predicts,” “seek,” “will,” “confident,” “project,” “provide,” “plan,” “likely,” “future,” “ongoing,” “intend,” “may,” “should,” “would,” “could,” “guidance,” and similar expressions identify forward-looking statements.</w:t>
      </w:r>
    </w:p>
    <w:p>
      <w:pPr>
        <w:spacing w:after="0" w:line="1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40" w:right="59"/>
        <w:spacing w:after="0" w:line="286" w:lineRule="auto"/>
        <w:rPr>
          <w:sz w:val="20"/>
          <w:szCs w:val="20"/>
          <w:color w:val="auto"/>
        </w:rPr>
      </w:pPr>
      <w:r>
        <w:rPr>
          <w:rFonts w:ascii="Arial" w:cs="Arial" w:eastAsia="Arial" w:hAnsi="Arial"/>
          <w:sz w:val="16"/>
          <w:szCs w:val="16"/>
          <w:color w:val="auto"/>
        </w:rPr>
        <w:t>Xcel Brands, Inc. (“Xcel,” the “Company,” “we,” “us,” or “our”) is a media and consumer products company engaged in the design, production, marketing, wholesale distribution, and direct-to-consumer sales of branded apparel, footwear, accessories, jewelry, home goods and other consumer products, and the acquisition of dynamic consumer lifestyle brands. Xcel was founded by Robert W. D’Loren in 2011 with a vision to reimagine shopping, entertainment, and social as one. The Company owns and manages the Isaac Mizrahi brands (the "Isaac Mizrahi Brand"), the Judith Ripka brands (the "Ripka Brand"), the Halston brands ("Halston Brand"), and the C Wonder brands (the "C Wonder Brand”). The Company also owns and manages the Longaberger brand (the “Longaberger Brand”) through its controlling interest in Longaberger Licensing, LLC. The Company and its licensees distribute through a ubiquitous channel retail sales strategy which includes distribution through interactive television, the Internet and e-commerce, and traditional brick-and-mortar retail channels. Headquartered in New York City, Xcel is led by an executive team with significant production, merchandising, design, marketing, retailing, and licensing experience, and a proven track record of success in elevating branded consumer product companies. With an experienced team of professionals focused on design, production, and digital marketing, Xcel maintains control of product quality and promotion across all of its product categories and distribution channels.</w:t>
      </w:r>
    </w:p>
    <w:p>
      <w:pPr>
        <w:spacing w:after="0" w:line="174"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Our objective is to build a diversified portfolio of lifestyle consumer brands through organic growth and the strategic acquisition of new brands. To grow our brands, we are focused on following primary strategies:</w:t>
      </w:r>
    </w:p>
    <w:p>
      <w:pPr>
        <w:spacing w:after="0" w:line="170" w:lineRule="exact"/>
        <w:rPr>
          <w:sz w:val="20"/>
          <w:szCs w:val="20"/>
          <w:color w:val="auto"/>
        </w:rPr>
      </w:pPr>
    </w:p>
    <w:p>
      <w:pPr>
        <w:ind w:left="1020" w:right="79" w:hanging="328"/>
        <w:spacing w:after="0" w:line="342"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distribution and/or licensing of our brands for sale through interactive television (i.e. QVC, The Shopping Channel) whereby we design, manage production, merchandise the shows, and manage the on-air talent;</w:t>
      </w:r>
    </w:p>
    <w:p>
      <w:pPr>
        <w:spacing w:after="0" w:line="123" w:lineRule="exact"/>
        <w:rPr>
          <w:rFonts w:ascii="Arial" w:cs="Arial" w:eastAsia="Arial" w:hAnsi="Arial"/>
          <w:sz w:val="16"/>
          <w:szCs w:val="16"/>
          <w:color w:val="auto"/>
        </w:rPr>
      </w:pPr>
    </w:p>
    <w:p>
      <w:pPr>
        <w:jc w:val="both"/>
        <w:ind w:left="1020" w:right="59" w:hanging="328"/>
        <w:spacing w:after="0" w:line="263"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licensing our brands to manufacturers and retailers for promotion and distribution through e-commerce, social commerce, and traditional brick-and-mortar retail channels whereby we provide certain design services and, in certain cases, manage supply and merchandising;</w:t>
      </w:r>
    </w:p>
    <w:p>
      <w:pPr>
        <w:spacing w:after="0" w:line="183" w:lineRule="exact"/>
        <w:rPr>
          <w:rFonts w:ascii="Arial" w:cs="Arial" w:eastAsia="Arial" w:hAnsi="Arial"/>
          <w:sz w:val="18"/>
          <w:szCs w:val="18"/>
          <w:color w:val="auto"/>
        </w:rPr>
      </w:pPr>
    </w:p>
    <w:p>
      <w:pPr>
        <w:ind w:left="1020" w:hanging="328"/>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wholesale distribution of our brands to retailers that sell to the end consumer;</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distribution of our brands through our e-commerce sites directly to the end consumer; and</w:t>
      </w:r>
    </w:p>
    <w:p>
      <w:pPr>
        <w:spacing w:after="0" w:line="225" w:lineRule="exact"/>
        <w:rPr>
          <w:rFonts w:ascii="Arial" w:cs="Arial" w:eastAsia="Arial" w:hAnsi="Arial"/>
          <w:sz w:val="18"/>
          <w:szCs w:val="18"/>
          <w:color w:val="auto"/>
        </w:rPr>
      </w:pPr>
    </w:p>
    <w:p>
      <w:pPr>
        <w:ind w:left="1020" w:right="79" w:hanging="328"/>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quickly integrate additional consumer brands into our operating platform and leverage our design, production, and marketing capabilities, and distribution relationships.</w:t>
      </w:r>
    </w:p>
    <w:p>
      <w:pPr>
        <w:spacing w:after="0" w:line="170" w:lineRule="exact"/>
        <w:rPr>
          <w:sz w:val="20"/>
          <w:szCs w:val="20"/>
          <w:color w:val="auto"/>
        </w:rPr>
      </w:pPr>
    </w:p>
    <w:p>
      <w:pPr>
        <w:ind w:left="40" w:right="59"/>
        <w:spacing w:after="0" w:line="277" w:lineRule="auto"/>
        <w:rPr>
          <w:sz w:val="20"/>
          <w:szCs w:val="20"/>
          <w:color w:val="auto"/>
        </w:rPr>
      </w:pPr>
      <w:r>
        <w:rPr>
          <w:rFonts w:ascii="Arial" w:cs="Arial" w:eastAsia="Arial" w:hAnsi="Arial"/>
          <w:sz w:val="18"/>
          <w:szCs w:val="18"/>
          <w:color w:val="auto"/>
        </w:rPr>
        <w:t>We believe that Xcel offers a unique value proposition to our retail and direct-to-consumer customers, and our licensees for the following reasons:</w:t>
      </w:r>
    </w:p>
    <w:p>
      <w:pPr>
        <w:spacing w:after="0" w:line="170" w:lineRule="exact"/>
        <w:rPr>
          <w:sz w:val="20"/>
          <w:szCs w:val="20"/>
          <w:color w:val="auto"/>
        </w:rPr>
      </w:pPr>
    </w:p>
    <w:p>
      <w:pPr>
        <w:ind w:left="1020" w:right="59" w:hanging="328"/>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management team, including our officers’ and directors’ experience in, and relationships within the industry;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 w:name="page21"/>
    <w:bookmarkEnd w:id="2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020" w:right="79" w:hanging="328"/>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design, production, sales, marketing, and supply chain and integrated technology platform that enables us to design and distribute trend-right product; and</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significant media and internet presence and distribution.</w:t>
      </w:r>
    </w:p>
    <w:p>
      <w:pPr>
        <w:spacing w:after="0" w:line="225" w:lineRule="exact"/>
        <w:rPr>
          <w:sz w:val="20"/>
          <w:szCs w:val="20"/>
          <w:color w:val="auto"/>
        </w:rPr>
      </w:pPr>
    </w:p>
    <w:p>
      <w:pPr>
        <w:jc w:val="both"/>
        <w:ind w:left="40" w:right="59"/>
        <w:spacing w:after="0" w:line="254" w:lineRule="auto"/>
        <w:rPr>
          <w:sz w:val="20"/>
          <w:szCs w:val="20"/>
          <w:color w:val="auto"/>
        </w:rPr>
      </w:pPr>
      <w:r>
        <w:rPr>
          <w:rFonts w:ascii="Arial" w:cs="Arial" w:eastAsia="Arial" w:hAnsi="Arial"/>
          <w:sz w:val="18"/>
          <w:szCs w:val="18"/>
          <w:color w:val="auto"/>
        </w:rPr>
        <w:t>We believe that our strategy distinguishes us from other brand management companies that rely primarily on their licensees for design, production, and distribution, and enables us to leverage the media reach of our interactive television partners, including through television, digital, and social media, to drive sales of products under our brands across multiple distribution channels. By leveraging digital and social media content across all distribution channels, we seek to drive consumer engagement and generate retail sales across our brands. Our strong relationships with leading retailers and interactive television companies and cable networks enable us to reach consumers in over 380 million homes worldwide and hundreds of millions of social media followers.</w:t>
      </w:r>
    </w:p>
    <w:p>
      <w:pPr>
        <w:spacing w:after="0" w:line="195" w:lineRule="exact"/>
        <w:rPr>
          <w:sz w:val="20"/>
          <w:szCs w:val="20"/>
          <w:color w:val="auto"/>
        </w:rPr>
      </w:pPr>
    </w:p>
    <w:p>
      <w:pPr>
        <w:jc w:val="both"/>
        <w:ind w:left="40" w:right="59"/>
        <w:spacing w:after="0" w:line="254" w:lineRule="auto"/>
        <w:rPr>
          <w:sz w:val="20"/>
          <w:szCs w:val="20"/>
          <w:color w:val="auto"/>
        </w:rPr>
      </w:pPr>
      <w:r>
        <w:rPr>
          <w:rFonts w:ascii="Arial" w:cs="Arial" w:eastAsia="Arial" w:hAnsi="Arial"/>
          <w:sz w:val="18"/>
          <w:szCs w:val="18"/>
          <w:color w:val="auto"/>
        </w:rPr>
        <w:t>We believe our design, production and supply chain platform provides significant competitive advantages compared with traditional wholesale apparel companies that design, manufacture, and distribute products. We focus on our core competencies of design, integrated technologies, design, production and supply chain platform, marketing, and brand development. We believe that we offer a 360-degree solution to our retail partners that addresses many of the challenges facing the retail industry today. We believe our platform is highly scalable. Additionally, we believe we can quickly integrate additional brands into our platform in order to leverage our design, production, and marketing capabilities, and distribution network.</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Operating Results</w:t>
      </w:r>
    </w:p>
    <w:p>
      <w:pPr>
        <w:spacing w:after="0" w:line="22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b w:val="1"/>
          <w:bCs w:val="1"/>
          <w:i w:val="1"/>
          <w:iCs w:val="1"/>
          <w:color w:val="auto"/>
        </w:rPr>
        <w:t>Three months ended March 31, 2020 (the “current quarter”) compared with the three months ended March 31, 2019 (the “prior year quarter”)</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Current quarter net revenue decreased approximately $0.8 million to $9.5 million from $10.3 million for the prior year quarter.</w:t>
      </w:r>
    </w:p>
    <w:p>
      <w:pPr>
        <w:spacing w:after="0" w:line="170"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color w:val="auto"/>
        </w:rPr>
        <w:t>Net licensing revenue decreased by approximately $2.3 million in the current quarter to $5.6 million, compared with $7.9 million in the prior year quarter. This decline was primarily driven by (i) revenues from one of our existing licensing arrangements changing from guaranteed minimum amounts to sales-based royalties effective April 1, 2019, and (ii) a reduction in guaranteed minimum revenues from another of our existing licensing arrangements upon renewal effective January 1, 2020.</w:t>
      </w:r>
    </w:p>
    <w:p>
      <w:pPr>
        <w:spacing w:after="0" w:line="188"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The decline in net licensing revenue was partially offset by growth in product sales, including our jewelry wholesale and e-commerce sales and apparel wholesale sales, which in total contributed approximately $3.9 million to net revenue in the current quarter, compared with $2.4 million in the prior year quarter. This increase in sales was primarily attributable to volume growth in our apparel wholesale business.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Current quarter cost of goods sold was $2.4 million, compared with $1.8 million for the prior year quarter due to higher volume of wholesale and e-commerce sales in the current quarter. Gross profit (net revenue less cost of goods sold) decreased approximately $1.4 million to $7.1 million from $8.5 million in the prior year quarter, primarily driven by the aforementioned decline in net licensing revenue.</w:t>
      </w:r>
    </w:p>
    <w:p>
      <w:pPr>
        <w:spacing w:after="0" w:line="187"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Total gross profit margin decreased from 82% in the prior year quarter to 75% in the current quarter, reflecting the completed transition of portions of our business from a licensing model to a wholesale model. Gross profit margin from product sales increased from 25% in the prior year quarter to 38% in the current quarter as a result of achieving greater efficiencies and economies of scale.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 w:name="page22"/>
    <w:bookmarkEnd w:id="2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225" w:lineRule="exact"/>
        <w:rPr>
          <w:sz w:val="20"/>
          <w:szCs w:val="20"/>
          <w:color w:val="auto"/>
        </w:rPr>
      </w:pPr>
    </w:p>
    <w:p>
      <w:pPr>
        <w:jc w:val="both"/>
        <w:ind w:left="40" w:right="59"/>
        <w:spacing w:after="0" w:line="255" w:lineRule="auto"/>
        <w:rPr>
          <w:sz w:val="20"/>
          <w:szCs w:val="20"/>
          <w:color w:val="auto"/>
        </w:rPr>
      </w:pPr>
      <w:r>
        <w:rPr>
          <w:rFonts w:ascii="Arial" w:cs="Arial" w:eastAsia="Arial" w:hAnsi="Arial"/>
          <w:sz w:val="18"/>
          <w:szCs w:val="18"/>
          <w:color w:val="auto"/>
        </w:rPr>
        <w:t>Operating costs and expenses increased approximately $0.4 million from $7.8 million in the prior year quarter to $8.2 million in the current quarter. Current quarter operating costs and expenses included higher depreciation and amortization expense, primarily due to the change in estimated life for the Judith Ripka trademarks, as well as $0.2 million of bad debt expense, and $0.08 million of costs incurred with a potential acquisition which was not consummated. These increases were partially offset by decreases in compensation costs (including stock-based compensation) as compared with the prior year quarter.</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Interest and Finance Expense</w:t>
      </w:r>
    </w:p>
    <w:p>
      <w:pPr>
        <w:spacing w:after="0" w:line="225"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Interest and finance expense for the current quarter was $0.29 million, compared with $0.48 million for the prior year quarter. The decrease from the prior year quarter is attributable to the fact that the prior year quarter includes a $0.19 million loss on extinguishment of debt as a result of the February 11, 2019 term loan amendment, with no such comparable extinguishment loss in the current quarter.</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Income Tax (Benefit) Provision</w:t>
      </w:r>
    </w:p>
    <w:p>
      <w:pPr>
        <w:spacing w:after="0" w:line="225" w:lineRule="exact"/>
        <w:rPr>
          <w:sz w:val="20"/>
          <w:szCs w:val="20"/>
          <w:color w:val="auto"/>
        </w:rPr>
      </w:pPr>
    </w:p>
    <w:p>
      <w:pPr>
        <w:jc w:val="both"/>
        <w:ind w:left="40" w:right="59"/>
        <w:spacing w:after="0" w:line="308" w:lineRule="auto"/>
        <w:rPr>
          <w:sz w:val="20"/>
          <w:szCs w:val="20"/>
          <w:color w:val="auto"/>
        </w:rPr>
      </w:pPr>
      <w:r>
        <w:rPr>
          <w:rFonts w:ascii="Arial" w:cs="Arial" w:eastAsia="Arial" w:hAnsi="Arial"/>
          <w:sz w:val="17"/>
          <w:szCs w:val="17"/>
          <w:color w:val="auto"/>
        </w:rPr>
        <w:t>The effective income tax rate for the current quarter and the prior year quarter was approximately 40% and 37%, respectively, resulting in an income tax (benefit) provision of $(0.55) million and $0.08 million, respectively.</w:t>
      </w:r>
    </w:p>
    <w:p>
      <w:pPr>
        <w:spacing w:after="0" w:line="146"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For the current quarter, the federal statutory rate differs from the effective tax rate primarily due to state taxes and recurring permanent differences, which increased the effective tax rate by approximately 8% and 4%, respectively. The effective tax rate was also attributable to the tax impact of a potential federal net operating loss carryback due to the CARES Act. This item increased the effective rate by 7%.</w:t>
      </w:r>
    </w:p>
    <w:p>
      <w:pPr>
        <w:spacing w:after="0" w:line="187" w:lineRule="exact"/>
        <w:rPr>
          <w:sz w:val="20"/>
          <w:szCs w:val="20"/>
          <w:color w:val="auto"/>
        </w:rPr>
      </w:pPr>
    </w:p>
    <w:p>
      <w:pPr>
        <w:jc w:val="both"/>
        <w:ind w:left="40" w:right="59"/>
        <w:spacing w:after="0" w:line="308" w:lineRule="auto"/>
        <w:rPr>
          <w:sz w:val="20"/>
          <w:szCs w:val="20"/>
          <w:color w:val="auto"/>
        </w:rPr>
      </w:pPr>
      <w:r>
        <w:rPr>
          <w:rFonts w:ascii="Arial" w:cs="Arial" w:eastAsia="Arial" w:hAnsi="Arial"/>
          <w:sz w:val="17"/>
          <w:szCs w:val="17"/>
          <w:color w:val="auto"/>
        </w:rPr>
        <w:t>For the prior year quarter, the federal statutory rate differed from the effective tax rate primarily due to state taxes and recurring permanent differences, which increased the effective tax rate by approximately 10% and 7%, respectively.</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Net (Loss) Income</w:t>
      </w:r>
    </w:p>
    <w:p>
      <w:pPr>
        <w:spacing w:after="0" w:line="22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We had a net loss of $(0.84) million for the current quarter, compared with net income of $0.13 million for the prior year quarter.</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Non-GAAP Net Income, Non-GAAP Diluted EPS, and Adjusted EBITDA</w:t>
      </w:r>
    </w:p>
    <w:p>
      <w:pPr>
        <w:spacing w:after="0" w:line="225" w:lineRule="exact"/>
        <w:rPr>
          <w:sz w:val="20"/>
          <w:szCs w:val="20"/>
          <w:color w:val="auto"/>
        </w:rPr>
      </w:pPr>
    </w:p>
    <w:p>
      <w:pPr>
        <w:jc w:val="both"/>
        <w:ind w:left="40" w:right="59"/>
        <w:spacing w:after="0" w:line="271" w:lineRule="auto"/>
        <w:rPr>
          <w:sz w:val="20"/>
          <w:szCs w:val="20"/>
          <w:color w:val="auto"/>
        </w:rPr>
      </w:pPr>
      <w:r>
        <w:rPr>
          <w:rFonts w:ascii="Arial" w:cs="Arial" w:eastAsia="Arial" w:hAnsi="Arial"/>
          <w:sz w:val="17"/>
          <w:szCs w:val="17"/>
          <w:color w:val="auto"/>
        </w:rPr>
        <w:t>We had non-GAAP net income of approximately $0.1 million, or $0.00 per diluted share (“non-GAAP diluted EPS”), for the current quarter and $1.5 million, or $0.08 per diluted share, for the prior year quarter. Non-GAAP net income is a non-GAAP unaudited term, which we define as net income (loss), exclusive of amortization of trademarks, stock-based compensation, non-cash interest and finance expense from discounted debt related to acquired assets, loss on extinguishment of debt, costs in connection with potential acquisitions, and deferred income taxes. Non-GAAP net income and non-GAAP diluted EPS measures do not include the tax effect of the aforementioned adjusting items, due to the nature of these items and the Company’s tax strategy. Prior to 2019, the Company did not adjust non-GAAP net income and non-GAAP EPS for the amortization of trademarks or costs in connection with potential acquisitions.</w:t>
      </w:r>
    </w:p>
    <w:p>
      <w:pPr>
        <w:spacing w:after="0" w:line="178"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color w:val="auto"/>
        </w:rPr>
        <w:t>We had Adjusted EBITDA of $0.6 million for the current quarter, compared with Adjusted EBITDA of $2.0 million for the prior year quarter. Adjusted EBITDA is a non-GAAP unaudited measure, which we define as net income (loss) before depreciation and amortization, interest and finance expenses (including loss on extinguishment of debt, if any), income taxes, other state and local franchise taxes, stock-based compensation, and costs in connection with potential acquisitions.</w:t>
      </w:r>
    </w:p>
    <w:p>
      <w:pPr>
        <w:spacing w:after="0" w:line="188" w:lineRule="exact"/>
        <w:rPr>
          <w:sz w:val="20"/>
          <w:szCs w:val="20"/>
          <w:color w:val="auto"/>
        </w:rPr>
      </w:pPr>
    </w:p>
    <w:p>
      <w:pPr>
        <w:jc w:val="both"/>
        <w:ind w:left="40" w:right="59"/>
        <w:spacing w:after="0" w:line="301" w:lineRule="auto"/>
        <w:rPr>
          <w:sz w:val="20"/>
          <w:szCs w:val="20"/>
          <w:color w:val="auto"/>
        </w:rPr>
      </w:pPr>
      <w:r>
        <w:rPr>
          <w:rFonts w:ascii="Arial" w:cs="Arial" w:eastAsia="Arial" w:hAnsi="Arial"/>
          <w:sz w:val="16"/>
          <w:szCs w:val="16"/>
          <w:color w:val="auto"/>
        </w:rPr>
        <w:t>Management uses non-GAAP net income, non-GAAP diluted EPS, and Adjusted EBITDA as measures of operating performance to assist in comparing performance from period to period on a consistent basis and to identify business trends relating to the Company’s results of operations. Management believes non-GAAP net income, non-GAAP diluted EPS, and Adjusted EBITDA are also useful because these measures adjust for certain costs and other events that management</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2" w:name="page23"/>
    <w:bookmarkEnd w:id="2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believes are not representative of our core business operating results, and thus these non-GAAP measures provide supplemental information to assist investors in evaluating the Company’s financial results.</w:t>
      </w:r>
    </w:p>
    <w:p>
      <w:pPr>
        <w:spacing w:after="0" w:line="170" w:lineRule="exact"/>
        <w:rPr>
          <w:sz w:val="20"/>
          <w:szCs w:val="20"/>
          <w:color w:val="auto"/>
        </w:rPr>
      </w:pPr>
    </w:p>
    <w:p>
      <w:pPr>
        <w:jc w:val="both"/>
        <w:ind w:left="40" w:right="59"/>
        <w:spacing w:after="0" w:line="291" w:lineRule="auto"/>
        <w:rPr>
          <w:sz w:val="20"/>
          <w:szCs w:val="20"/>
          <w:color w:val="auto"/>
        </w:rPr>
      </w:pPr>
      <w:r>
        <w:rPr>
          <w:rFonts w:ascii="Arial" w:cs="Arial" w:eastAsia="Arial" w:hAnsi="Arial"/>
          <w:sz w:val="16"/>
          <w:szCs w:val="16"/>
          <w:color w:val="auto"/>
        </w:rPr>
        <w:t>Non-GAAP net income, non-GAAP diluted EPS, and Adjusted EBITDA should not be considered in isolation or as alternatives to net income, earnings per share, or any other measure of financial performance calculated and presented in accordance with GAAP. Given that non-GAAP net income, non-GAAP diluted EPS, and Adjusted EBITDA are financial measures not deemed to be in accordance with GAAP and are susceptible to varying calculations, our non-GAAP net income, non-GAAP diluted EPS, and Adjusted EBITDA may not be comparable to similarly titled measures of other companies, including companies in our industry, because other companies may calculate non-GAAP net income, non-GAAP diluted EPS, and Adjusted EBITDA in a different manner than we calculate these measures.</w:t>
      </w:r>
    </w:p>
    <w:p>
      <w:pPr>
        <w:spacing w:after="0" w:line="166"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7"/>
          <w:szCs w:val="17"/>
          <w:color w:val="auto"/>
        </w:rPr>
        <w:t>In evaluating non-GAAP net income, non-GAAP diluted EPS, and Adjusted EBITDA, you should be aware that in the future we may or may not incur expenses similar to some of the adjustments in this report. Our presentation of non-GAAP net income, non-GAAP diluted EPS, and Adjusted EBITDA does not imply that our future results will be unaffected by these expenses or any unusual or non-recurring items. When evaluating our performance, you should consider non-GAAP net income, non-GAAP diluted EPS, and Adjusted EBITDA alongside other financial performance measures, including our net income and other GAAP results, and not rely on any single financial measure.</w:t>
      </w:r>
    </w:p>
    <w:p>
      <w:pPr>
        <w:spacing w:after="0" w:line="178"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The following table is a reconciliation of net (loss) income (our most directly comparable financial measure presented in accordance with GAAP) to non-GAAP net income:</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5"/>
          </w:tcPr>
          <w:p>
            <w:pPr>
              <w:jc w:val="right"/>
              <w:ind w:right="31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8"/>
        </w:trPr>
        <w:tc>
          <w:tcPr>
            <w:tcW w:w="660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4"/>
          </w:tcPr>
          <w:p>
            <w:pPr>
              <w:jc w:val="right"/>
              <w:ind w:right="7"/>
              <w:spacing w:after="0" w:line="149" w:lineRule="exact"/>
              <w:rPr>
                <w:sz w:val="20"/>
                <w:szCs w:val="20"/>
                <w:color w:val="auto"/>
              </w:rPr>
            </w:pPr>
            <w:r>
              <w:rPr>
                <w:rFonts w:ascii="Arial" w:cs="Arial" w:eastAsia="Arial" w:hAnsi="Arial"/>
                <w:sz w:val="14"/>
                <w:szCs w:val="14"/>
                <w:b w:val="1"/>
                <w:bCs w:val="1"/>
                <w:color w:val="auto"/>
              </w:rPr>
              <w:t>March 31,</w:t>
            </w:r>
          </w:p>
        </w:tc>
        <w:tc>
          <w:tcPr>
            <w:tcW w:w="68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1"/>
        </w:trPr>
        <w:tc>
          <w:tcPr>
            <w:tcW w:w="66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attributable to Xcel Brands, Inc. stockholders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Amortization of trademarks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1,108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Non-cash interest and finance expense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Costs in connection with potential acquisition</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(benefit) provision</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7"/>
        </w:trPr>
        <w:tc>
          <w:tcPr>
            <w:tcW w:w="6600" w:type="dxa"/>
            <w:vAlign w:val="bottom"/>
          </w:tcPr>
          <w:p>
            <w:pPr>
              <w:spacing w:after="0"/>
              <w:rPr>
                <w:sz w:val="20"/>
                <w:szCs w:val="20"/>
                <w:color w:val="auto"/>
              </w:rPr>
            </w:pPr>
            <w:r>
              <w:rPr>
                <w:rFonts w:ascii="Arial" w:cs="Arial" w:eastAsia="Arial" w:hAnsi="Arial"/>
                <w:sz w:val="18"/>
                <w:szCs w:val="18"/>
                <w:color w:val="auto"/>
              </w:rPr>
              <w:t>Non-GAAP net income</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The following table is a reconciliation of diluted (loss) earnings per share (our most directly comparable financial measure presented in accordance with GAAP) to non-GAAP diluted EPS: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gridSpan w:val="4"/>
          </w:tcPr>
          <w:p>
            <w:pPr>
              <w:jc w:val="right"/>
              <w:ind w:right="73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3"/>
          </w:tcPr>
          <w:p>
            <w:pPr>
              <w:jc w:val="right"/>
              <w:ind w:right="87"/>
              <w:spacing w:after="0" w:line="149" w:lineRule="exact"/>
              <w:rPr>
                <w:sz w:val="20"/>
                <w:szCs w:val="20"/>
                <w:color w:val="auto"/>
              </w:rPr>
            </w:pPr>
            <w:r>
              <w:rPr>
                <w:rFonts w:ascii="Arial" w:cs="Arial" w:eastAsia="Arial" w:hAnsi="Arial"/>
                <w:sz w:val="14"/>
                <w:szCs w:val="14"/>
                <w:b w:val="1"/>
                <w:bCs w:val="1"/>
                <w:color w:val="auto"/>
              </w:rPr>
              <w:t>March 31,</w:t>
            </w:r>
          </w:p>
        </w:tc>
        <w:tc>
          <w:tcPr>
            <w:tcW w:w="102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1"/>
        </w:trPr>
        <w:tc>
          <w:tcPr>
            <w:tcW w:w="3840" w:type="dxa"/>
            <w:vAlign w:val="bottom"/>
            <w:tcBorders>
              <w:bottom w:val="single" w:sz="8" w:color="CCEEFF"/>
            </w:tcBorders>
          </w:tcPr>
          <w:p>
            <w:pPr>
              <w:spacing w:after="0"/>
              <w:rPr>
                <w:sz w:val="14"/>
                <w:szCs w:val="14"/>
                <w:color w:val="auto"/>
              </w:rPr>
            </w:pPr>
          </w:p>
        </w:tc>
        <w:tc>
          <w:tcPr>
            <w:tcW w:w="21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Diluted (loss) earnings per share</w:t>
            </w:r>
          </w:p>
        </w:tc>
        <w:tc>
          <w:tcPr>
            <w:tcW w:w="2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Amortization of trademarks</w:t>
            </w: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0.06</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Non-cash interest and finance expense</w:t>
            </w: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2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Costs in connection with potential acquisition</w:t>
            </w: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0.00</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(benefit) provision</w:t>
            </w:r>
          </w:p>
        </w:tc>
        <w:tc>
          <w:tcPr>
            <w:tcW w:w="2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Non-GAAP diluted EPS</w:t>
            </w:r>
          </w:p>
        </w:tc>
        <w:tc>
          <w:tcPr>
            <w:tcW w:w="2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36"/>
        </w:trPr>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weighted average diluted shares</w:t>
            </w:r>
          </w:p>
        </w:tc>
        <w:tc>
          <w:tcPr>
            <w:tcW w:w="2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18,871,020</w:t>
            </w:r>
          </w:p>
        </w:tc>
        <w:tc>
          <w:tcPr>
            <w:tcW w:w="2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18,562,763</w:t>
            </w:r>
          </w:p>
        </w:tc>
        <w:tc>
          <w:tcPr>
            <w:tcW w:w="0" w:type="dxa"/>
            <w:vAlign w:val="bottom"/>
          </w:tcPr>
          <w:p>
            <w:pPr>
              <w:spacing w:after="0"/>
              <w:rPr>
                <w:sz w:val="1"/>
                <w:szCs w:val="1"/>
                <w:color w:val="auto"/>
              </w:rPr>
            </w:pPr>
          </w:p>
        </w:tc>
      </w:tr>
      <w:tr>
        <w:trPr>
          <w:trHeight w:val="851"/>
        </w:trPr>
        <w:tc>
          <w:tcPr>
            <w:tcW w:w="3840" w:type="dxa"/>
            <w:vAlign w:val="bottom"/>
          </w:tcPr>
          <w:p>
            <w:pPr>
              <w:spacing w:after="0"/>
              <w:rPr>
                <w:sz w:val="24"/>
                <w:szCs w:val="24"/>
                <w:color w:val="auto"/>
              </w:rPr>
            </w:pPr>
          </w:p>
        </w:tc>
        <w:tc>
          <w:tcPr>
            <w:tcW w:w="2140" w:type="dxa"/>
            <w:vAlign w:val="bottom"/>
          </w:tcPr>
          <w:p>
            <w:pPr>
              <w:jc w:val="right"/>
              <w:ind w:right="133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8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5" w:right="1440" w:bottom="1440" w:gutter="0" w:footer="0" w:header="0"/>
        </w:sectPr>
      </w:pPr>
    </w:p>
    <w:bookmarkStart w:id="23" w:name="page24"/>
    <w:bookmarkEnd w:id="2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The following table is a reconciliation of net (loss) income (our most directly comparable financial measure presented in accordance with GAAP) to Adjusted EBITDA:</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Pr>
          <w:p>
            <w:pPr>
              <w:spacing w:after="0"/>
              <w:rPr>
                <w:sz w:val="12"/>
                <w:szCs w:val="12"/>
                <w:color w:val="auto"/>
              </w:rPr>
            </w:pPr>
          </w:p>
        </w:tc>
        <w:tc>
          <w:tcPr>
            <w:tcW w:w="1900" w:type="dxa"/>
            <w:vAlign w:val="bottom"/>
            <w:gridSpan w:val="3"/>
          </w:tcPr>
          <w:p>
            <w:pPr>
              <w:jc w:val="right"/>
              <w:ind w:right="290"/>
              <w:spacing w:after="0" w:line="149" w:lineRule="exact"/>
              <w:rPr>
                <w:sz w:val="20"/>
                <w:szCs w:val="20"/>
                <w:color w:val="auto"/>
              </w:rPr>
            </w:pPr>
            <w:r>
              <w:rPr>
                <w:rFonts w:ascii="Arial" w:cs="Arial" w:eastAsia="Arial" w:hAnsi="Arial"/>
                <w:sz w:val="14"/>
                <w:szCs w:val="14"/>
                <w:b w:val="1"/>
                <w:bCs w:val="1"/>
                <w:color w:val="auto"/>
              </w:rPr>
              <w:t>March 31,</w:t>
            </w:r>
          </w:p>
        </w:tc>
        <w:tc>
          <w:tcPr>
            <w:tcW w:w="88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71"/>
        </w:trPr>
        <w:tc>
          <w:tcPr>
            <w:tcW w:w="58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(loss) income attributable to Xcel Brands, Inc. stockholders</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1,303</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finance expense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Income tax (benefit) provision</w:t>
            </w:r>
          </w:p>
        </w:tc>
        <w:tc>
          <w:tcPr>
            <w:tcW w:w="32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(552)</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and local franchise taxes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243</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in connection with potential acquisition</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240" w:type="dxa"/>
            <w:vAlign w:val="bottom"/>
          </w:tcPr>
          <w:p>
            <w:pPr>
              <w:spacing w:after="0"/>
              <w:rPr>
                <w:sz w:val="18"/>
                <w:szCs w:val="18"/>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Our principal capital requirements have been to fund working capital needs, acquire new brands, and to a lesser extent, capital expenditures. At March 31, 2020 and December 31, 2019, our cash and cash equivalents were $4.2 million and $4.6 million, respectively.</w:t>
      </w:r>
    </w:p>
    <w:p>
      <w:pPr>
        <w:spacing w:after="0" w:line="184"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Restricted cash at March 31, 2020 and at December 31, 2019 consisted of $1.1 million of cash deposited with BHI as collateral for an irrevocable standby letter of credit associated with the lease of our current corporate office and operating facility.</w:t>
      </w:r>
    </w:p>
    <w:p>
      <w:pPr>
        <w:spacing w:after="0" w:line="184"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On April 23, 2020, we received $1.8 million from Bank of America through the PPP. If we meet certain criteria, the loan will be forgiven, and the proceeds used to reduce expenses.</w:t>
      </w:r>
    </w:p>
    <w:p>
      <w:pPr>
        <w:spacing w:after="0" w:line="170" w:lineRule="exact"/>
        <w:rPr>
          <w:sz w:val="20"/>
          <w:szCs w:val="20"/>
          <w:color w:val="auto"/>
        </w:rPr>
      </w:pPr>
    </w:p>
    <w:p>
      <w:pPr>
        <w:jc w:val="both"/>
        <w:ind w:left="40" w:right="59"/>
        <w:spacing w:after="0" w:line="220" w:lineRule="exact"/>
        <w:rPr>
          <w:sz w:val="20"/>
          <w:szCs w:val="20"/>
          <w:color w:val="auto"/>
        </w:rPr>
      </w:pPr>
      <w:r>
        <w:rPr>
          <w:rFonts w:ascii="Arial" w:cs="Arial" w:eastAsia="Arial" w:hAnsi="Arial"/>
          <w:sz w:val="18"/>
          <w:szCs w:val="18"/>
          <w:color w:val="auto"/>
        </w:rPr>
        <w:t>We expect that existing cash and operating cash flows will be adequate to meet our operating needs, term debt service obligations, and capital expenditure needs, for at least the twelve months subsequent to the filing date of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Changes in Working Capital</w:t>
      </w:r>
    </w:p>
    <w:p>
      <w:pPr>
        <w:spacing w:after="0" w:line="225"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Our working capital (current assets less current liabilities, excluding the current portion of operating lease obligations and any contingent obligations payable in common stock) was $7.8 million and $9.5 million as of March 31, 2020 and December 31, 2019, respectively. Working capital decreased by approximately $1.7 million during the first three months of 2020 primarily due to the increase in the current portion of long-term debt.</w:t>
      </w:r>
    </w:p>
    <w:p>
      <w:pPr>
        <w:spacing w:after="0" w:line="187"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Commentary on the components of our cash flows for the current quarter as compared with the prior year quarter is set forth below.</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Net cash provided by operating activities was approximately $0.31 million in the current quarter, compared with approximately $1.23 million in the prior year quarter.</w:t>
      </w:r>
    </w:p>
    <w:p>
      <w:pPr>
        <w:spacing w:after="0" w:line="170" w:lineRule="exact"/>
        <w:rPr>
          <w:sz w:val="20"/>
          <w:szCs w:val="20"/>
          <w:color w:val="auto"/>
        </w:rPr>
      </w:pPr>
    </w:p>
    <w:p>
      <w:pPr>
        <w:jc w:val="both"/>
        <w:ind w:left="40" w:right="59"/>
        <w:spacing w:after="0" w:line="296" w:lineRule="auto"/>
        <w:rPr>
          <w:sz w:val="20"/>
          <w:szCs w:val="20"/>
          <w:color w:val="auto"/>
        </w:rPr>
      </w:pPr>
      <w:r>
        <w:rPr>
          <w:rFonts w:ascii="Arial" w:cs="Arial" w:eastAsia="Arial" w:hAnsi="Arial"/>
          <w:sz w:val="16"/>
          <w:szCs w:val="16"/>
          <w:color w:val="auto"/>
        </w:rPr>
        <w:t>The current quarter cash provided by operating activities was primarily attributable to the combination of the net loss of $(0.84) million plus non-cash expenses of approximately $1.23 million, partially offset by a net change in operating assets and liabilities of approximately $(0.08) million. Non-cash net expenses were primarily comprised of $1.30 million of depreciation and amortization, $0.24 million of stock-based compensation, $0.21 million of bad debt expense, and deferred income tax benefit of $(0.55) million. The net change from operating assets and liabilities includes a decrease in accounts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4" w:name="page25"/>
    <w:bookmarkEnd w:id="2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receivable of $1.57 million, a decrease in inventory of approximately $0.11 million, and a decrease in accounts payable, accrued expenses and other current liabilities of $(1.67) million, all of which were primarily due to timing of collections and payments, and cash paid in excess of rent expense of $(0.09) million.</w:t>
      </w:r>
    </w:p>
    <w:p>
      <w:pPr>
        <w:spacing w:after="0" w:line="184" w:lineRule="exact"/>
        <w:rPr>
          <w:sz w:val="20"/>
          <w:szCs w:val="20"/>
          <w:color w:val="auto"/>
        </w:rPr>
      </w:pPr>
    </w:p>
    <w:p>
      <w:pPr>
        <w:jc w:val="both"/>
        <w:ind w:left="40" w:right="59"/>
        <w:spacing w:after="0" w:line="270" w:lineRule="auto"/>
        <w:rPr>
          <w:sz w:val="20"/>
          <w:szCs w:val="20"/>
          <w:color w:val="auto"/>
        </w:rPr>
      </w:pPr>
      <w:r>
        <w:rPr>
          <w:rFonts w:ascii="Arial" w:cs="Arial" w:eastAsia="Arial" w:hAnsi="Arial"/>
          <w:sz w:val="17"/>
          <w:szCs w:val="17"/>
          <w:color w:val="auto"/>
        </w:rPr>
        <w:t>The prior year quarter cash provided by operating activities was primarily attributable to the combination of net income of $0.13 million plus non-cash expenses of approximately $1.61 million and net change in operating assets and liabilities of approximately $(0.5) million. Non-cash net expenses primarily consisted of $0.1 million of deferred income tax provision, $0.3 million of stock-based compensation, $0.9 million of depreciation and amortization, and loss on extinguishment of debt of $0.19 million. The net change from operating assets and liabilities includes a decrease in accounts receivable of $1.0 million, a decrease in inventory of approximately $0.6 million, an increase in prepaid expenses and other assets of ($0.5) million, a decrease in accounts payable, accrued expenses and other current liabilities of $(1.3) million, and a decrease in other liabilities of $(0.20) million, all primarily due to timing of collections and payments, and cash paid in excess of rent expense of $(0.1) million.</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color w:val="auto"/>
        </w:rPr>
        <w:t>Net cash used in investing activities for the current quarter was approximately $0.6 million, compared with approximately $9.1 million in the prior year quarter. Cash used in investing activities for in the current quarter was primarily attributable to capital expenditures, a substantial portion of which relates to the implementation of our ERP system, while cash used in investing activities for the prior year quarter was primarily related to cash consideration paid to acquire the Halston Heritage Brands.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Net cash used in financing activities for the current quarter was approximately $0.1 million, and was attributable to shares repurchased related to vested restricted stock in exchange for withholding taxes.</w:t>
      </w:r>
    </w:p>
    <w:p>
      <w:pPr>
        <w:spacing w:after="0" w:line="170"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Net cash provided by financing activities for the prior year quarter was approximately $5.5 million, primarily attributable to proceeds received from long-term debt of $7.5 million, partially offset by payments made on long-term debt obligations of $(1.75) million, and payment of $(0.29) million of deferred finance costs.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Other Factors</w:t>
      </w:r>
    </w:p>
    <w:p>
      <w:pPr>
        <w:spacing w:after="0" w:line="229" w:lineRule="exact"/>
        <w:rPr>
          <w:sz w:val="20"/>
          <w:szCs w:val="20"/>
          <w:color w:val="auto"/>
        </w:rPr>
      </w:pPr>
    </w:p>
    <w:p>
      <w:pPr>
        <w:jc w:val="both"/>
        <w:ind w:left="40" w:right="59"/>
        <w:spacing w:after="0" w:line="273" w:lineRule="auto"/>
        <w:rPr>
          <w:sz w:val="20"/>
          <w:szCs w:val="20"/>
          <w:color w:val="auto"/>
        </w:rPr>
      </w:pPr>
      <w:r>
        <w:rPr>
          <w:rFonts w:ascii="Arial" w:cs="Arial" w:eastAsia="Arial" w:hAnsi="Arial"/>
          <w:sz w:val="17"/>
          <w:szCs w:val="17"/>
          <w:color w:val="auto"/>
        </w:rPr>
        <w:t>We continue to seek to expand and diversify the types of licensed products being produced under our brands. We plan to continue to diversify the distribution channels within which licensed products are sold, in an effort to reduce dependence on any particular retailer, consumer, or market sector within each of our brands. The Mizrahi brand, Halston brand, and C Wonder brand have a core business in fashion apparel and accessories. The Ripka brand is a fine jewelry business, and the Longaberger brand focuses on home good products, which we believe helps diversify our industry focus while at the same time complements our business operations and relationships.</w:t>
      </w:r>
    </w:p>
    <w:p>
      <w:pPr>
        <w:spacing w:after="0" w:line="178" w:lineRule="exact"/>
        <w:rPr>
          <w:sz w:val="20"/>
          <w:szCs w:val="20"/>
          <w:color w:val="auto"/>
        </w:rPr>
      </w:pPr>
    </w:p>
    <w:p>
      <w:pPr>
        <w:jc w:val="both"/>
        <w:ind w:left="40" w:right="59"/>
        <w:spacing w:after="0" w:line="257" w:lineRule="auto"/>
        <w:rPr>
          <w:sz w:val="20"/>
          <w:szCs w:val="20"/>
          <w:color w:val="auto"/>
        </w:rPr>
      </w:pPr>
      <w:r>
        <w:rPr>
          <w:rFonts w:ascii="Arial" w:cs="Arial" w:eastAsia="Arial" w:hAnsi="Arial"/>
          <w:sz w:val="18"/>
          <w:szCs w:val="18"/>
          <w:color w:val="auto"/>
        </w:rPr>
        <w:t>We continue to expand our Judith Ripka Fine Jewelry wholesale and e-commerce business, and we have transitioned our department store business from a licensing model to a wholesale model. Our strategy is to manage our working capital needs by utilizing back-to-back sales and purchase orders and minimizing inventory risk. This change should increase our total and net revenues as compared to the licensing model. We expect to develop a core licensing business for the Longaberger brand, in addition to a direct-to-consumer business.</w:t>
      </w:r>
    </w:p>
    <w:p>
      <w:pPr>
        <w:spacing w:after="0" w:line="188"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In addition, we continue to seek new opportunities, including expansion through interactive television, our design, production and supply chain platform, additional domestic and international licensing arrangements, and acquiring additional brands.</w:t>
      </w:r>
    </w:p>
    <w:p>
      <w:pPr>
        <w:spacing w:after="0" w:line="184" w:lineRule="exact"/>
        <w:rPr>
          <w:sz w:val="20"/>
          <w:szCs w:val="20"/>
          <w:color w:val="auto"/>
        </w:rPr>
      </w:pPr>
    </w:p>
    <w:p>
      <w:pPr>
        <w:jc w:val="both"/>
        <w:ind w:left="40" w:right="59"/>
        <w:spacing w:after="0" w:line="301" w:lineRule="auto"/>
        <w:rPr>
          <w:sz w:val="20"/>
          <w:szCs w:val="20"/>
          <w:color w:val="auto"/>
        </w:rPr>
      </w:pPr>
      <w:r>
        <w:rPr>
          <w:rFonts w:ascii="Arial" w:cs="Arial" w:eastAsia="Arial" w:hAnsi="Arial"/>
          <w:sz w:val="16"/>
          <w:szCs w:val="16"/>
          <w:color w:val="auto"/>
        </w:rPr>
        <w:t>However, the impacts of the current COVID-19 pandemic are broad reaching and are having an impact on our licensing and wholesale businesses. The COVID-19 pandemic is impacting our supply chain as most of our products are manufactured in China, Thailand, and other places around the world affected by this event. Temporary factory closures and the pace of workers returning to work have impacted our contract manufacturers’ ability to source certain raw materials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5" w:name="page26"/>
    <w:bookmarkEnd w:id="2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69" w:lineRule="auto"/>
        <w:rPr>
          <w:sz w:val="20"/>
          <w:szCs w:val="20"/>
          <w:color w:val="auto"/>
        </w:rPr>
      </w:pPr>
      <w:r>
        <w:rPr>
          <w:rFonts w:ascii="Arial" w:cs="Arial" w:eastAsia="Arial" w:hAnsi="Arial"/>
          <w:sz w:val="17"/>
          <w:szCs w:val="17"/>
          <w:color w:val="auto"/>
        </w:rPr>
        <w:t>and to produce finished goods in a timely manner. The outbreak is also impacting distribution and logistics providers' ability to operate in the normal course of business. Further, the pandemic has resulted in a sudden decrease in sales for many of our products, resulting in order cancelations. Financial impacts associated with the COVID-19 pandemic include, but are not limited to, lower net sales, the delay of inventory production and fulfillment, potentially further impacting net sales, and potential incremental costs associated with mitigating the effects of the pandemic, including increased freight and logistics costs and other expenses. We expect that the impact the COVID-19 pandemic may have on our operating results could result in our inability to comply with certain debt covenants and require BHI to waive compliance with, or agree to amend, any such covenant to avoid a default. The COVID-19 pandemic is ongoing, and its dynamic nature, including uncertainties relating to the ultimate geographic spread of the virus, the severity of the disease, the duration of the pandemic, and actions that would be taken by governmental authorities to contain the pandemic or to treat its impact, makes it difficult to forecast any effects on our 2020 results. However, as of the date of this filing, we expect our results for 2020 to be significantly affected.</w:t>
      </w:r>
    </w:p>
    <w:p>
      <w:pPr>
        <w:spacing w:after="0" w:line="179" w:lineRule="exact"/>
        <w:rPr>
          <w:sz w:val="20"/>
          <w:szCs w:val="20"/>
          <w:color w:val="auto"/>
        </w:rPr>
      </w:pPr>
    </w:p>
    <w:p>
      <w:pPr>
        <w:jc w:val="both"/>
        <w:ind w:left="40" w:right="59"/>
        <w:spacing w:after="0" w:line="254" w:lineRule="auto"/>
        <w:rPr>
          <w:sz w:val="20"/>
          <w:szCs w:val="20"/>
          <w:color w:val="auto"/>
        </w:rPr>
      </w:pPr>
      <w:r>
        <w:rPr>
          <w:rFonts w:ascii="Arial" w:cs="Arial" w:eastAsia="Arial" w:hAnsi="Arial"/>
          <w:sz w:val="18"/>
          <w:szCs w:val="18"/>
          <w:color w:val="auto"/>
        </w:rPr>
        <w:t>Our success, however, will still remain largely dependent on our ability to build and maintain our brands’ awareness and continue to attract wholesale and direct-to-consumer customers, and contract with and retain key licensees, as well as our and our licensees’ ability to accurately predict upcoming fashion and design trends within their respective customer bases and fulfill the product requirements of the particular retail channels within the global marketplace. Unanticipated changes in consumer fashion preferences and purchasing patterns, slowdowns in the U.S. economy, changes in the prices of supplies, consolidation of retail establishments, and other factors noted in “Risk Factors” could adversely affect our licensees’ ability to meet and/or exceed their contractual commitments to us and thereby adversely affect our future operating results.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Effects of Inflation</w:t>
      </w:r>
    </w:p>
    <w:p>
      <w:pPr>
        <w:spacing w:after="0" w:line="229" w:lineRule="exact"/>
        <w:rPr>
          <w:sz w:val="20"/>
          <w:szCs w:val="20"/>
          <w:color w:val="auto"/>
        </w:rPr>
      </w:pPr>
    </w:p>
    <w:p>
      <w:pPr>
        <w:jc w:val="both"/>
        <w:ind w:left="40" w:right="59"/>
        <w:spacing w:after="0" w:line="311" w:lineRule="auto"/>
        <w:rPr>
          <w:sz w:val="20"/>
          <w:szCs w:val="20"/>
          <w:color w:val="auto"/>
        </w:rPr>
      </w:pPr>
      <w:r>
        <w:rPr>
          <w:rFonts w:ascii="Arial" w:cs="Arial" w:eastAsia="Arial" w:hAnsi="Arial"/>
          <w:sz w:val="16"/>
          <w:szCs w:val="16"/>
          <w:color w:val="auto"/>
        </w:rPr>
        <w:t>We do not believe that the relatively moderate rates of inflation experienced over the past two years in the United States, where we primarily compete, have had a significant effect on revenues or profitability. If there were an adverse change in the rate of inflation by less than 10%, the expected effect on net income and cash flows would be immaterial.</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left="40" w:right="59"/>
        <w:spacing w:after="0" w:line="277"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material effect on our financial condition, results of operations, or liquidity.</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left="40" w:right="59"/>
        <w:spacing w:after="0" w:line="268" w:lineRule="auto"/>
        <w:rPr>
          <w:sz w:val="20"/>
          <w:szCs w:val="20"/>
          <w:color w:val="auto"/>
        </w:rPr>
      </w:pPr>
      <w:r>
        <w:rPr>
          <w:rFonts w:ascii="Arial" w:cs="Arial" w:eastAsia="Arial" w:hAnsi="Arial"/>
          <w:sz w:val="17"/>
          <w:szCs w:val="17"/>
          <w:color w:val="auto"/>
        </w:rPr>
        <w:t>The preparation of our unaudited condensed consolidated financial statements in conformity with GAAP requires management to exercise judgment. We exercise considerable judgment with respect to establishing sound accounting policies and in making estimates and assumptions that affect the reported amounts of our assets and liabilities, our recognition of revenues and expenses, and disclosure of commitments and contingencies at the date of the financial statements. We evaluate our estimates and judgments on an on-going basis. We base our estimates and judgments on a variety of factors, including our historical experience, knowledge of our business and industry, and current and expected economic conditions that are believed to be reasonable under the circumstances, the results of which form the basis for making judgments about the carrying values of assets and liabilities that are not readily apparent from other sources. We periodically re-evaluate our estimates and assumptions with respect to these judgments and modify our approach when circumstances indicate that modifications are necessary. While we believe that the factors we evaluate provide us with a meaningful basis for establishing and applying sound accounting policies, we cannot guarantee that the results will always be accurate. Because the determination of these estimates requires the exercise of judgment, actual results could differ from such estimates.</w:t>
      </w:r>
    </w:p>
    <w:p>
      <w:pPr>
        <w:spacing w:after="0" w:line="186" w:lineRule="exact"/>
        <w:rPr>
          <w:sz w:val="20"/>
          <w:szCs w:val="20"/>
          <w:color w:val="auto"/>
        </w:rPr>
      </w:pPr>
    </w:p>
    <w:p>
      <w:pPr>
        <w:jc w:val="both"/>
        <w:ind w:left="40" w:right="59"/>
        <w:spacing w:after="0" w:line="220" w:lineRule="exact"/>
        <w:rPr>
          <w:sz w:val="20"/>
          <w:szCs w:val="20"/>
          <w:color w:val="auto"/>
        </w:rPr>
      </w:pPr>
      <w:r>
        <w:rPr>
          <w:rFonts w:ascii="Arial" w:cs="Arial" w:eastAsia="Arial" w:hAnsi="Arial"/>
          <w:sz w:val="18"/>
          <w:szCs w:val="18"/>
          <w:color w:val="auto"/>
        </w:rPr>
        <w:t>Please refer to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2019, filed with the SEC on April 14, 2020, for a discussion of our critical accounting policies. During the three months ended March 31, 2020, there were no material changes to our accounting policies.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6" w:name="page27"/>
    <w:bookmarkEnd w:id="2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tabs>
          <w:tab w:leader="none" w:pos="86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Not applicable to smaller reporting companies.</w:t>
      </w:r>
    </w:p>
    <w:p>
      <w:pPr>
        <w:spacing w:after="0" w:line="154" w:lineRule="exact"/>
        <w:rPr>
          <w:sz w:val="20"/>
          <w:szCs w:val="20"/>
          <w:color w:val="auto"/>
        </w:rPr>
      </w:pPr>
    </w:p>
    <w:p>
      <w:pPr>
        <w:ind w:left="40"/>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jc w:val="both"/>
        <w:ind w:left="40" w:right="59"/>
        <w:spacing w:after="0" w:line="218" w:lineRule="exact"/>
        <w:rPr>
          <w:sz w:val="20"/>
          <w:szCs w:val="20"/>
          <w:color w:val="auto"/>
        </w:rPr>
      </w:pPr>
      <w:r>
        <w:rPr>
          <w:rFonts w:ascii="Arial" w:cs="Arial" w:eastAsia="Arial" w:hAnsi="Arial"/>
          <w:sz w:val="17"/>
          <w:szCs w:val="17"/>
          <w:color w:val="auto"/>
        </w:rPr>
        <w:t>Our management, under the supervision and with the participation of our Chief Executive Officer and Chief Financial Officer, evaluated the effectiveness of the design and operation of our disclosure controls and procedures (as defined in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of the Securities Exchange Act of 1934, as amended (the “Exchange Act”) as of March 31, 2020, the end of the period covered by this report. Based on, and as of the date of such evaluation, the Chief Executive Officer and the Chief Financial Officer have concluded that our disclosure controls and procedures were effective as of March 31, 2020 such that the information required to be disclosed in our SEC reports is recorded, processed, summarized, and reported within the time periods specified in SEC rules and forms, and is accumulated and communicated to our management, including our principal executive officer and principal financial officer, as appropriate, to allow timely decisions regarding required disclosure.</w:t>
      </w:r>
    </w:p>
    <w:p>
      <w:pPr>
        <w:spacing w:after="0" w:line="1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29" w:lineRule="exact"/>
        <w:rPr>
          <w:sz w:val="20"/>
          <w:szCs w:val="20"/>
          <w:color w:val="auto"/>
        </w:rPr>
      </w:pPr>
    </w:p>
    <w:p>
      <w:pPr>
        <w:jc w:val="both"/>
        <w:ind w:left="40" w:right="59"/>
        <w:spacing w:after="0" w:line="220" w:lineRule="exact"/>
        <w:rPr>
          <w:sz w:val="20"/>
          <w:szCs w:val="20"/>
          <w:color w:val="auto"/>
        </w:rPr>
      </w:pPr>
      <w:r>
        <w:rPr>
          <w:rFonts w:ascii="Arial" w:cs="Arial" w:eastAsia="Arial" w:hAnsi="Arial"/>
          <w:sz w:val="18"/>
          <w:szCs w:val="18"/>
          <w:color w:val="auto"/>
        </w:rPr>
        <w:t>There have not been any significant changes in our internal control over financial reporting (as defined in Rules 13a</w:t>
      </w:r>
      <w:r>
        <w:rPr>
          <w:rFonts w:ascii="MS PGothic" w:cs="MS PGothic" w:eastAsia="MS PGothic" w:hAnsi="MS PGothic"/>
          <w:sz w:val="18"/>
          <w:szCs w:val="18"/>
          <w:color w:val="auto"/>
        </w:rPr>
        <w:t>‑</w:t>
      </w:r>
      <w:r>
        <w:rPr>
          <w:rFonts w:ascii="Arial" w:cs="Arial" w:eastAsia="Arial" w:hAnsi="Arial"/>
          <w:sz w:val="18"/>
          <w:szCs w:val="18"/>
          <w:color w:val="auto"/>
        </w:rPr>
        <w:t>15(f) and 15d</w:t>
      </w:r>
      <w:r>
        <w:rPr>
          <w:rFonts w:ascii="MS PGothic" w:cs="MS PGothic" w:eastAsia="MS PGothic" w:hAnsi="MS PGothic"/>
          <w:sz w:val="18"/>
          <w:szCs w:val="18"/>
          <w:color w:val="auto"/>
        </w:rPr>
        <w:t>‑</w:t>
      </w:r>
      <w:r>
        <w:rPr>
          <w:rFonts w:ascii="Arial" w:cs="Arial" w:eastAsia="Arial" w:hAnsi="Arial"/>
          <w:sz w:val="18"/>
          <w:szCs w:val="18"/>
          <w:color w:val="auto"/>
        </w:rPr>
        <w:t>15(f) under the Exchange Act) during the fiscal quarter ended March 31, 2020 that have materially affected, or are reasonably likely to materially affect, our internal control over financial reporting.</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40"/>
        <w:spacing w:after="0"/>
        <w:tabs>
          <w:tab w:leader="none" w:pos="860" w:val="left"/>
        </w:tabs>
        <w:rPr>
          <w:sz w:val="20"/>
          <w:szCs w:val="20"/>
          <w:color w:val="auto"/>
        </w:rPr>
      </w:pPr>
      <w:r>
        <w:rPr>
          <w:rFonts w:ascii="Arial" w:cs="Arial" w:eastAsia="Arial" w:hAnsi="Arial"/>
          <w:sz w:val="18"/>
          <w:szCs w:val="18"/>
          <w:b w:val="1"/>
          <w:bCs w:val="1"/>
          <w:color w:val="auto"/>
        </w:rPr>
        <w:t>ITEM 1.</w:t>
        <w:tab/>
        <w:t>LEGAL PROCEEDINGS</w:t>
      </w:r>
    </w:p>
    <w:p>
      <w:pPr>
        <w:spacing w:after="0" w:line="229"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In the ordinary course of business, from time to time we become involved in legal claims and litigation. In the opinion of management, based on consultations with legal counsel, the disposition of litigation currently pending against us is unlikely to have, individually or in the aggregate, a materially adverse effect on our business, financial position, or results of operations.</w:t>
      </w:r>
    </w:p>
    <w:p>
      <w:pPr>
        <w:spacing w:after="0" w:line="183"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left="40" w:right="59"/>
        <w:spacing w:after="0" w:line="218" w:lineRule="exact"/>
        <w:rPr>
          <w:sz w:val="20"/>
          <w:szCs w:val="20"/>
          <w:color w:val="auto"/>
        </w:rPr>
      </w:pPr>
      <w:r>
        <w:rPr>
          <w:rFonts w:ascii="Arial" w:cs="Arial" w:eastAsia="Arial" w:hAnsi="Arial"/>
          <w:sz w:val="18"/>
          <w:szCs w:val="18"/>
          <w:color w:val="auto"/>
        </w:rPr>
        <w:t>In addition to the Risk Factors set forth in Part I, Item 1A, “Risk Factors” of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2019, set forth below are certain factors which could affect our financial condition and operating results. We operate in a highly competitive industry that involves numerous known and unknown risks and uncertainties that could impact our operations. The risks described in Part I, Item 1A, “Risk Factors” of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2019 are not the only risks we face. Additional risks and uncertainties not currently known to us or that we currently deem to be immaterial also may materially adversely affect our financial condition and/or operating results.</w:t>
      </w:r>
    </w:p>
    <w:p>
      <w:pPr>
        <w:spacing w:after="0" w:line="207"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b w:val="1"/>
          <w:bCs w:val="1"/>
          <w:i w:val="1"/>
          <w:iCs w:val="1"/>
          <w:color w:val="auto"/>
        </w:rPr>
        <w:t>Our failure to meet the continued listing requirements of the Nasdaq Global Market could result in a delisting of our common stock, which could negatively impact the market price and liquidity of our common stock and our ability to access the capital markets.</w:t>
      </w:r>
    </w:p>
    <w:p>
      <w:pPr>
        <w:spacing w:after="0" w:line="184" w:lineRule="exact"/>
        <w:rPr>
          <w:sz w:val="20"/>
          <w:szCs w:val="20"/>
          <w:color w:val="auto"/>
        </w:rPr>
      </w:pPr>
    </w:p>
    <w:p>
      <w:pPr>
        <w:jc w:val="both"/>
        <w:ind w:left="40" w:right="59"/>
        <w:spacing w:after="0" w:line="291" w:lineRule="auto"/>
        <w:rPr>
          <w:sz w:val="20"/>
          <w:szCs w:val="20"/>
          <w:color w:val="auto"/>
        </w:rPr>
      </w:pPr>
      <w:r>
        <w:rPr>
          <w:rFonts w:ascii="Arial" w:cs="Arial" w:eastAsia="Arial" w:hAnsi="Arial"/>
          <w:sz w:val="16"/>
          <w:szCs w:val="16"/>
          <w:color w:val="auto"/>
        </w:rPr>
        <w:t>If by December 28, 2020, we do not regain compliance with the minimum bid requirement of the Nasdaq Stock Market (“Nasdaq”), we may be eligible for additional time to regain compliance. To qualify, we would need to submit a transfer application and a $5,000 application fee. In addition, we would be required to meet the continued listing requirement for the minimum market value of our publicly held shares (“MVPHS”) and all other initial listing standards for the Nasdaq Capital Market, with the exception of the minimum bid price requirement and provide written notice to Nasdaq of our intention to cure the minimum bid price deficiency during the second compliance period by effecting a reverse stock split, if necessary. As part of its review process, the Nasdaq staff will make a determination of whether it believes we will be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7" w:name="page28"/>
    <w:bookmarkEnd w:id="2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40" w:right="59"/>
        <w:spacing w:after="0" w:line="263" w:lineRule="auto"/>
        <w:rPr>
          <w:sz w:val="20"/>
          <w:szCs w:val="20"/>
          <w:color w:val="auto"/>
        </w:rPr>
      </w:pPr>
      <w:r>
        <w:rPr>
          <w:rFonts w:ascii="Arial" w:cs="Arial" w:eastAsia="Arial" w:hAnsi="Arial"/>
          <w:sz w:val="18"/>
          <w:szCs w:val="18"/>
          <w:color w:val="auto"/>
        </w:rPr>
        <w:t>able to cure this deficiency. Should the Nasdaq staff conclude that we will not be able to cure the deficiency, or should we determine not to submit a transfer application or make the required representation, Nasdaq will provide notice that our shares of common stock will be subject to delisting.</w:t>
      </w:r>
    </w:p>
    <w:p>
      <w:pPr>
        <w:spacing w:after="0" w:line="184" w:lineRule="exact"/>
        <w:rPr>
          <w:sz w:val="20"/>
          <w:szCs w:val="20"/>
          <w:color w:val="auto"/>
        </w:rPr>
      </w:pPr>
    </w:p>
    <w:p>
      <w:pPr>
        <w:jc w:val="both"/>
        <w:ind w:left="40" w:right="59"/>
        <w:spacing w:after="0" w:line="254" w:lineRule="auto"/>
        <w:rPr>
          <w:sz w:val="20"/>
          <w:szCs w:val="20"/>
          <w:color w:val="auto"/>
        </w:rPr>
      </w:pPr>
      <w:r>
        <w:rPr>
          <w:rFonts w:ascii="Arial" w:cs="Arial" w:eastAsia="Arial" w:hAnsi="Arial"/>
          <w:sz w:val="18"/>
          <w:szCs w:val="18"/>
          <w:color w:val="auto"/>
        </w:rPr>
        <w:t>With respect to the minimum MVPHS requirement, we can regain compliance if, at any time during the extended compliance period, the minimum MVPHS of our common stock is at least $5,000,000 for a minimum period of 10 consecutive business days. In the event we do not regain compliance prior to the expiration of the extended compliance period, we will receive written notification that our shares of common stock are subject to delisting. Alternatively, the Company may consider applying to transfer the Company’s shares of common stock to the Nasdaq Capital Market. In order to transfer, we must submit a transfer application, pay the $5,000 application fee, and meet the Nasdaq Capital Market’s continued listing requirements.</w:t>
      </w:r>
    </w:p>
    <w:p>
      <w:pPr>
        <w:spacing w:after="0" w:line="195" w:lineRule="exact"/>
        <w:rPr>
          <w:sz w:val="20"/>
          <w:szCs w:val="20"/>
          <w:color w:val="auto"/>
        </w:rPr>
      </w:pPr>
    </w:p>
    <w:p>
      <w:pPr>
        <w:jc w:val="both"/>
        <w:ind w:left="40" w:right="59"/>
        <w:spacing w:after="0" w:line="311" w:lineRule="auto"/>
        <w:rPr>
          <w:sz w:val="20"/>
          <w:szCs w:val="20"/>
          <w:color w:val="auto"/>
        </w:rPr>
      </w:pPr>
      <w:r>
        <w:rPr>
          <w:rFonts w:ascii="Arial" w:cs="Arial" w:eastAsia="Arial" w:hAnsi="Arial"/>
          <w:sz w:val="16"/>
          <w:szCs w:val="16"/>
          <w:color w:val="auto"/>
        </w:rPr>
        <w:t>If we do not regain compliance within the allotted compliance period(s), including any extensions that may be granted by Nasdaq, Nasdaq will provide notice that our shares of common stock will be subject to delisting from the Nasdaq Global Select Market and our shares will be delisted. At such time, we may appeal the delisting determination to a hearings panel.</w:t>
      </w:r>
    </w:p>
    <w:p>
      <w:pPr>
        <w:spacing w:after="0" w:line="149" w:lineRule="exact"/>
        <w:rPr>
          <w:sz w:val="20"/>
          <w:szCs w:val="20"/>
          <w:color w:val="auto"/>
        </w:rPr>
      </w:pPr>
    </w:p>
    <w:p>
      <w:pPr>
        <w:jc w:val="both"/>
        <w:ind w:left="40" w:right="59"/>
        <w:spacing w:after="0" w:line="259" w:lineRule="auto"/>
        <w:rPr>
          <w:sz w:val="20"/>
          <w:szCs w:val="20"/>
          <w:color w:val="auto"/>
        </w:rPr>
      </w:pPr>
      <w:r>
        <w:rPr>
          <w:rFonts w:ascii="Arial" w:cs="Arial" w:eastAsia="Arial" w:hAnsi="Arial"/>
          <w:sz w:val="18"/>
          <w:szCs w:val="18"/>
          <w:color w:val="auto"/>
        </w:rPr>
        <w:t>We intend to monitor the closing bid price and the market value of our publicly held common stock between now and December 28, 2020, and will consider available options to resolve noncompliance with the applicable listing requirements, as may be necessary. There can be no assurance that we will be able to regain compliance with the applicable listing requirements or will otherwise be in compliance with other Nasdaq listing criteria.</w:t>
      </w:r>
    </w:p>
    <w:p>
      <w:pPr>
        <w:spacing w:after="0" w:line="399" w:lineRule="exact"/>
        <w:rPr>
          <w:sz w:val="20"/>
          <w:szCs w:val="20"/>
          <w:color w:val="auto"/>
        </w:rPr>
      </w:pPr>
    </w:p>
    <w:p>
      <w:pPr>
        <w:ind w:left="40"/>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There were no sales of unregistered or registered securities during the three months ended March 31, 2020.</w:t>
      </w:r>
    </w:p>
    <w:p>
      <w:pPr>
        <w:spacing w:after="0" w:line="221" w:lineRule="exact"/>
        <w:rPr>
          <w:sz w:val="20"/>
          <w:szCs w:val="20"/>
          <w:color w:val="auto"/>
        </w:rPr>
      </w:pPr>
    </w:p>
    <w:p>
      <w:pPr>
        <w:ind w:left="40"/>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0"/>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0"/>
        <w:spacing w:after="0"/>
        <w:tabs>
          <w:tab w:leader="none" w:pos="860" w:val="left"/>
        </w:tabs>
        <w:rPr>
          <w:sz w:val="20"/>
          <w:szCs w:val="20"/>
          <w:color w:val="auto"/>
        </w:rPr>
      </w:pPr>
      <w:r>
        <w:rPr>
          <w:rFonts w:ascii="Arial" w:cs="Arial" w:eastAsia="Arial" w:hAnsi="Arial"/>
          <w:sz w:val="18"/>
          <w:szCs w:val="18"/>
          <w:b w:val="1"/>
          <w:bCs w:val="1"/>
          <w:color w:val="auto"/>
        </w:rPr>
        <w:t>ITEM 5.</w:t>
        <w:tab/>
        <w:t>OTHER INFORMATION</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8" w:name="page29"/>
    <w:bookmarkEnd w:id="2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
        <w:spacing w:after="0"/>
        <w:tabs>
          <w:tab w:leader="none" w:pos="860" w:val="left"/>
        </w:tabs>
        <w:rPr>
          <w:sz w:val="20"/>
          <w:szCs w:val="20"/>
          <w:color w:val="auto"/>
        </w:rPr>
      </w:pPr>
      <w:r>
        <w:rPr>
          <w:rFonts w:ascii="Arial" w:cs="Arial" w:eastAsia="Arial" w:hAnsi="Arial"/>
          <w:sz w:val="18"/>
          <w:szCs w:val="18"/>
          <w:b w:val="1"/>
          <w:bCs w:val="1"/>
          <w:color w:val="auto"/>
        </w:rPr>
        <w:t>ITEM 6.</w:t>
        <w:tab/>
        <w:t>EXHIBITS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exhibits are filed herewith:</w:t>
      </w:r>
    </w:p>
    <w:p>
      <w:pPr>
        <w:spacing w:after="0" w:line="218" w:lineRule="exact"/>
        <w:rPr>
          <w:sz w:val="20"/>
          <w:szCs w:val="20"/>
          <w:color w:val="auto"/>
        </w:rPr>
      </w:pPr>
    </w:p>
    <w:p>
      <w:pPr>
        <w:ind w:left="60"/>
        <w:spacing w:after="0" w:line="253" w:lineRule="exact"/>
        <w:rPr>
          <w:rFonts w:ascii="Arial" w:cs="Arial" w:eastAsia="Arial" w:hAnsi="Arial"/>
          <w:sz w:val="22"/>
          <w:szCs w:val="22"/>
          <w:u w:val="single" w:color="auto"/>
          <w:color w:val="0000EE"/>
        </w:rPr>
      </w:pPr>
      <w:hyperlink w:anchor="page31">
        <w:r>
          <w:rPr>
            <w:rFonts w:ascii="Arial" w:cs="Arial" w:eastAsia="Arial" w:hAnsi="Arial"/>
            <w:sz w:val="22"/>
            <w:szCs w:val="22"/>
            <w:u w:val="single" w:color="auto"/>
            <w:color w:val="0000EE"/>
          </w:rPr>
          <w:t>31.1 Rule 13a</w:t>
        </w:r>
        <w:r>
          <w:rPr>
            <w:rFonts w:ascii="MS PGothic" w:cs="MS PGothic" w:eastAsia="MS PGothic" w:hAnsi="MS PGothic"/>
            <w:sz w:val="22"/>
            <w:szCs w:val="22"/>
            <w:u w:val="single" w:color="auto"/>
            <w:color w:val="0000EE"/>
          </w:rPr>
          <w:t>‑</w:t>
        </w:r>
        <w:r>
          <w:rPr>
            <w:rFonts w:ascii="Arial" w:cs="Arial" w:eastAsia="Arial" w:hAnsi="Arial"/>
            <w:sz w:val="22"/>
            <w:szCs w:val="22"/>
            <w:u w:val="single" w:color="auto"/>
            <w:color w:val="0000EE"/>
          </w:rPr>
          <w:t>14(a)/15d</w:t>
        </w:r>
        <w:r>
          <w:rPr>
            <w:rFonts w:ascii="MS PGothic" w:cs="MS PGothic" w:eastAsia="MS PGothic" w:hAnsi="MS PGothic"/>
            <w:sz w:val="22"/>
            <w:szCs w:val="22"/>
            <w:u w:val="single" w:color="auto"/>
            <w:color w:val="0000EE"/>
          </w:rPr>
          <w:t>‑</w:t>
        </w:r>
        <w:r>
          <w:rPr>
            <w:rFonts w:ascii="Arial" w:cs="Arial" w:eastAsia="Arial" w:hAnsi="Arial"/>
            <w:sz w:val="22"/>
            <w:szCs w:val="22"/>
            <w:u w:val="single" w:color="auto"/>
            <w:color w:val="0000EE"/>
          </w:rPr>
          <w:t>14(a) Certification (CEO)</w:t>
        </w:r>
      </w:hyperlink>
    </w:p>
    <w:p>
      <w:pPr>
        <w:spacing w:after="0" w:line="21" w:lineRule="exact"/>
        <w:rPr>
          <w:sz w:val="20"/>
          <w:szCs w:val="20"/>
          <w:color w:val="auto"/>
        </w:rPr>
      </w:pPr>
    </w:p>
    <w:p>
      <w:pPr>
        <w:ind w:left="60"/>
        <w:spacing w:after="0" w:line="253" w:lineRule="exact"/>
        <w:rPr>
          <w:rFonts w:ascii="Arial" w:cs="Arial" w:eastAsia="Arial" w:hAnsi="Arial"/>
          <w:sz w:val="22"/>
          <w:szCs w:val="22"/>
          <w:u w:val="single" w:color="auto"/>
          <w:color w:val="0000EE"/>
        </w:rPr>
      </w:pPr>
      <w:hyperlink w:anchor="page32">
        <w:r>
          <w:rPr>
            <w:rFonts w:ascii="Arial" w:cs="Arial" w:eastAsia="Arial" w:hAnsi="Arial"/>
            <w:sz w:val="22"/>
            <w:szCs w:val="22"/>
            <w:u w:val="single" w:color="auto"/>
            <w:color w:val="0000EE"/>
          </w:rPr>
          <w:t>31.2 Rule 13a</w:t>
        </w:r>
        <w:r>
          <w:rPr>
            <w:rFonts w:ascii="MS PGothic" w:cs="MS PGothic" w:eastAsia="MS PGothic" w:hAnsi="MS PGothic"/>
            <w:sz w:val="22"/>
            <w:szCs w:val="22"/>
            <w:u w:val="single" w:color="auto"/>
            <w:color w:val="0000EE"/>
          </w:rPr>
          <w:t>‑</w:t>
        </w:r>
        <w:r>
          <w:rPr>
            <w:rFonts w:ascii="Arial" w:cs="Arial" w:eastAsia="Arial" w:hAnsi="Arial"/>
            <w:sz w:val="22"/>
            <w:szCs w:val="22"/>
            <w:u w:val="single" w:color="auto"/>
            <w:color w:val="0000EE"/>
          </w:rPr>
          <w:t>14(a)/15d</w:t>
        </w:r>
        <w:r>
          <w:rPr>
            <w:rFonts w:ascii="MS PGothic" w:cs="MS PGothic" w:eastAsia="MS PGothic" w:hAnsi="MS PGothic"/>
            <w:sz w:val="22"/>
            <w:szCs w:val="22"/>
            <w:u w:val="single" w:color="auto"/>
            <w:color w:val="0000EE"/>
          </w:rPr>
          <w:t>‑</w:t>
        </w:r>
        <w:r>
          <w:rPr>
            <w:rFonts w:ascii="Arial" w:cs="Arial" w:eastAsia="Arial" w:hAnsi="Arial"/>
            <w:sz w:val="22"/>
            <w:szCs w:val="22"/>
            <w:u w:val="single" w:color="auto"/>
            <w:color w:val="0000EE"/>
          </w:rPr>
          <w:t>14(a) Certification (CFO)</w:t>
        </w:r>
      </w:hyperlink>
    </w:p>
    <w:p>
      <w:pPr>
        <w:spacing w:after="0" w:line="4" w:lineRule="exact"/>
        <w:rPr>
          <w:sz w:val="20"/>
          <w:szCs w:val="20"/>
          <w:color w:val="auto"/>
        </w:rPr>
      </w:pPr>
    </w:p>
    <w:p>
      <w:pPr>
        <w:ind w:left="60"/>
        <w:spacing w:after="0"/>
        <w:rPr>
          <w:rFonts w:ascii="Arial" w:cs="Arial" w:eastAsia="Arial" w:hAnsi="Arial"/>
          <w:sz w:val="22"/>
          <w:szCs w:val="22"/>
          <w:u w:val="single" w:color="auto"/>
          <w:color w:val="0000EE"/>
        </w:rPr>
      </w:pPr>
      <w:hyperlink w:anchor="page33">
        <w:r>
          <w:rPr>
            <w:rFonts w:ascii="Arial" w:cs="Arial" w:eastAsia="Arial" w:hAnsi="Arial"/>
            <w:sz w:val="22"/>
            <w:szCs w:val="22"/>
            <w:u w:val="single" w:color="auto"/>
            <w:color w:val="0000EE"/>
          </w:rPr>
          <w:t>32.1 Section 1350 Certification (CEO)</w:t>
        </w:r>
      </w:hyperlink>
    </w:p>
    <w:p>
      <w:pPr>
        <w:spacing w:after="0" w:line="4" w:lineRule="exact"/>
        <w:rPr>
          <w:sz w:val="20"/>
          <w:szCs w:val="20"/>
          <w:color w:val="auto"/>
        </w:rPr>
      </w:pPr>
    </w:p>
    <w:p>
      <w:pPr>
        <w:ind w:left="60"/>
        <w:spacing w:after="0"/>
        <w:rPr>
          <w:rFonts w:ascii="Arial" w:cs="Arial" w:eastAsia="Arial" w:hAnsi="Arial"/>
          <w:sz w:val="22"/>
          <w:szCs w:val="22"/>
          <w:u w:val="single" w:color="auto"/>
          <w:color w:val="0000EE"/>
        </w:rPr>
      </w:pPr>
      <w:hyperlink w:anchor="page34">
        <w:r>
          <w:rPr>
            <w:rFonts w:ascii="Arial" w:cs="Arial" w:eastAsia="Arial" w:hAnsi="Arial"/>
            <w:sz w:val="22"/>
            <w:szCs w:val="22"/>
            <w:u w:val="single" w:color="auto"/>
            <w:color w:val="0000EE"/>
          </w:rPr>
          <w:t>32.2 Section 1350 Certification (CFO)</w:t>
        </w:r>
      </w:hyperlink>
    </w:p>
    <w:p>
      <w:pPr>
        <w:spacing w:after="0" w:line="20"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101.INS XBRL Instance Document</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101.SCH XBRL Taxonomy Extension Schema Document</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101.CAL XBRL Taxonomy Extension Calculation Linkbase Document</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101.DEF XBRL Taxonomy Extension Definitions Linkbase Document</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101.LAB XBRL Taxonomy Extension Label Linkbase Document</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101.PRE XBRL Taxonomy Extension Presentation Linkbase Document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9" w:name="page30"/>
    <w:bookmarkEnd w:id="2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0" w:right="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thereunto duly authorized.</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940" w:type="dxa"/>
            <w:vAlign w:val="bottom"/>
          </w:tcPr>
          <w:p>
            <w:pPr>
              <w:ind w:left="40"/>
              <w:spacing w:after="0"/>
              <w:rPr>
                <w:sz w:val="20"/>
                <w:szCs w:val="20"/>
                <w:color w:val="auto"/>
              </w:rPr>
            </w:pPr>
            <w:r>
              <w:rPr>
                <w:rFonts w:ascii="Arial" w:cs="Arial" w:eastAsia="Arial" w:hAnsi="Arial"/>
                <w:sz w:val="18"/>
                <w:szCs w:val="18"/>
                <w:color w:val="auto"/>
              </w:rPr>
              <w:t>Date: May 19, 2020</w:t>
            </w:r>
          </w:p>
        </w:tc>
        <w:tc>
          <w:tcPr>
            <w:tcW w:w="2140" w:type="dxa"/>
            <w:vAlign w:val="bottom"/>
          </w:tcPr>
          <w:p>
            <w:pPr>
              <w:ind w:left="1720"/>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W. D’Loren</w:t>
            </w:r>
          </w:p>
        </w:tc>
      </w:tr>
      <w:tr>
        <w:trPr>
          <w:trHeight w:val="195"/>
        </w:trPr>
        <w:tc>
          <w:tcPr>
            <w:tcW w:w="29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840" w:type="dxa"/>
            <w:vAlign w:val="bottom"/>
          </w:tcPr>
          <w:p>
            <w:pPr>
              <w:ind w:left="20"/>
              <w:spacing w:after="0" w:line="195" w:lineRule="exact"/>
              <w:rPr>
                <w:sz w:val="20"/>
                <w:szCs w:val="20"/>
                <w:color w:val="auto"/>
              </w:rPr>
            </w:pPr>
            <w:r>
              <w:rPr>
                <w:rFonts w:ascii="Arial" w:cs="Arial" w:eastAsia="Arial" w:hAnsi="Arial"/>
                <w:sz w:val="18"/>
                <w:szCs w:val="18"/>
                <w:color w:val="auto"/>
              </w:rPr>
              <w:t>Name: Robert W. D’Loren</w:t>
            </w:r>
          </w:p>
        </w:tc>
      </w:tr>
      <w:tr>
        <w:trPr>
          <w:trHeight w:val="230"/>
        </w:trPr>
        <w:tc>
          <w:tcPr>
            <w:tcW w:w="29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Title: Chairman and Chief Executive Officer</w:t>
            </w:r>
          </w:p>
        </w:tc>
      </w:tr>
      <w:tr>
        <w:trPr>
          <w:trHeight w:val="432"/>
        </w:trPr>
        <w:tc>
          <w:tcPr>
            <w:tcW w:w="2940" w:type="dxa"/>
            <w:vAlign w:val="bottom"/>
          </w:tcPr>
          <w:p>
            <w:pPr>
              <w:spacing w:after="0"/>
              <w:rPr>
                <w:sz w:val="24"/>
                <w:szCs w:val="24"/>
                <w:color w:val="auto"/>
              </w:rPr>
            </w:pPr>
          </w:p>
        </w:tc>
        <w:tc>
          <w:tcPr>
            <w:tcW w:w="2140" w:type="dxa"/>
            <w:vAlign w:val="bottom"/>
          </w:tcPr>
          <w:p>
            <w:pPr>
              <w:ind w:left="1720"/>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Haran</w:t>
            </w:r>
          </w:p>
        </w:tc>
      </w:tr>
      <w:tr>
        <w:trPr>
          <w:trHeight w:val="195"/>
        </w:trPr>
        <w:tc>
          <w:tcPr>
            <w:tcW w:w="29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840" w:type="dxa"/>
            <w:vAlign w:val="bottom"/>
          </w:tcPr>
          <w:p>
            <w:pPr>
              <w:ind w:left="20"/>
              <w:spacing w:after="0" w:line="195" w:lineRule="exact"/>
              <w:rPr>
                <w:sz w:val="20"/>
                <w:szCs w:val="20"/>
                <w:color w:val="auto"/>
              </w:rPr>
            </w:pPr>
            <w:r>
              <w:rPr>
                <w:rFonts w:ascii="Arial" w:cs="Arial" w:eastAsia="Arial" w:hAnsi="Arial"/>
                <w:sz w:val="18"/>
                <w:szCs w:val="18"/>
                <w:color w:val="auto"/>
              </w:rPr>
              <w:t>Name: James Haran</w:t>
            </w:r>
          </w:p>
        </w:tc>
      </w:tr>
      <w:tr>
        <w:trPr>
          <w:trHeight w:val="230"/>
        </w:trPr>
        <w:tc>
          <w:tcPr>
            <w:tcW w:w="29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Title: Chief Financial Officer and Vice President</w:t>
            </w:r>
          </w:p>
        </w:tc>
      </w:tr>
      <w:tr>
        <w:trPr>
          <w:trHeight w:val="864"/>
        </w:trPr>
        <w:tc>
          <w:tcPr>
            <w:tcW w:w="2940" w:type="dxa"/>
            <w:vAlign w:val="bottom"/>
          </w:tcPr>
          <w:p>
            <w:pPr>
              <w:spacing w:after="0"/>
              <w:rPr>
                <w:sz w:val="24"/>
                <w:szCs w:val="24"/>
                <w:color w:val="auto"/>
              </w:rPr>
            </w:pPr>
          </w:p>
        </w:tc>
        <w:tc>
          <w:tcPr>
            <w:tcW w:w="2140" w:type="dxa"/>
            <w:vAlign w:val="bottom"/>
          </w:tcPr>
          <w:p>
            <w:pPr>
              <w:jc w:val="right"/>
              <w:ind w:right="430"/>
              <w:spacing w:after="0"/>
              <w:rPr>
                <w:sz w:val="20"/>
                <w:szCs w:val="20"/>
                <w:color w:val="auto"/>
              </w:rPr>
            </w:pPr>
            <w:r>
              <w:rPr>
                <w:rFonts w:ascii="Arial" w:cs="Arial" w:eastAsia="Arial" w:hAnsi="Arial"/>
                <w:sz w:val="18"/>
                <w:szCs w:val="18"/>
                <w:color w:val="auto"/>
              </w:rPr>
              <w:t>30</w:t>
            </w:r>
          </w:p>
        </w:tc>
        <w:tc>
          <w:tcPr>
            <w:tcW w:w="3840" w:type="dxa"/>
            <w:vAlign w:val="bottom"/>
          </w:tcPr>
          <w:p>
            <w:pPr>
              <w:spacing w:after="0"/>
              <w:rPr>
                <w:sz w:val="24"/>
                <w:szCs w:val="24"/>
                <w:color w:val="auto"/>
              </w:rPr>
            </w:pPr>
          </w:p>
        </w:tc>
      </w:tr>
      <w:tr>
        <w:trPr>
          <w:trHeight w:val="560"/>
        </w:trPr>
        <w:tc>
          <w:tcPr>
            <w:tcW w:w="29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Robert W. D’Loren, certify that:</w:t>
      </w:r>
    </w:p>
    <w:p>
      <w:pPr>
        <w:spacing w:after="0" w:line="158" w:lineRule="exact"/>
        <w:rPr>
          <w:sz w:val="20"/>
          <w:szCs w:val="20"/>
          <w:color w:val="auto"/>
        </w:rPr>
      </w:pPr>
    </w:p>
    <w:p>
      <w:pPr>
        <w:ind w:left="180" w:hanging="171"/>
        <w:spacing w:after="0"/>
        <w:tabs>
          <w:tab w:leader="none" w:pos="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ended March 31, 2020 of Xcel Brands, Inc. (the “Company”).</w:t>
      </w:r>
    </w:p>
    <w:p>
      <w:pPr>
        <w:spacing w:after="0" w:line="196" w:lineRule="exact"/>
        <w:rPr>
          <w:rFonts w:ascii="Arial" w:cs="Arial" w:eastAsia="Arial" w:hAnsi="Arial"/>
          <w:sz w:val="17"/>
          <w:szCs w:val="17"/>
          <w:color w:val="auto"/>
        </w:rPr>
      </w:pPr>
    </w:p>
    <w:p>
      <w:pPr>
        <w:ind w:right="200" w:firstLine="9"/>
        <w:spacing w:after="0" w:line="263"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56" w:lineRule="exact"/>
        <w:rPr>
          <w:rFonts w:ascii="Arial" w:cs="Arial" w:eastAsia="Arial" w:hAnsi="Arial"/>
          <w:sz w:val="18"/>
          <w:szCs w:val="18"/>
          <w:color w:val="auto"/>
        </w:rPr>
      </w:pPr>
    </w:p>
    <w:p>
      <w:pPr>
        <w:jc w:val="both"/>
        <w:ind w:right="60" w:firstLine="9"/>
        <w:spacing w:after="0" w:line="263"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3" w:lineRule="exact"/>
        <w:rPr>
          <w:rFonts w:ascii="Arial" w:cs="Arial" w:eastAsia="Arial" w:hAnsi="Arial"/>
          <w:sz w:val="18"/>
          <w:szCs w:val="18"/>
          <w:color w:val="auto"/>
        </w:rPr>
      </w:pPr>
    </w:p>
    <w:p>
      <w:pPr>
        <w:ind w:right="80" w:firstLine="9"/>
        <w:spacing w:after="0" w:line="291" w:lineRule="auto"/>
        <w:tabs>
          <w:tab w:leader="none" w:pos="177"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70" w:lineRule="exact"/>
        <w:rPr>
          <w:sz w:val="20"/>
          <w:szCs w:val="20"/>
          <w:color w:val="auto"/>
        </w:rPr>
      </w:pPr>
    </w:p>
    <w:p>
      <w:pPr>
        <w:ind w:right="100" w:firstLine="9"/>
        <w:spacing w:after="0" w:line="263" w:lineRule="auto"/>
        <w:tabs>
          <w:tab w:leader="none" w:pos="18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ind w:right="180" w:firstLine="9"/>
        <w:spacing w:after="0" w:line="263" w:lineRule="auto"/>
        <w:tabs>
          <w:tab w:leader="none" w:pos="1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right="20" w:firstLine="9"/>
        <w:spacing w:after="0" w:line="342" w:lineRule="auto"/>
        <w:tabs>
          <w:tab w:leader="none" w:pos="185" w:val="left"/>
        </w:tabs>
        <w:numPr>
          <w:ilvl w:val="0"/>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right="340" w:firstLine="9"/>
        <w:spacing w:after="0" w:line="263" w:lineRule="auto"/>
        <w:tabs>
          <w:tab w:leader="none" w:pos="1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7" w:lineRule="exact"/>
        <w:rPr>
          <w:sz w:val="20"/>
          <w:szCs w:val="20"/>
          <w:color w:val="auto"/>
        </w:rPr>
      </w:pPr>
    </w:p>
    <w:p>
      <w:pPr>
        <w:ind w:right="120" w:firstLine="9"/>
        <w:spacing w:after="0" w:line="263" w:lineRule="auto"/>
        <w:tabs>
          <w:tab w:leader="none" w:pos="17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sz w:val="20"/>
          <w:szCs w:val="20"/>
          <w:color w:val="auto"/>
        </w:rPr>
      </w:pPr>
    </w:p>
    <w:p>
      <w:pPr>
        <w:ind w:right="180" w:firstLine="9"/>
        <w:spacing w:after="0" w:line="308" w:lineRule="auto"/>
        <w:tabs>
          <w:tab w:leader="none" w:pos="175" w:val="left"/>
        </w:tabs>
        <w:numPr>
          <w:ilvl w:val="0"/>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right="520" w:firstLine="9"/>
        <w:spacing w:after="0" w:line="277" w:lineRule="auto"/>
        <w:tabs>
          <w:tab w:leader="none" w:pos="18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8"/>
          <w:szCs w:val="18"/>
          <w:color w:val="auto"/>
        </w:rPr>
        <w:t>May 19, 2020</w:t>
      </w:r>
      <w:r>
        <w:rPr>
          <w:sz w:val="20"/>
          <w:szCs w:val="20"/>
          <w:color w:val="auto"/>
        </w:rPr>
        <w:tab/>
      </w:r>
      <w:r>
        <w:rPr>
          <w:rFonts w:ascii="Arial" w:cs="Arial" w:eastAsia="Arial" w:hAnsi="Arial"/>
          <w:sz w:val="16"/>
          <w:szCs w:val="16"/>
          <w:color w:val="auto"/>
        </w:rPr>
        <w:t>By: /s/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3735070</wp:posOffset>
            </wp:positionH>
            <wp:positionV relativeFrom="paragraph">
              <wp:posOffset>23495</wp:posOffset>
            </wp:positionV>
            <wp:extent cx="25628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Name: Robert W. D’Loren</w:t>
      </w:r>
    </w:p>
    <w:p>
      <w:pPr>
        <w:spacing w:after="0" w:line="5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Title: 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503555</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James Haran, certify that:</w:t>
      </w:r>
    </w:p>
    <w:p>
      <w:pPr>
        <w:spacing w:after="0" w:line="158" w:lineRule="exact"/>
        <w:rPr>
          <w:sz w:val="20"/>
          <w:szCs w:val="20"/>
          <w:color w:val="auto"/>
        </w:rPr>
      </w:pPr>
    </w:p>
    <w:p>
      <w:pPr>
        <w:ind w:left="180" w:hanging="171"/>
        <w:spacing w:after="0"/>
        <w:tabs>
          <w:tab w:leader="none" w:pos="1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ended March 31, 2020 of Xcel Brands, Inc. (the “Company”).</w:t>
      </w:r>
    </w:p>
    <w:p>
      <w:pPr>
        <w:spacing w:after="0" w:line="196" w:lineRule="exact"/>
        <w:rPr>
          <w:rFonts w:ascii="Arial" w:cs="Arial" w:eastAsia="Arial" w:hAnsi="Arial"/>
          <w:sz w:val="17"/>
          <w:szCs w:val="17"/>
          <w:color w:val="auto"/>
        </w:rPr>
      </w:pPr>
    </w:p>
    <w:p>
      <w:pPr>
        <w:ind w:right="200" w:firstLine="9"/>
        <w:spacing w:after="0" w:line="263" w:lineRule="auto"/>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56" w:lineRule="exact"/>
        <w:rPr>
          <w:rFonts w:ascii="Arial" w:cs="Arial" w:eastAsia="Arial" w:hAnsi="Arial"/>
          <w:sz w:val="18"/>
          <w:szCs w:val="18"/>
          <w:color w:val="auto"/>
        </w:rPr>
      </w:pPr>
    </w:p>
    <w:p>
      <w:pPr>
        <w:jc w:val="both"/>
        <w:ind w:right="60" w:firstLine="9"/>
        <w:spacing w:after="0" w:line="263" w:lineRule="auto"/>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3" w:lineRule="exact"/>
        <w:rPr>
          <w:rFonts w:ascii="Arial" w:cs="Arial" w:eastAsia="Arial" w:hAnsi="Arial"/>
          <w:sz w:val="18"/>
          <w:szCs w:val="18"/>
          <w:color w:val="auto"/>
        </w:rPr>
      </w:pPr>
    </w:p>
    <w:p>
      <w:pPr>
        <w:ind w:right="80" w:firstLine="9"/>
        <w:spacing w:after="0" w:line="291" w:lineRule="auto"/>
        <w:tabs>
          <w:tab w:leader="none" w:pos="177"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70" w:lineRule="exact"/>
        <w:rPr>
          <w:sz w:val="20"/>
          <w:szCs w:val="20"/>
          <w:color w:val="auto"/>
        </w:rPr>
      </w:pPr>
    </w:p>
    <w:p>
      <w:pPr>
        <w:ind w:right="100" w:firstLine="9"/>
        <w:spacing w:after="0" w:line="263" w:lineRule="auto"/>
        <w:tabs>
          <w:tab w:leader="none" w:pos="18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ind w:right="180" w:firstLine="9"/>
        <w:spacing w:after="0" w:line="263" w:lineRule="auto"/>
        <w:tabs>
          <w:tab w:leader="none" w:pos="1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right="20" w:firstLine="9"/>
        <w:spacing w:after="0" w:line="342" w:lineRule="auto"/>
        <w:tabs>
          <w:tab w:leader="none" w:pos="185" w:val="left"/>
        </w:tabs>
        <w:numPr>
          <w:ilvl w:val="0"/>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right="340" w:firstLine="9"/>
        <w:spacing w:after="0" w:line="263" w:lineRule="auto"/>
        <w:tabs>
          <w:tab w:leader="none" w:pos="1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7" w:lineRule="exact"/>
        <w:rPr>
          <w:sz w:val="20"/>
          <w:szCs w:val="20"/>
          <w:color w:val="auto"/>
        </w:rPr>
      </w:pPr>
    </w:p>
    <w:p>
      <w:pPr>
        <w:ind w:right="100" w:firstLine="9"/>
        <w:spacing w:after="0" w:line="263" w:lineRule="auto"/>
        <w:tabs>
          <w:tab w:leader="none" w:pos="177"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Company’s board of directors (or persons performing the equivalent functions):</w:t>
      </w:r>
    </w:p>
    <w:p>
      <w:pPr>
        <w:spacing w:after="0" w:line="143" w:lineRule="exact"/>
        <w:rPr>
          <w:sz w:val="20"/>
          <w:szCs w:val="20"/>
          <w:color w:val="auto"/>
        </w:rPr>
      </w:pPr>
    </w:p>
    <w:p>
      <w:pPr>
        <w:ind w:right="180" w:firstLine="9"/>
        <w:spacing w:after="0" w:line="308" w:lineRule="auto"/>
        <w:tabs>
          <w:tab w:leader="none" w:pos="175" w:val="left"/>
        </w:tabs>
        <w:numPr>
          <w:ilvl w:val="0"/>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right="520" w:firstLine="9"/>
        <w:spacing w:after="0" w:line="277" w:lineRule="auto"/>
        <w:tabs>
          <w:tab w:leader="none" w:pos="18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4" w:lineRule="exact"/>
        <w:rPr>
          <w:sz w:val="20"/>
          <w:szCs w:val="20"/>
          <w:color w:val="auto"/>
        </w:rPr>
      </w:pPr>
    </w:p>
    <w:p>
      <w:pPr>
        <w:ind w:left="20"/>
        <w:spacing w:after="0"/>
        <w:tabs>
          <w:tab w:leader="none" w:pos="5560" w:val="left"/>
        </w:tabs>
        <w:rPr>
          <w:sz w:val="20"/>
          <w:szCs w:val="20"/>
          <w:color w:val="auto"/>
        </w:rPr>
      </w:pPr>
      <w:r>
        <w:rPr>
          <w:rFonts w:ascii="Arial" w:cs="Arial" w:eastAsia="Arial" w:hAnsi="Arial"/>
          <w:sz w:val="20"/>
          <w:szCs w:val="20"/>
          <w:color w:val="auto"/>
        </w:rPr>
        <w:t>May 19, 2020</w:t>
      </w:r>
      <w:r>
        <w:rPr>
          <w:sz w:val="20"/>
          <w:szCs w:val="20"/>
          <w:color w:val="auto"/>
        </w:rPr>
        <w:tab/>
      </w:r>
      <w:r>
        <w:rPr>
          <w:rFonts w:ascii="Arial" w:cs="Arial" w:eastAsia="Arial" w:hAnsi="Arial"/>
          <w:sz w:val="16"/>
          <w:szCs w:val="16"/>
          <w:color w:val="auto"/>
        </w:rPr>
        <w:t>By: /s/ James Haran</w:t>
      </w:r>
    </w:p>
    <w:p>
      <w:pPr>
        <w:spacing w:after="0" w:line="27" w:lineRule="exact"/>
        <w:rPr>
          <w:sz w:val="20"/>
          <w:szCs w:val="20"/>
          <w:color w:val="auto"/>
        </w:rPr>
      </w:pPr>
    </w:p>
    <w:p>
      <w:pPr>
        <w:ind w:left="5960"/>
        <w:spacing w:after="0"/>
        <w:rPr>
          <w:sz w:val="20"/>
          <w:szCs w:val="20"/>
          <w:color w:val="auto"/>
        </w:rPr>
      </w:pPr>
      <w:r>
        <w:rPr>
          <w:rFonts w:ascii="Arial" w:cs="Arial" w:eastAsia="Arial" w:hAnsi="Arial"/>
          <w:sz w:val="20"/>
          <w:szCs w:val="20"/>
          <w:color w:val="auto"/>
        </w:rPr>
        <w:t>Name: James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3769360</wp:posOffset>
            </wp:positionH>
            <wp:positionV relativeFrom="paragraph">
              <wp:posOffset>-143510</wp:posOffset>
            </wp:positionV>
            <wp:extent cx="25285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2857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Arial" w:cs="Arial" w:eastAsia="Arial" w:hAnsi="Arial"/>
          <w:sz w:val="20"/>
          <w:szCs w:val="20"/>
          <w:color w:val="auto"/>
        </w:rPr>
        <w:t>Title: Chief Financial Officer and Vice</w:t>
      </w:r>
    </w:p>
    <w:p>
      <w:pPr>
        <w:spacing w:after="0" w:line="20" w:lineRule="exact"/>
        <w:rPr>
          <w:sz w:val="20"/>
          <w:szCs w:val="20"/>
          <w:color w:val="auto"/>
        </w:rPr>
      </w:pPr>
    </w:p>
    <w:p>
      <w:pPr>
        <w:ind w:left="5960"/>
        <w:spacing w:after="0"/>
        <w:rPr>
          <w:sz w:val="20"/>
          <w:szCs w:val="20"/>
          <w:color w:val="auto"/>
        </w:rPr>
      </w:pPr>
      <w:r>
        <w:rPr>
          <w:rFonts w:ascii="Arial" w:cs="Arial" w:eastAsia="Arial" w:hAnsi="Arial"/>
          <w:sz w:val="20"/>
          <w:szCs w:val="20"/>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30"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In connection with the Quarterly Report of Xcel Brands, Inc. (the “Company”) on Form 10-Q for the period ended March 31, 2020 as filed with the Securities and Exchange Commission on the date hereof (the “Report”), I, Robert W. D’Loren, certify, pursuant to 18 U.S.C. Section 1350, as adopted pursuant to Section 906 of the Sarbanes-Oxley Act of 2002, that, to my knowledge:</w:t>
      </w:r>
    </w:p>
    <w:p>
      <w:pPr>
        <w:spacing w:after="0" w:line="149" w:lineRule="exact"/>
        <w:rPr>
          <w:sz w:val="20"/>
          <w:szCs w:val="20"/>
          <w:color w:val="auto"/>
        </w:rPr>
      </w:pPr>
    </w:p>
    <w:p>
      <w:pPr>
        <w:ind w:left="260" w:hanging="251"/>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60" w:firstLine="9"/>
        <w:spacing w:after="0" w:line="277" w:lineRule="auto"/>
        <w:tabs>
          <w:tab w:leader="none" w:pos="2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1" w:lineRule="exact"/>
        <w:rPr>
          <w:sz w:val="20"/>
          <w:szCs w:val="20"/>
          <w:color w:val="auto"/>
        </w:rPr>
      </w:pPr>
    </w:p>
    <w:p>
      <w:pPr>
        <w:ind w:left="20"/>
        <w:spacing w:after="0"/>
        <w:tabs>
          <w:tab w:leader="none" w:pos="5240" w:val="left"/>
          <w:tab w:leader="none" w:pos="5740" w:val="left"/>
        </w:tabs>
        <w:rPr>
          <w:sz w:val="20"/>
          <w:szCs w:val="20"/>
          <w:color w:val="auto"/>
        </w:rPr>
      </w:pPr>
      <w:r>
        <w:rPr>
          <w:rFonts w:ascii="Arial" w:cs="Arial" w:eastAsia="Arial" w:hAnsi="Arial"/>
          <w:sz w:val="20"/>
          <w:szCs w:val="20"/>
          <w:color w:val="auto"/>
        </w:rPr>
        <w:t>May 19, 2020</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Robert W. D’Loren</w:t>
      </w:r>
    </w:p>
    <w:p>
      <w:pPr>
        <w:spacing w:after="0" w:line="27"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Name: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3649345</wp:posOffset>
            </wp:positionH>
            <wp:positionV relativeFrom="paragraph">
              <wp:posOffset>-143510</wp:posOffset>
            </wp:positionV>
            <wp:extent cx="23914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7"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Title: 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499110</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30"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In connection with the Quarterly Report of Xcel Brands, Inc. (the “Company”) on Form 10-Q for the period ended March 31, 2020 as filed with the Securities and Exchange Commission on the date hereof (the “Report”), I, James Haran, certify, pursuant to 18 U.S.C. Section 1350, as adopted pursuant to Section 906 of the Sarbanes-Oxley Act of 2002, that, to my knowledge:</w:t>
      </w:r>
    </w:p>
    <w:p>
      <w:pPr>
        <w:spacing w:after="0" w:line="165" w:lineRule="exact"/>
        <w:rPr>
          <w:sz w:val="20"/>
          <w:szCs w:val="20"/>
          <w:color w:val="auto"/>
        </w:rPr>
      </w:pPr>
    </w:p>
    <w:p>
      <w:pPr>
        <w:ind w:left="260" w:hanging="251"/>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60" w:firstLine="9"/>
        <w:spacing w:after="0" w:line="277" w:lineRule="auto"/>
        <w:tabs>
          <w:tab w:leader="none" w:pos="2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p>
      <w:pPr>
        <w:ind w:left="20"/>
        <w:spacing w:after="0"/>
        <w:tabs>
          <w:tab w:leader="none" w:pos="3500" w:val="left"/>
          <w:tab w:leader="none" w:pos="3960" w:val="left"/>
        </w:tabs>
        <w:rPr>
          <w:sz w:val="20"/>
          <w:szCs w:val="20"/>
          <w:color w:val="auto"/>
        </w:rPr>
      </w:pPr>
      <w:r>
        <w:rPr>
          <w:rFonts w:ascii="Arial" w:cs="Arial" w:eastAsia="Arial" w:hAnsi="Arial"/>
          <w:sz w:val="20"/>
          <w:szCs w:val="20"/>
          <w:color w:val="auto"/>
        </w:rPr>
        <w:t>May 19, 2020</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James Haran</w:t>
      </w:r>
    </w:p>
    <w:p>
      <w:pPr>
        <w:spacing w:after="0" w:line="27"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Name: James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-143510</wp:posOffset>
            </wp:positionV>
            <wp:extent cx="25800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7"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Title: Chief Financial Officer and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499110</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3"/>
    </w:lvl>
    <w:lvl w:ilvl="1">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decimal"/>
      <w:start w:val="10"/>
    </w:lvl>
  </w:abstractNum>
  <w:abstractNum w:abstractNumId="8">
    <w:nsid w:val="41A7C4C9"/>
    <w:multiLevelType w:val="hybridMultilevel"/>
    <w:lvl w:ilvl="0">
      <w:lvlJc w:val="left"/>
      <w:lvlText w:val="%1"/>
      <w:numFmt w:val="upperLetter"/>
      <w:start w:val="68"/>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decimal"/>
      <w:start w:val="5"/>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decimal"/>
      <w:start w:val="5"/>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2020-05-19T16:09:23Z</dcterms:created>
  <dcterms:modified xsi:type="dcterms:W3CDTF">2020-05-19T16:09:23Z</dcterms:modified>
</cp:coreProperties>
</file>