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4"/>
          <w:szCs w:val="24"/>
          <w:color w:val="auto"/>
        </w:rPr>
      </w:pPr>
    </w:p>
    <w:p>
      <w:pPr>
        <w:ind w:left="380" w:right="179" w:hanging="330"/>
        <w:spacing w:after="0" w:line="282" w:lineRule="auto"/>
        <w:tabs>
          <w:tab w:leader="none" w:pos="39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86" w:lineRule="exact"/>
        <w:rPr>
          <w:sz w:val="24"/>
          <w:szCs w:val="24"/>
          <w:color w:val="auto"/>
        </w:rPr>
      </w:pPr>
    </w:p>
    <w:p>
      <w:pPr>
        <w:ind w:left="360" w:right="599" w:hanging="310"/>
        <w:spacing w:after="0" w:line="297" w:lineRule="auto"/>
        <w:tabs>
          <w:tab w:leader="none" w:pos="38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Commission File Number: 001-37527</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Delaware</w:t>
            </w: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76-0307819</w:t>
            </w:r>
          </w:p>
        </w:tc>
      </w:tr>
      <w:tr>
        <w:trPr>
          <w:trHeight w:val="195"/>
        </w:trPr>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600" w:type="dxa"/>
            <w:vAlign w:val="bottom"/>
          </w:tcPr>
          <w:p>
            <w:pPr>
              <w:spacing w:after="0"/>
              <w:rPr>
                <w:sz w:val="16"/>
                <w:szCs w:val="16"/>
                <w:color w:val="auto"/>
              </w:rPr>
            </w:pPr>
          </w:p>
        </w:tc>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240" w:type="dxa"/>
            <w:vAlign w:val="bottom"/>
            <w:gridSpan w:val="2"/>
          </w:tcPr>
          <w:p>
            <w:pPr>
              <w:jc w:val="center"/>
              <w:ind w:right="1600"/>
              <w:spacing w:after="0"/>
              <w:rPr>
                <w:sz w:val="20"/>
                <w:szCs w:val="20"/>
                <w:color w:val="auto"/>
              </w:rPr>
            </w:pPr>
            <w:r>
              <w:rPr>
                <w:rFonts w:ascii="Arial" w:cs="Arial" w:eastAsia="Arial" w:hAnsi="Arial"/>
                <w:sz w:val="18"/>
                <w:szCs w:val="18"/>
                <w:color w:val="auto"/>
                <w:w w:val="91"/>
              </w:rPr>
              <w:t>Incorporation or Organization)</w:t>
            </w:r>
          </w:p>
        </w:tc>
        <w:tc>
          <w:tcPr>
            <w:tcW w:w="36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14605</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29"/>
        </w:trPr>
        <w:tc>
          <w:tcPr>
            <w:tcW w:w="564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Title of each class</w:t>
            </w:r>
          </w:p>
        </w:tc>
        <w:tc>
          <w:tcPr>
            <w:tcW w:w="26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Trading Symbol</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76"/>
        </w:trPr>
        <w:tc>
          <w:tcPr>
            <w:tcW w:w="20" w:type="dxa"/>
            <w:vAlign w:val="bottom"/>
          </w:tcPr>
          <w:p>
            <w:pPr>
              <w:spacing w:after="0"/>
              <w:rPr>
                <w:sz w:val="15"/>
                <w:szCs w:val="15"/>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$0.001 par value per share</w:t>
            </w:r>
          </w:p>
        </w:tc>
        <w:tc>
          <w:tcPr>
            <w:tcW w:w="200" w:type="dxa"/>
            <w:vAlign w:val="bottom"/>
          </w:tcPr>
          <w:p>
            <w:pPr>
              <w:spacing w:after="0"/>
              <w:rPr>
                <w:sz w:val="15"/>
                <w:szCs w:val="15"/>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XELB</w:t>
            </w:r>
          </w:p>
        </w:tc>
        <w:tc>
          <w:tcPr>
            <w:tcW w:w="18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46" w:lineRule="exact"/>
        <w:rPr>
          <w:sz w:val="24"/>
          <w:szCs w:val="24"/>
          <w:color w:val="auto"/>
        </w:rPr>
      </w:pPr>
    </w:p>
    <w:p>
      <w:pPr>
        <w:jc w:val="both"/>
        <w:ind w:left="60" w:right="59"/>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left="60" w:right="59"/>
        <w:spacing w:after="0" w:line="28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120" w:type="dxa"/>
            <w:vAlign w:val="bottom"/>
          </w:tcPr>
          <w:p>
            <w:pPr>
              <w:ind w:left="10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8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120" w:type="dxa"/>
            <w:vAlign w:val="bottom"/>
          </w:tcPr>
          <w:p>
            <w:pPr>
              <w:ind w:left="108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80" w:type="dxa"/>
            <w:vAlign w:val="bottom"/>
          </w:tcPr>
          <w:p>
            <w:pPr>
              <w:spacing w:after="0"/>
              <w:rPr>
                <w:sz w:val="24"/>
                <w:szCs w:val="24"/>
                <w:color w:val="auto"/>
              </w:rPr>
            </w:pPr>
          </w:p>
        </w:tc>
        <w:tc>
          <w:tcPr>
            <w:tcW w:w="3120" w:type="dxa"/>
            <w:vAlign w:val="bottom"/>
          </w:tcPr>
          <w:p>
            <w:pPr>
              <w:ind w:left="108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 w:lineRule="exact"/>
        <w:rPr>
          <w:sz w:val="24"/>
          <w:szCs w:val="24"/>
          <w:color w:val="auto"/>
        </w:rPr>
      </w:pPr>
    </w:p>
    <w:p>
      <w:pPr>
        <w:jc w:val="both"/>
        <w:ind w:left="180" w:right="59" w:hanging="134"/>
        <w:spacing w:after="0" w:line="250" w:lineRule="exact"/>
        <w:rPr>
          <w:sz w:val="20"/>
          <w:szCs w:val="20"/>
          <w:color w:val="auto"/>
        </w:rPr>
      </w:pPr>
      <w:r>
        <w:rPr>
          <w:rFonts w:ascii="Arial" w:cs="Arial" w:eastAsia="Arial" w:hAnsi="Arial"/>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November 8, 2022, there were 19,624,860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588645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31750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100330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r>
      <w:tr>
        <w:trPr>
          <w:trHeight w:val="404"/>
        </w:trPr>
        <w:tc>
          <w:tcPr>
            <w:tcW w:w="29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7"/>
              </w:rPr>
              <w:t>PART I - FINANCIAL INFORMATION</w:t>
            </w:r>
          </w:p>
        </w:tc>
        <w:tc>
          <w:tcPr>
            <w:tcW w:w="528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440" w:type="dxa"/>
            <w:vAlign w:val="bottom"/>
            <w:gridSpan w:val="17"/>
          </w:tcPr>
          <w:p>
            <w:pPr>
              <w:spacing w:after="0"/>
              <w:rPr>
                <w:sz w:val="20"/>
                <w:szCs w:val="20"/>
                <w:color w:val="auto"/>
              </w:rPr>
            </w:pPr>
            <w:r>
              <w:rPr>
                <w:rFonts w:ascii="Arial" w:cs="Arial" w:eastAsia="Arial" w:hAnsi="Arial"/>
                <w:sz w:val="18"/>
                <w:szCs w:val="18"/>
                <w:color w:val="0000EE"/>
              </w:rPr>
              <w:t>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88"/>
              </w:rPr>
              <w:t>Unaudited Condensed Consolidated Balance Sheets</w:t>
            </w:r>
          </w:p>
        </w:tc>
        <w:tc>
          <w:tcPr>
            <w:tcW w:w="3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Unaudited Condensed Consolidated Statements of Operations</w:t>
            </w:r>
          </w:p>
        </w:tc>
        <w:tc>
          <w:tcPr>
            <w:tcW w:w="300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89"/>
              </w:rPr>
              <w:t>Unaudited Condensed Consolidated Statements of Stockholders’ Equity</w:t>
            </w:r>
          </w:p>
        </w:tc>
        <w:tc>
          <w:tcPr>
            <w:tcW w:w="226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8"/>
              </w:rPr>
              <w:t>Unaudited Condensed Consolidated Statements of Cash Flows</w:t>
            </w:r>
          </w:p>
        </w:tc>
        <w:tc>
          <w:tcPr>
            <w:tcW w:w="29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266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40" w:type="dxa"/>
            <w:vAlign w:val="bottom"/>
            <w:gridSpan w:val="17"/>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7"/>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tcBorders>
              <w:left w:val="single" w:sz="8" w:color="0000EE"/>
            </w:tcBorders>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7"/>
          </w:tcPr>
          <w:p>
            <w:pPr>
              <w:spacing w:after="0"/>
              <w:rPr>
                <w:sz w:val="20"/>
                <w:szCs w:val="20"/>
                <w:color w:val="auto"/>
              </w:rPr>
            </w:pPr>
            <w:r>
              <w:rPr>
                <w:rFonts w:ascii="Arial" w:cs="Arial" w:eastAsia="Arial" w:hAnsi="Arial"/>
                <w:sz w:val="18"/>
                <w:szCs w:val="18"/>
                <w:color w:val="0000EE"/>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8220" w:type="dxa"/>
            <w:vAlign w:val="bottom"/>
            <w:gridSpan w:val="20"/>
          </w:tcPr>
          <w:p>
            <w:pPr>
              <w:spacing w:after="0"/>
              <w:rPr>
                <w:sz w:val="20"/>
                <w:szCs w:val="20"/>
                <w:color w:val="auto"/>
              </w:rPr>
            </w:pPr>
            <w:r>
              <w:rPr>
                <w:rFonts w:ascii="Arial" w:cs="Arial" w:eastAsia="Arial" w:hAnsi="Arial"/>
                <w:sz w:val="18"/>
                <w:szCs w:val="18"/>
                <w:color w:val="0000EE"/>
              </w:rPr>
              <w:t>PART II - 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9"/>
        </w:trPr>
        <w:tc>
          <w:tcPr>
            <w:tcW w:w="7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84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Proceedings</w:t>
            </w:r>
          </w:p>
        </w:tc>
        <w:tc>
          <w:tcPr>
            <w:tcW w:w="560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w w:val="92"/>
              </w:rPr>
              <w:t>Item 1A.</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40" w:type="dxa"/>
            <w:vAlign w:val="bottom"/>
            <w:gridSpan w:val="17"/>
          </w:tcPr>
          <w:p>
            <w:pPr>
              <w:spacing w:after="0"/>
              <w:rPr>
                <w:sz w:val="20"/>
                <w:szCs w:val="20"/>
                <w:color w:val="auto"/>
              </w:rPr>
            </w:pPr>
            <w:r>
              <w:rPr>
                <w:rFonts w:ascii="Arial" w:cs="Arial" w:eastAsia="Arial" w:hAnsi="Arial"/>
                <w:sz w:val="18"/>
                <w:szCs w:val="18"/>
                <w:color w:val="0000EE"/>
              </w:rPr>
              <w:t>Defaults Upon Senior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40" w:type="dxa"/>
            <w:vAlign w:val="bottom"/>
            <w:gridSpan w:val="17"/>
          </w:tcPr>
          <w:p>
            <w:pPr>
              <w:spacing w:after="0"/>
              <w:rPr>
                <w:sz w:val="20"/>
                <w:szCs w:val="20"/>
                <w:color w:val="auto"/>
              </w:rPr>
            </w:pPr>
            <w:r>
              <w:rPr>
                <w:rFonts w:ascii="Arial" w:cs="Arial" w:eastAsia="Arial" w:hAnsi="Arial"/>
                <w:sz w:val="18"/>
                <w:szCs w:val="18"/>
                <w:color w:val="0000EE"/>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8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40" w:type="dxa"/>
            <w:vAlign w:val="bottom"/>
            <w:gridSpan w:val="17"/>
          </w:tcPr>
          <w:p>
            <w:pPr>
              <w:spacing w:after="0"/>
              <w:rPr>
                <w:sz w:val="20"/>
                <w:szCs w:val="20"/>
                <w:color w:val="auto"/>
              </w:rPr>
            </w:pPr>
            <w:r>
              <w:rPr>
                <w:rFonts w:ascii="Arial" w:cs="Arial" w:eastAsia="Arial" w:hAnsi="Arial"/>
                <w:sz w:val="18"/>
                <w:szCs w:val="18"/>
                <w:color w:val="0000EE"/>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140" w:type="dxa"/>
            <w:vAlign w:val="bottom"/>
            <w:gridSpan w:val="1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78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40" w:type="dxa"/>
            <w:vAlign w:val="bottom"/>
            <w:gridSpan w:val="17"/>
          </w:tcPr>
          <w:p>
            <w:pPr>
              <w:spacing w:after="0"/>
              <w:rPr>
                <w:sz w:val="20"/>
                <w:szCs w:val="20"/>
                <w:color w:val="auto"/>
              </w:rPr>
            </w:pPr>
            <w:r>
              <w:rPr>
                <w:rFonts w:ascii="Arial" w:cs="Arial" w:eastAsia="Arial" w:hAnsi="Arial"/>
                <w:sz w:val="18"/>
                <w:szCs w:val="18"/>
                <w:color w:val="0000EE"/>
              </w:rPr>
              <w:t>Exhibits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00" w:type="dxa"/>
            <w:vAlign w:val="bottom"/>
            <w:gridSpan w:val="1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40" w:type="dxa"/>
            <w:vAlign w:val="bottom"/>
            <w:gridSpan w:val="17"/>
          </w:tcPr>
          <w:p>
            <w:pPr>
              <w:spacing w:after="0"/>
              <w:rPr>
                <w:sz w:val="20"/>
                <w:szCs w:val="20"/>
                <w:color w:val="auto"/>
              </w:rPr>
            </w:pPr>
            <w:r>
              <w:rPr>
                <w:rFonts w:ascii="Arial" w:cs="Arial" w:eastAsia="Arial" w:hAnsi="Arial"/>
                <w:sz w:val="18"/>
                <w:szCs w:val="18"/>
                <w:color w:val="0000EE"/>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979" w:firstLine="2922"/>
        <w:spacing w:after="0" w:line="391" w:lineRule="auto"/>
        <w:rPr>
          <w:sz w:val="20"/>
          <w:szCs w:val="20"/>
          <w:color w:val="auto"/>
        </w:rPr>
      </w:pPr>
      <w:r>
        <w:rPr>
          <w:rFonts w:ascii="Arial" w:cs="Arial" w:eastAsia="Arial" w:hAnsi="Arial"/>
          <w:sz w:val="18"/>
          <w:szCs w:val="18"/>
          <w:b w:val="1"/>
          <w:bCs w:val="1"/>
          <w:color w:val="auto"/>
        </w:rPr>
        <w:t>PART I. FINANCIAL INFORMATION ITEM 1.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 2022</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(Note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8,407</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$1,263 and $1,090,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6,720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7,640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3,884</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20,763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Non-current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5,650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Equity method investment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19,520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assets,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76,464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108,602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97,227</w:t>
            </w:r>
          </w:p>
        </w:tc>
        <w:tc>
          <w:tcPr>
            <w:tcW w:w="180" w:type="dxa"/>
            <w:vAlign w:val="bottom"/>
          </w:tcPr>
          <w:p>
            <w:pPr>
              <w:spacing w:after="0"/>
              <w:rPr>
                <w:sz w:val="16"/>
                <w:szCs w:val="16"/>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125,781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3,959</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income taxes payable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contingent obligations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2,478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6,157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7,252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debt, net, less current portion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portion of contingent obligations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5,061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7,539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11,441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40,322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20,763</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19,624,860 and 19,571,119 shares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September 30, 2022 and December 31, 2021, respectively</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103,541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103,039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(26,818)</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(28,779)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76,743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74,280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76,464</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74,942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97,227</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125,781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Xcel Brands, Inc. and Subsidiaries Unaudited Condensed Consolidated Statements of Operations (in thousands,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6"/>
              </w:rPr>
              <w:t>For the 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Net licensing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Salaries, benefits and employment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w w:val="97"/>
              </w:rPr>
              <w:t>Gain on sale of majority interest in Isaac Mizrahi brand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from equity method investment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other (expense)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Interest and finance (income)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 term loan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Arial" w:cs="Arial" w:eastAsia="Arial" w:hAnsi="Arial"/>
                <w:sz w:val="18"/>
                <w:szCs w:val="18"/>
                <w:color w:val="auto"/>
              </w:rPr>
              <w:t>Other interest and finance (income) charges,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interest and finance (income) expense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line="177" w:lineRule="exact"/>
              <w:rPr>
                <w:sz w:val="20"/>
                <w:szCs w:val="20"/>
                <w:color w:val="auto"/>
              </w:rPr>
            </w:pPr>
            <w:r>
              <w:rPr>
                <w:rFonts w:ascii="Arial" w:cs="Arial" w:eastAsia="Arial" w:hAnsi="Arial"/>
                <w:sz w:val="18"/>
                <w:szCs w:val="18"/>
                <w:b w:val="1"/>
                <w:bCs w:val="1"/>
                <w:color w:val="auto"/>
              </w:rPr>
              <w:t>Net (loss) income attributable to Xcel Brands, Inc.</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(4,042)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1,961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stockholders</w:t>
            </w:r>
          </w:p>
        </w:tc>
        <w:tc>
          <w:tcPr>
            <w:tcW w:w="3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(Loss) earnings per common share attributable to Xcel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Brands, Inc. stockholders: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(loss) income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 net (loss) income per share</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19,624,860</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19,541,774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19,624,604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19,418,469</w:t>
            </w: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w w:val="97"/>
              </w:rPr>
              <w:t>Diluted weighted average common shares outstanding</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19,624,860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19,541,774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19,752,339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19,418,469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9080"/>
          </w:cols>
          <w:pgMar w:left="140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80"/>
          </w:cols>
          <w:pgMar w:left="1400" w:top="517" w:right="1419"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Xcel Brands, Inc. and Subsidiaries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 Condensed Consolidated Statements of Stockholders’ Equity</w:t>
      </w: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7"/>
          </w:tcPr>
          <w:p>
            <w:pPr>
              <w:ind w:left="80"/>
              <w:spacing w:after="0"/>
              <w:rPr>
                <w:sz w:val="20"/>
                <w:szCs w:val="20"/>
                <w:color w:val="auto"/>
              </w:rPr>
            </w:pPr>
            <w:r>
              <w:rPr>
                <w:rFonts w:ascii="Arial" w:cs="Arial" w:eastAsia="Arial" w:hAnsi="Arial"/>
                <w:sz w:val="12"/>
                <w:szCs w:val="12"/>
                <w:b w:val="1"/>
                <w:bCs w:val="1"/>
                <w:color w:val="auto"/>
                <w:w w:val="87"/>
              </w:rPr>
              <w:t>Xcel Brands, Inc. Stockholders</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380" w:type="dxa"/>
            <w:vAlign w:val="bottom"/>
            <w:tcBorders>
              <w:bottom w:val="single" w:sz="8" w:color="auto"/>
            </w:tcBorders>
            <w:gridSpan w:val="4"/>
          </w:tcPr>
          <w:p>
            <w:pPr>
              <w:jc w:val="right"/>
              <w:ind w:right="242"/>
              <w:spacing w:after="0" w:line="129" w:lineRule="exact"/>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Paid-In</w:t>
            </w: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84"/>
              </w:rPr>
              <w:t>Accumulated</w:t>
            </w:r>
          </w:p>
        </w:tc>
        <w:tc>
          <w:tcPr>
            <w:tcW w:w="12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89"/>
              </w:rPr>
              <w:t>Noncontrolling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4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42"/>
              <w:spacing w:after="0"/>
              <w:rPr>
                <w:sz w:val="20"/>
                <w:szCs w:val="20"/>
                <w:color w:val="auto"/>
              </w:rPr>
            </w:pPr>
            <w:r>
              <w:rPr>
                <w:rFonts w:ascii="Arial" w:cs="Arial" w:eastAsia="Arial" w:hAnsi="Arial"/>
                <w:sz w:val="12"/>
                <w:szCs w:val="12"/>
                <w:b w:val="1"/>
                <w:bCs w:val="1"/>
                <w:color w:val="auto"/>
              </w:rPr>
              <w:t>Interest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0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Balance as of December 31, 2020</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19,260,862</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102,324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(16,595)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507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86,255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on exercise of stock options, net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March 31, 2021</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19,262,529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102,493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(19,142)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426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83,796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executive related to stock grants for bonus payments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181,179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14,045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directors in connection with restricted stock grants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on exercise of stock options, net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23,102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(1,558)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June 30, 2021</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19,530,855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102,852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(20,700)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170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82,342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9,399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on exercise of stock options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1,667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5"/>
              </w:rPr>
              <w:t>Additional investment in Longaberger Licensing, LLC by non-controlling interest holder</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(1,136)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38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Balance as of September 30, 2021</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19,541,921</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102,936</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(21,836)</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947</w:t>
            </w: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82,067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Balance as of December 31, 2021</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19,571,119</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103,039</w:t>
            </w:r>
          </w:p>
        </w:tc>
        <w:tc>
          <w:tcPr>
            <w:tcW w:w="1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(28,779)</w:t>
            </w:r>
          </w:p>
        </w:tc>
        <w:tc>
          <w:tcPr>
            <w:tcW w:w="2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662</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74,942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(3,487)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Balance as of March 31, 2022</w:t>
            </w: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19,571,119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103,069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(32,266)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71,233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executive related to stock grants for bonus payments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178,727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repurchased from executive in exchange for withholding taxes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(53,882)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consultant in connection with stock grant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directors in connection with restricted stock grants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Shares issued to consultant in connection with sale transaction (see Note 2 and Note 8)</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65,275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Shares issued to key employee in connection with stock grant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33,557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w w:val="97"/>
              </w:rPr>
              <w:t>Shares repurchased from key employee in exchange for withholding taxes related to</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(240,000)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vesting of restricted shares</w:t>
            </w:r>
          </w:p>
        </w:tc>
        <w:tc>
          <w:tcPr>
            <w:tcW w:w="6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80" w:type="dxa"/>
            <w:vAlign w:val="bottom"/>
            <w:vMerge w:val="continue"/>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income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9,490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9,189</w:t>
            </w:r>
          </w:p>
        </w:tc>
        <w:tc>
          <w:tcPr>
            <w:tcW w:w="0" w:type="dxa"/>
            <w:vAlign w:val="bottom"/>
          </w:tcPr>
          <w:p>
            <w:pPr>
              <w:spacing w:after="0"/>
              <w:rPr>
                <w:sz w:val="1"/>
                <w:szCs w:val="1"/>
                <w:color w:val="auto"/>
              </w:rPr>
            </w:pPr>
          </w:p>
        </w:tc>
      </w:tr>
      <w:tr>
        <w:trPr>
          <w:trHeight w:val="135"/>
        </w:trPr>
        <w:tc>
          <w:tcPr>
            <w:tcW w:w="44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Balance as of June 30, 2022</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19,624,860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103,490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(22,776)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109</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4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Compensation expense related to stock options and restricted stock</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(4,042)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Borders>
              <w:bottom w:val="single" w:sz="8" w:color="CCEEFF"/>
            </w:tcBorders>
            <w:shd w:val="clear" w:color="auto" w:fill="CCEEFF"/>
          </w:tcPr>
          <w:p>
            <w:pPr>
              <w:spacing w:after="0" w:line="128" w:lineRule="exact"/>
              <w:rPr>
                <w:sz w:val="20"/>
                <w:szCs w:val="20"/>
                <w:color w:val="auto"/>
              </w:rPr>
            </w:pPr>
            <w:r>
              <w:rPr>
                <w:rFonts w:ascii="Arial" w:cs="Arial" w:eastAsia="Arial" w:hAnsi="Arial"/>
                <w:sz w:val="12"/>
                <w:szCs w:val="12"/>
                <w:color w:val="auto"/>
              </w:rPr>
              <w:t>Balance as of September 30, 2022</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3"/>
              </w:rPr>
              <w:t>19,624,860</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103,541</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(26,818)</w:t>
            </w:r>
          </w:p>
        </w:tc>
        <w:tc>
          <w:tcPr>
            <w:tcW w:w="1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(279)</w:t>
            </w: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76,464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accompanying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Xcel Brands,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 Condensed Consolidated Statements of Cash Flows</w:t>
      </w: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1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780" w:type="dxa"/>
            <w:vAlign w:val="bottom"/>
            <w:gridSpan w:val="7"/>
          </w:tcPr>
          <w:p>
            <w:pPr>
              <w:ind w:left="260"/>
              <w:spacing w:after="0"/>
              <w:rPr>
                <w:sz w:val="20"/>
                <w:szCs w:val="20"/>
                <w:color w:val="auto"/>
              </w:rPr>
            </w:pPr>
            <w:r>
              <w:rPr>
                <w:rFonts w:ascii="Arial" w:cs="Arial" w:eastAsia="Arial" w:hAnsi="Arial"/>
                <w:sz w:val="13"/>
                <w:szCs w:val="13"/>
                <w:b w:val="1"/>
                <w:bCs w:val="1"/>
                <w:color w:val="auto"/>
                <w:w w:val="95"/>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Net income (loss)</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1,020</w:t>
            </w:r>
          </w:p>
        </w:tc>
        <w:tc>
          <w:tcPr>
            <w:tcW w:w="200" w:type="dxa"/>
            <w:vAlign w:val="bottom"/>
          </w:tcPr>
          <w:p>
            <w:pPr>
              <w:spacing w:after="0"/>
              <w:rPr>
                <w:sz w:val="12"/>
                <w:szCs w:val="12"/>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(5,801)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Depreciation and amortization expense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5,447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Amortization of deferred finance costs included in interest expense</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568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Provision for doubtful accounts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Undistributed proportional share of net income of equity method investee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 on early extinguishment of debt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Deferred income tax provision (benefit)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Gain on sale of majority interest in Isaac Mizrahi brand</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(20,608)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rPr>
                <w:sz w:val="20"/>
                <w:szCs w:val="20"/>
                <w:color w:val="auto"/>
              </w:rPr>
            </w:pPr>
            <w:r>
              <w:rPr>
                <w:rFonts w:ascii="Arial" w:cs="Arial" w:eastAsia="Arial" w:hAnsi="Arial"/>
                <w:sz w:val="13"/>
                <w:szCs w:val="13"/>
                <w:color w:val="auto"/>
              </w:rPr>
              <w:t>Changes in operating assets and liabilities: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receivable</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(2,214)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Prepaid expenses and other current and non-current assets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00" w:type="dxa"/>
            <w:vAlign w:val="bottom"/>
          </w:tcPr>
          <w:p>
            <w:pPr>
              <w:ind w:left="200"/>
              <w:spacing w:after="0" w:line="138" w:lineRule="exact"/>
              <w:rPr>
                <w:sz w:val="20"/>
                <w:szCs w:val="20"/>
                <w:color w:val="auto"/>
              </w:rPr>
            </w:pPr>
            <w:r>
              <w:rPr>
                <w:rFonts w:ascii="Arial" w:cs="Arial" w:eastAsia="Arial" w:hAnsi="Arial"/>
                <w:sz w:val="13"/>
                <w:szCs w:val="13"/>
                <w:color w:val="auto"/>
                <w:w w:val="98"/>
              </w:rPr>
              <w:t>Accounts payable, accrued expenses, accrued payroll, accrued income taxes payable, and other current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liabilities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Lease-related assets and liabilities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used in operating activities</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(11,029)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(5,529)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Net proceeds from sale of majority interest in Isaac Mizrahi brand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45,408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consideration for acquisition of Lori Goldstein assets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Purchase of other intangible assets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property and equipment</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0" w:type="dxa"/>
            <w:vAlign w:val="bottom"/>
          </w:tcPr>
          <w:p>
            <w:pPr>
              <w:spacing w:after="0"/>
              <w:rPr>
                <w:sz w:val="1"/>
                <w:szCs w:val="1"/>
                <w:color w:val="auto"/>
              </w:rPr>
            </w:pPr>
          </w:p>
        </w:tc>
      </w:tr>
      <w:tr>
        <w:trPr>
          <w:trHeight w:val="142"/>
        </w:trPr>
        <w:tc>
          <w:tcPr>
            <w:tcW w:w="61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provided by (used in) investing activities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45,167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(4,749)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exercise of stock options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Shares repurchased including vested restricted stock in exchange for withholding taxes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contribution from non-controlling interest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Proceeds from revolving loan debt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long-term debt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Payment of deferred finance costs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 of long-term debt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w w:val="97"/>
              </w:rPr>
              <w:t>Payment of prepayment, breakage and other fees associated with early extinguishment of long-term debt</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(used in) provided by financing activities</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(30,953)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2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8,407</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Reconciliation to amounts on condensed consolidated balance sheets: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50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8,407</w:t>
            </w:r>
          </w:p>
        </w:tc>
        <w:tc>
          <w:tcPr>
            <w:tcW w:w="200" w:type="dxa"/>
            <w:vAlign w:val="bottom"/>
          </w:tcPr>
          <w:p>
            <w:pPr>
              <w:spacing w:after="0"/>
              <w:rPr>
                <w:sz w:val="12"/>
                <w:szCs w:val="12"/>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cash</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00" w:type="dxa"/>
            <w:vAlign w:val="bottom"/>
            <w:tcBorders>
              <w:bottom w:val="single" w:sz="8" w:color="CCEEFF"/>
            </w:tcBorders>
          </w:tcPr>
          <w:p>
            <w:pPr>
              <w:ind w:left="80"/>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26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8,407</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4,720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3"/>
                <w:szCs w:val="13"/>
                <w:b w:val="1"/>
                <w:bCs w:val="1"/>
                <w:color w:val="auto"/>
              </w:rPr>
              <w:t>Supplemental disclosure of non-cash activities: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lease right-of-use assets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3"/>
                <w:szCs w:val="13"/>
                <w:color w:val="auto"/>
              </w:rPr>
              <w:t>Operating lease obligations</w:t>
            </w: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tcBorders>
              <w:bottom w:val="single" w:sz="8" w:color="CCEEFF"/>
            </w:tcBorders>
            <w:shd w:val="clear" w:color="auto" w:fill="CCEEFF"/>
          </w:tcPr>
          <w:p>
            <w:pPr>
              <w:ind w:left="200"/>
              <w:spacing w:after="0" w:line="129" w:lineRule="exact"/>
              <w:rPr>
                <w:sz w:val="20"/>
                <w:szCs w:val="20"/>
                <w:color w:val="auto"/>
              </w:rPr>
            </w:pPr>
            <w:r>
              <w:rPr>
                <w:rFonts w:ascii="Arial" w:cs="Arial" w:eastAsia="Arial" w:hAnsi="Arial"/>
                <w:sz w:val="13"/>
                <w:szCs w:val="13"/>
                <w:color w:val="auto"/>
              </w:rPr>
              <w:t>Contingent obligation related to acquisition of Lori Goldstein assets at fair value</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ind w:left="200"/>
              <w:spacing w:after="0"/>
              <w:rPr>
                <w:sz w:val="20"/>
                <w:szCs w:val="20"/>
                <w:color w:val="auto"/>
              </w:rPr>
            </w:pPr>
            <w:r>
              <w:rPr>
                <w:rFonts w:ascii="Arial" w:cs="Arial" w:eastAsia="Arial" w:hAnsi="Arial"/>
                <w:sz w:val="13"/>
                <w:szCs w:val="13"/>
                <w:color w:val="auto"/>
              </w:rPr>
              <w:t>Liability for equity-based bonuses and other equity-based payments</w:t>
            </w: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(283)</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Cash paid during the period for interest</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3"/>
                <w:szCs w:val="13"/>
                <w:color w:val="auto"/>
              </w:rPr>
              <w:t>Cash paid during the period for income taxes</w:t>
            </w: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460" w:hanging="410"/>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accompanying condensed consolidated balance sheet as of December 31, 2021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Article 8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and its subsidiaries (the “Company” or "Xcel").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2021, as filed with the SEC on April 15, 2022.</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w:t>
      </w:r>
    </w:p>
    <w:p>
      <w:pPr>
        <w:spacing w:after="0" w:line="18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Currently, the Company’s brand portfolio consists of the LOGO by Lori Goldstein brand (the “Lori Goldstein Brand”), the Halston brands (the "Halston Brand"), the Judith Ripka brands (the "Ripka Brand"), the C Wonder brands (the "C Wonder Brand"), the Longaberger brand (the “Longaberger Brand”), the Isaac Mizrahi brands (the "Isaac Mizrahi Brand"), and other proprietary brands.</w:t>
      </w:r>
    </w:p>
    <w:p>
      <w:pPr>
        <w:spacing w:after="0" w:line="187"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Lori Goldstein Brand, Halston Brand, Ripka Brand, and C Wonder Brand are wholly owned by the Company.</w:t>
      </w:r>
    </w:p>
    <w:p>
      <w:pPr>
        <w:spacing w:after="0" w:line="248" w:lineRule="exact"/>
        <w:rPr>
          <w:rFonts w:ascii="Arial" w:cs="Arial" w:eastAsia="Arial" w:hAnsi="Arial"/>
          <w:sz w:val="16"/>
          <w:szCs w:val="16"/>
          <w:color w:val="auto"/>
        </w:rPr>
      </w:pPr>
    </w:p>
    <w:p>
      <w:pPr>
        <w:jc w:val="both"/>
        <w:ind w:left="720" w:right="7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manages the Longaberger Brand through its 50% ownership interest in Longaberger Licensing, LLC; the Company consolidates Longaberger Licensing, LLC and recognizes noncontrolling interest for the remaining ownership interest held by a third party.</w:t>
      </w:r>
    </w:p>
    <w:p>
      <w:pPr>
        <w:spacing w:after="0" w:line="183" w:lineRule="exact"/>
        <w:rPr>
          <w:rFonts w:ascii="Arial" w:cs="Arial" w:eastAsia="Arial" w:hAnsi="Arial"/>
          <w:sz w:val="18"/>
          <w:szCs w:val="18"/>
          <w:color w:val="auto"/>
        </w:rPr>
      </w:pPr>
    </w:p>
    <w:p>
      <w:pPr>
        <w:jc w:val="both"/>
        <w:ind w:left="720" w:right="79" w:hanging="319"/>
        <w:spacing w:after="0" w:line="296"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wholly owned and managed the Isaac Mizrahi Brand through May 31, 2022. On May 31, 2022, the Company sold to a third party a majority interest in a newly-created subsidiary that was formed to hold the Isaac Mizrahi Brand trademarks, but retained a noncontrolling interest in the brand through a 30% ownership interest in IM Topco, LLC and continues to participate in the operations of the business; the Company accounts for its interest in IM Topco, LLC using the equity method of accounting. See Note 2 for additional details.</w:t>
      </w:r>
    </w:p>
    <w:p>
      <w:pPr>
        <w:spacing w:after="0" w:line="16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designs, produces, markets, and distributes products, licenses its brands to third parties, and generates licensing revenues through contractual arrangements with manufacturers and retailers. The Company and its licensees distribute through an omni-channel retail sales strategy, which includes distribution through interactive television, digital live-stream shopping, brick-and-mortar retail, wholesale, and e-commerce channels to be everywhere its customers shop.</w:t>
      </w:r>
    </w:p>
    <w:p>
      <w:pPr>
        <w:spacing w:after="0" w:line="15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Company’s wholesale and direct-to-consumer operations are presented as "Net sales" and "Cost of goods sold" in the Condensed Consolidated Statements of Operations, separately from the Company’s net licensing revenue.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had a net (loss) income of approximately $(4.0) million and $1.9 million during the three and nine months ended September 30, 2022, respectively, and had an accumulated deficit of approximately $26.8 million as of September 30, 2022. The Company had working capital (current assets less current liabilities, excluding the current portion of lease obligations and any contingent obligations payable in common stock) of approximately $13.7 million as of September 30, 2022. The Company’s cash and cash equivalents were approximately $8.4 million as of September 30, 2022. In conjunction with the sale of the majority interest in the Isaac Mizrahi Brand (as described in Note 2) on May 31, 2022, the Company used a portion of the proceeds to extinguish all of its term loan debt, which had a balance of approximately $28.4 million. Management expects that existing cash and operating cash flows will be adequate to meet the Company’s operating and capital expenditure needs for at least the twelve months subsequent to the filing date of this Quarterly Report on Form 10-Q.</w:t>
      </w:r>
    </w:p>
    <w:p>
      <w:pPr>
        <w:spacing w:after="0" w:line="195" w:lineRule="exact"/>
        <w:rPr>
          <w:sz w:val="20"/>
          <w:szCs w:val="20"/>
          <w:color w:val="auto"/>
        </w:rPr>
      </w:pPr>
    </w:p>
    <w:p>
      <w:pPr>
        <w:ind w:left="440" w:hanging="390"/>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 of Majority Interest in Isaac Mizrahi Brand</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27, 2022, Xcel (along with IM Topco, LLC (“IM Topco”) and IM Brands, LLC (“IMB”), both wholly owned subsidiaries of the Company) and IM WHP, LLC (“WHP”), a subsidiary of WHP Global, a private equity-backed brand management and licensing company, entered into a membership purchase agreement. Pursuant to this agreement, on May 31, 2022, (i) the Company contributed assets owned by IMB, including the Isaac Mizrahi Brand trademarks and other intellectual property rights relating thereto into IM Topco, and (ii) the Company sold 70% of the membership interests of IM Topco to WHP.</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purchase price paid by WHP to the Company at the closing of the transaction in exchange for the 70% membership interest in IM Topco consisted of $46.2 million in cash. Pursuant to the purchase agreement, the Company will also be entitled to receive an “earn-out” payment in the amount of $2.0 million if, during the period from January 1, 2023 through December 31, 2023, (i) IM Topco receives Net Royalty Revenue (as defined in the purchase agreement) in an amount equal to or greater than $17.5 million and (ii) IM Topco generates EBITDA (as defined in the purchase agreement) in an amount equal to or greater than $11.8 million. Additionally, in the event that IM Topco receives less than $13.347 million in aggregate royalties for any four consecutive calendar quarters over a three-year period ending on the third anniversary of the closing, WHP will be entitled to receive from the Company up to $16 million, less all amounts of net cash flow distributed to WHP for such period, as an adjustment to the purchase price, payable in either cash or equity interests in IM Topco held by the Company.</w:t>
      </w:r>
    </w:p>
    <w:p>
      <w:pPr>
        <w:spacing w:after="0" w:line="18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connection with the aforementioned purchase agreement, on May 31, 2022, the Company and WHP entered into an Amended and Restated Limited Liability Company Agreement of IM Topco (the “Business Venture Agreement”) governing the operation of IM Topco as a partnership between the Company and WHP following the closing. Pursuant to the Business Venture Agreement, IM Topco is managed by a single Manager appointed by the vote of a majority-in-interest of IM Topco’s members, and WHP serves as the sole Manager of IM Topco. The Business Venture Agreement contains customary provisions for the governance of a partnership, including with respect to decision making, access to information, restrictions on transfer of interests, and covenants. Pursuant to the Business Venture Agreement, IM Topco’s Net Cash Flow (as defined in the agreement) shall be distributed to the members during each fiscal year no less than once per fiscal quarter, as follows:</w:t>
      </w:r>
    </w:p>
    <w:p>
      <w:pPr>
        <w:spacing w:after="0" w:line="181" w:lineRule="exact"/>
        <w:rPr>
          <w:sz w:val="20"/>
          <w:szCs w:val="20"/>
          <w:color w:val="auto"/>
        </w:rPr>
      </w:pPr>
    </w:p>
    <w:p>
      <w:pPr>
        <w:ind w:left="1040" w:right="79" w:hanging="63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100% to WHP, until WHP has received an aggregate amount during such fiscal year equal to $8,852,000;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1040" w:right="79" w:hanging="63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second, 100% to Xcel, until Xcel has received an aggregate amount during such fiscal year equal to $1,316,200; and</w:t>
      </w:r>
    </w:p>
    <w:p>
      <w:pPr>
        <w:spacing w:after="0" w:line="170" w:lineRule="exact"/>
        <w:rPr>
          <w:rFonts w:ascii="Arial" w:cs="Arial" w:eastAsia="Arial" w:hAnsi="Arial"/>
          <w:sz w:val="18"/>
          <w:szCs w:val="18"/>
          <w:color w:val="auto"/>
        </w:rPr>
      </w:pPr>
    </w:p>
    <w:p>
      <w:pPr>
        <w:ind w:left="1040" w:hanging="63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thereafter, in proportion to the members’ respective percentage interests.</w:t>
      </w:r>
    </w:p>
    <w:p>
      <w:pPr>
        <w:spacing w:after="0" w:line="22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amounts described in (i) and (ii) above are subject to adjustment in certain circumstances as set forth in the Business Venture Agreement.</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Company also entered into a number of other related agreements on May 31, 2022 in connection with the transaction, as described below:</w:t>
      </w:r>
    </w:p>
    <w:p>
      <w:pPr>
        <w:spacing w:after="0" w:line="170" w:lineRule="exact"/>
        <w:rPr>
          <w:sz w:val="20"/>
          <w:szCs w:val="20"/>
          <w:color w:val="auto"/>
        </w:rPr>
      </w:pPr>
    </w:p>
    <w:p>
      <w:pPr>
        <w:jc w:val="both"/>
        <w:ind w:left="720" w:right="79" w:hanging="319"/>
        <w:spacing w:after="0" w:line="286"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entered into a services agreement with IM Topco, pursuant to which the Company will provide certain design and support services (including assistance with the operations of the interactive television business and related talent support) to IM Topco in exchange for payments of $0.3 million per fiscal year.</w:t>
      </w:r>
    </w:p>
    <w:p>
      <w:pPr>
        <w:spacing w:after="0" w:line="165"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guaranteed royalties of $0.4 million per year to IM Topco.</w:t>
      </w:r>
    </w:p>
    <w:p>
      <w:pPr>
        <w:spacing w:after="0" w:line="161"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licensing agreement with Qurate Retail Group related to the Isaac Mizrahi Brand (see Note 4) was assigned to IM Topco as of May 31, 2022.</w:t>
      </w:r>
    </w:p>
    <w:p>
      <w:pPr>
        <w:spacing w:after="0" w:line="170" w:lineRule="exact"/>
        <w:rPr>
          <w:rFonts w:ascii="Arial" w:cs="Arial" w:eastAsia="Arial" w:hAnsi="Arial"/>
          <w:sz w:val="18"/>
          <w:szCs w:val="18"/>
          <w:color w:val="auto"/>
        </w:rPr>
      </w:pPr>
    </w:p>
    <w:p>
      <w:pPr>
        <w:jc w:val="both"/>
        <w:ind w:left="720" w:right="79" w:hanging="319"/>
        <w:spacing w:after="0" w:line="25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employment agreement with Mr. Mizrahi and the Company’s services agreement with Laugh Club (see Note 10) were transferred to IM Topco. In addition,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In addition, the Company issued 33,557 additional shares of common stock of the Company (valued at $50,000) to Mr. Mizrahi, which vested immediately, and made a $100,000 cash payment to Mr. Mizrahi.</w:t>
      </w:r>
    </w:p>
    <w:p>
      <w:pPr>
        <w:spacing w:after="0" w:line="19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Management assessed and evaluated the ownership structure and other terms of the May 27, 2022 membership purchase agreement and Business Venture Agreement, as well as considered the Company’s continuing involvement with the Isaac Mizrahi Brand through the aforementioned services agreement and licensing agreement, and concluded that (i) IM Topco is not a Variable Interest Entity under Accounting Standards Codification (“ASC”) Topic 810, and (ii) the Company has significant influence over, but does not control, IM Topco. As such, on May 31, 2022, the Company de-recognized the carrying amount of the Isaac Mizrahi Brand trademarks of $44.5 million and recognized the fair value of its retained interest in IM Topco of approximately $19.8 million as an equity method investment on the accompanying condensed consolidated balance sheet. The fair value of the Company’s retained interest was determined by applying the Company’s ownership percentage to the implied enterprise value of IM Topco, which was calculated based on the price paid by WHP for the 70% controlling interest, as the May 31, 2022 sale transaction was considered an arms-length transaction between knowledgeable market participants and the most relevant and reasonable indication of value to utilize. The inputs and assumptions for this nonrecurring fair value measurement are classified as Level 3 within the fair value hierarchy defined in ASC Topic 820.</w:t>
      </w:r>
    </w:p>
    <w:p>
      <w:pPr>
        <w:spacing w:after="0" w:line="18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incurred approximately $0.9 million of expenses directly related to this transaction, including legal fees and agent fees, of which $0.1 million of the agent fees were paid through the issuance of 65,275 shares of the Company’s common stock, which were recognized as a reduction to the gain from the transaction. The Company recognized a net pre-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tax gain from the transaction of $20.6 million, which is classified as other income in the condensed consolidated statements of operations for the nine months ended September 30, 2022.</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to the amounts described above, the Company’s Board of Directors awarded cash bonuses totaling approximately $1.0 million to certain members of the Company’s senior management, consisting of bonuses of $770,000 to Robert D’Loren, $115,000 to Jim Haran, and $130,000 to Seth Burroughs. These bonuses are included in Salaries, benefits and employment taxes in the accompanying condensed consolidated statements of operations for the nine months ended September 30, 2022.</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accounts for its interest in the ongoing operations of IM Topco as other income under the equity method of accounting. The Company recognized an equity method loss of $0.28 million related to its investment for the three and nine months ended September 30, 2022, based on the aforementioned distribution provisions set forth in the Business Venture Agreement.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Summarized financial information for IM Topco is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7"/>
        </w:trPr>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 the three</w:t>
            </w:r>
          </w:p>
        </w:tc>
        <w:tc>
          <w:tcPr>
            <w:tcW w:w="160" w:type="dxa"/>
            <w:vAlign w:val="bottom"/>
          </w:tcPr>
          <w:p>
            <w:pPr>
              <w:spacing w:after="0"/>
              <w:rPr>
                <w:sz w:val="24"/>
                <w:szCs w:val="24"/>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For the nine</w:t>
            </w:r>
          </w:p>
        </w:tc>
      </w:tr>
      <w:tr>
        <w:trPr>
          <w:trHeight w:val="216"/>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months ended</w:t>
            </w:r>
          </w:p>
        </w:tc>
        <w:tc>
          <w:tcPr>
            <w:tcW w:w="16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months ended</w:t>
            </w:r>
          </w:p>
        </w:tc>
      </w:tr>
      <w:tr>
        <w:trPr>
          <w:trHeight w:val="208"/>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r>
      <w:tr>
        <w:trPr>
          <w:trHeight w:val="242"/>
        </w:trPr>
        <w:tc>
          <w:tcPr>
            <w:tcW w:w="5700" w:type="dxa"/>
            <w:vAlign w:val="bottom"/>
            <w:gridSpan w:val="2"/>
          </w:tcPr>
          <w:p>
            <w:pPr>
              <w:ind w:left="20"/>
              <w:spacing w:after="0"/>
              <w:rPr>
                <w:sz w:val="20"/>
                <w:szCs w:val="20"/>
                <w:color w:val="auto"/>
              </w:rPr>
            </w:pPr>
            <w:r>
              <w:rPr>
                <w:rFonts w:ascii="Arial" w:cs="Arial" w:eastAsia="Arial" w:hAnsi="Arial"/>
                <w:sz w:val="18"/>
                <w:szCs w:val="18"/>
                <w:b w:val="1"/>
                <w:bCs w:val="1"/>
                <w:color w:val="auto"/>
              </w:rPr>
              <w:t>($ in thousands)</w:t>
            </w:r>
          </w:p>
        </w:tc>
        <w:tc>
          <w:tcPr>
            <w:tcW w:w="16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290"/>
              <w:spacing w:after="0" w:line="242" w:lineRule="exact"/>
              <w:rPr>
                <w:sz w:val="20"/>
                <w:szCs w:val="20"/>
                <w:color w:val="auto"/>
              </w:rPr>
            </w:pPr>
            <w:r>
              <w:rPr>
                <w:rFonts w:ascii="Arial" w:cs="Arial" w:eastAsia="Arial" w:hAnsi="Arial"/>
                <w:sz w:val="18"/>
                <w:szCs w:val="18"/>
                <w:b w:val="1"/>
                <w:bCs w:val="1"/>
                <w:color w:val="auto"/>
              </w:rPr>
              <w:t xml:space="preserve">2022 </w:t>
            </w:r>
            <w:r>
              <w:rPr>
                <w:rFonts w:ascii="Arial" w:cs="Arial" w:eastAsia="Arial" w:hAnsi="Arial"/>
                <w:sz w:val="26"/>
                <w:szCs w:val="26"/>
                <w:b w:val="1"/>
                <w:bCs w:val="1"/>
                <w:color w:val="auto"/>
                <w:vertAlign w:val="superscript"/>
              </w:rPr>
              <w:t>(1)</w:t>
            </w:r>
          </w:p>
        </w:tc>
      </w:tr>
      <w:tr>
        <w:trPr>
          <w:trHeight w:val="210"/>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w:t>
            </w:r>
          </w:p>
        </w:tc>
      </w:tr>
      <w:tr>
        <w:trPr>
          <w:trHeight w:val="216"/>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5,479</w:t>
            </w:r>
          </w:p>
        </w:tc>
      </w:tr>
      <w:tr>
        <w:trPr>
          <w:trHeight w:val="21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3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1,118</w:t>
            </w:r>
          </w:p>
        </w:tc>
      </w:tr>
    </w:tbl>
    <w:p>
      <w:pPr>
        <w:spacing w:after="0" w:line="187" w:lineRule="exact"/>
        <w:rPr>
          <w:sz w:val="20"/>
          <w:szCs w:val="20"/>
          <w:color w:val="auto"/>
        </w:rPr>
      </w:pPr>
    </w:p>
    <w:p>
      <w:pPr>
        <w:ind w:left="60" w:right="59" w:hanging="10"/>
        <w:spacing w:after="0" w:line="277" w:lineRule="auto"/>
        <w:tabs>
          <w:tab w:leader="none" w:pos="318"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financial information for the period commencing May 31, 2022 (the date of the sale of a majority interest in IM Topco) through September 30,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LOGO by Lori Goldstein Brand</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April 1, 2021, the Company acquired certain assets of Lori Goldstein, Ltd. (the "Seller"), including the “LOGO by Lori Goldstein” trademark and other intellectual property rights relating thereto. Pursuant to the asset purchase agreement related to this transaction, the Company delivered $1.6 million in cash consideration to the Seller at closing, and was obligated to subsequently deliver an additional $2.0 million in cash to the Seller, which was paid in July 2021.</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consideration described above, the Seller is eligible to earn additional consideration of up to $12.5 million (the “Lori Goldstein Earn-Out”), which would be payable, in cash, within 45 days after the end of each applicable calendar year during the six calendar year period commencing 2021 in an amount equal to 75% percent of the Royalty Contribution (as defined in the related asset purchase agreement) for such calendar year. The Company recorded a contingent obligation of $6.6 million related to the Lori Goldstein Earn-Out, based on the difference between the fair value of the acquired assets of the LOGO by Lori Goldstein brand and the total consideration paid, in accordance with the guidance in ASC Subtopic 805-50. To date, no consideration under the terms of the Lori Goldstein Earn-Out has been payable or paid to the Seller.</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LOGO by Lori Goldstein brand acquisition was accounted for as an asset purchase, and the aggregate purchase price of $10.3 million was allocated entirely to the trademarks of the brand. Such trademarks have been determined by management to have a finite useful life, and accordingly, amortization is recorded in the Company’s condensed consolidated statements of operations. The Lori Goldstein trademarks are being amortized on a straight-line basis over their expected useful life of four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Trademarks and Other Intangibles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80" w:type="dxa"/>
            <w:vAlign w:val="bottom"/>
            <w:gridSpan w:val="3"/>
          </w:tcPr>
          <w:p>
            <w:pPr>
              <w:spacing w:after="0"/>
              <w:rPr>
                <w:sz w:val="20"/>
                <w:szCs w:val="20"/>
                <w:color w:val="auto"/>
              </w:rPr>
            </w:pPr>
            <w:r>
              <w:rPr>
                <w:rFonts w:ascii="Arial" w:cs="Arial" w:eastAsia="Arial" w:hAnsi="Arial"/>
                <w:sz w:val="18"/>
                <w:szCs w:val="18"/>
                <w:color w:val="auto"/>
                <w:w w:val="98"/>
              </w:rPr>
              <w:t>Trademarks and other intangibles, net consist of the following:</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w w:val="93"/>
              </w:rPr>
              <w:t>September 30, 2022</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49,053</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8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20,109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49,200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6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2"/>
                <w:szCs w:val="12"/>
                <w:color w:val="auto"/>
              </w:rPr>
            </w:pPr>
          </w:p>
        </w:tc>
        <w:tc>
          <w:tcPr>
            <w:tcW w:w="9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2"/>
                <w:szCs w:val="12"/>
                <w:color w:val="auto"/>
              </w:rPr>
            </w:pPr>
          </w:p>
        </w:tc>
        <w:tc>
          <w:tcPr>
            <w:tcW w:w="10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Arial" w:cs="Arial" w:eastAsia="Arial" w:hAnsi="Arial"/>
                <w:sz w:val="18"/>
                <w:szCs w:val="18"/>
                <w:color w:val="auto"/>
              </w:rPr>
              <w:t>Trademarks (finite-lived)</w:t>
            </w:r>
          </w:p>
        </w:tc>
        <w:tc>
          <w:tcPr>
            <w:tcW w:w="840" w:type="dxa"/>
            <w:vAlign w:val="bottom"/>
          </w:tcPr>
          <w:p>
            <w:pPr>
              <w:jc w:val="center"/>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53,612</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Copyrights and other intellectual property</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8 years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4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114,371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16,067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98,304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Amortization expense for intangible assets was approximately $1.53 million for the three-month period ended September 30, 2022 (the "current quarter") and was approximately $1.56 million for the three-month period ended September 30, 2021 (the "prior year quarter").</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Amortization expense for intangible assets was approximately $4.60 million for the nine-month period ended September 30, 2022 (the "current nine months") and was approximately $4.02 million for the nine-month period ended September 30, 2021 (the "prior year nine months").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current nine months, the Company sold its $44.5 million of indefinite-lived trademarks related to the Isaac Mizrahi Brand; see Note 2 for details. Also during the current nine months, the Company retired its intangible asset for a non-compete agreement related to the Halston Brand, as such intangible asset had reached the end of its estimated useful life and had become fully amortized.</w:t>
      </w:r>
    </w:p>
    <w:p>
      <w:pPr>
        <w:spacing w:after="0" w:line="196" w:lineRule="exact"/>
        <w:rPr>
          <w:sz w:val="20"/>
          <w:szCs w:val="20"/>
          <w:color w:val="auto"/>
        </w:rPr>
      </w:pPr>
    </w:p>
    <w:p>
      <w:pPr>
        <w:ind w:left="460" w:hanging="410"/>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Contracts and Concentrations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Qurate Agreements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 the Company’s agreements with Qurate Retail Group (“Qurate”), collectively referred to as the Qurate Agreements, Qurate is obligated to make payments to the Company on a quarterly basis, based primarily upon a percentage of net retail sales of Lori Goldstein, Judith Ripka, and Longaberger branded merchandise. The Company was also previously a party to a similar agreement with Qurate related to the Isaac Mizrahi Brand through May 31, 2022; see Note 2 for details.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 Net licensing revenue from the Qurate Agreements represents a significant portion of the Company’s total net revenue.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720" w:right="79" w:hanging="319"/>
        <w:spacing w:after="0" w:line="263"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licensing revenue from the Qurate Agreements totaled $1.40 million and $6.05 million for the current quarter and prior year quarter, respectively, representing approximately 31% and 54% of the Company’s total net revenue for the current quarter and prior year quarter, respectively.</w:t>
      </w:r>
    </w:p>
    <w:p>
      <w:pPr>
        <w:spacing w:after="0" w:line="183" w:lineRule="exact"/>
        <w:rPr>
          <w:rFonts w:ascii="Arial" w:cs="Arial" w:eastAsia="Arial" w:hAnsi="Arial"/>
          <w:sz w:val="18"/>
          <w:szCs w:val="18"/>
          <w:color w:val="auto"/>
        </w:rPr>
      </w:pPr>
    </w:p>
    <w:p>
      <w:pPr>
        <w:jc w:val="both"/>
        <w:ind w:left="720" w:right="79" w:hanging="319"/>
        <w:spacing w:after="0" w:line="286" w:lineRule="auto"/>
        <w:tabs>
          <w:tab w:leader="none" w:pos="7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Net licensing revenue from the Qurate Agreements totaled $10.47 million and $15.24 million for the current nine months and prior year nine months, respectively, representing approximately 48% and 51% of the Company’s total net revenue for the current nine months and prior year nine months, respectively.</w:t>
      </w:r>
    </w:p>
    <w:p>
      <w:pPr>
        <w:spacing w:after="0" w:line="165" w:lineRule="exact"/>
        <w:rPr>
          <w:rFonts w:ascii="Arial" w:cs="Arial" w:eastAsia="Arial" w:hAnsi="Arial"/>
          <w:sz w:val="17"/>
          <w:szCs w:val="17"/>
          <w:color w:val="auto"/>
        </w:rPr>
      </w:pPr>
    </w:p>
    <w:p>
      <w:pPr>
        <w:jc w:val="both"/>
        <w:ind w:left="720" w:right="79" w:hanging="319"/>
        <w:spacing w:after="0" w:line="263" w:lineRule="auto"/>
        <w:tabs>
          <w:tab w:leader="none" w:pos="7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of September 30, 2022 and December 31, 2021, the Company had receivables from Qurate of $1.45 million and $3.51 million, respectively, representing approximately 22% and 46% of the Company’s total net accounts receivable, respectively.</w:t>
      </w:r>
    </w:p>
    <w:p>
      <w:pPr>
        <w:spacing w:after="0" w:line="179" w:lineRule="exact"/>
        <w:rPr>
          <w:rFonts w:ascii="Arial" w:cs="Arial" w:eastAsia="Arial" w:hAnsi="Arial"/>
          <w:sz w:val="18"/>
          <w:szCs w:val="18"/>
          <w:color w:val="auto"/>
        </w:rPr>
      </w:pPr>
    </w:p>
    <w:p>
      <w:pPr>
        <w:ind w:left="460" w:hanging="410"/>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Accounts receivable are presented on the Company’s condensed consolidated balance sheets net of allowances of $1.26 and $1.09 million as of September 30, 2022 and December 31, 2021, respectively. The Company recognized bad debt expense of $0.08 million in the current quarter, $0.17 million in the current nine months, and $0.13 million in the prior year nine months, but did not recognize any bad debt expense in the prior year quarter.</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of September 30, 2022, approximately $1.62 million of the Company's outstanding receivables were assigned to a third party agent pursuant to a services agreement entered into during the current quarter, under which the Company assigned, for purposes of collection only, the right to collect certain specified receivables on the Company's behalf and solely for the Company's benefit. Under such agreement, the Company retains ownership of such assigned receivables, and receives payment from the agent (less certain fees charged by the agent) upon the agent's collection of the receivables from customers. During the current quarter and current nine months, the Company paid approximately $0.04 million in fees to the agent under the aforementioned services agreement.</w:t>
      </w:r>
    </w:p>
    <w:p>
      <w:pPr>
        <w:spacing w:after="0" w:line="173" w:lineRule="exact"/>
        <w:rPr>
          <w:sz w:val="20"/>
          <w:szCs w:val="20"/>
          <w:color w:val="auto"/>
        </w:rPr>
      </w:pPr>
    </w:p>
    <w:p>
      <w:pPr>
        <w:ind w:left="460" w:hanging="410"/>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an operating lease for its corporate offices and operations facility, as well as certain equipment with a term of 12 months or less.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also has an operating lease for its former retail store location, which was closed in the first quarter of 2022; the Company is currently in the process of negotiating the termination of this lease.</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Company previously had an operating lease for its former office location, which it subleased to a third-party subtenant through February 27, 2022, and the Company’s lease of this office space expired by its terms on February 28, 2022.</w:t>
      </w:r>
    </w:p>
    <w:p>
      <w:pPr>
        <w:spacing w:after="0" w:line="12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As of September 30, 2022, the Company’s real estate leases have remaining lease terms of 5 – 6 years, with a weighted average remaining lease term of approximately 5.2 years and a weighted average discount rate of 6.25%.</w:t>
      </w:r>
    </w:p>
    <w:p>
      <w:pPr>
        <w:spacing w:after="0" w:line="14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6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Lease expense for operating lease payments is generally recognized on a straight-line basis over the lease term. The Company recognizes income from subleases (in which the Company is the sublessor) on a straight-line basis over the term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the sublease, as a reduction to lease expense. Lease expense included in selling, general and administrative expenses on the Company’s unaudited condensed consolidated statements of operations was approximately $0.4 million for both the current quarter and prior year quarter, approximately $1.2 million for the prior year nine months, and approximately $1.0 million for the current nine months.</w:t>
      </w:r>
    </w:p>
    <w:p>
      <w:pPr>
        <w:spacing w:after="0" w:line="187"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Cash paid for amounts included in the measurement of operating lease liabilities was $0.4 million in the current quarter and prior year quarter, $1.3 million in the current nine months, and $1.7 million in the prior year nine months.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the maturities of lease obligations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2022 (October 1 through December 31)</w:t>
            </w: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2025</w:t>
            </w:r>
          </w:p>
        </w:tc>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 (through 2028)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7.</w:t>
            </w:r>
          </w:p>
        </w:tc>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0" w:type="dxa"/>
            <w:vAlign w:val="bottom"/>
            <w:gridSpan w:val="2"/>
            <w:vMerge w:val="continue"/>
          </w:tcPr>
          <w:p>
            <w:pPr>
              <w:spacing w:after="0"/>
              <w:rPr>
                <w:sz w:val="24"/>
                <w:szCs w:val="24"/>
                <w:color w:val="auto"/>
              </w:rPr>
            </w:pPr>
          </w:p>
        </w:tc>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22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24"/>
                <w:szCs w:val="2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Unamortized deferred finance costs related to term loan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636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28,031</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May 31, 2022, the Company used $30.1 million of the proceeds received from the transaction related to the Isaac Mizrahi Brand (see Note 2) to repay all amounts outstanding under the December 30, 2021 term loan agreement with First Eagle Alternative Credit Agent, LLC (“FEAC”), consisting of $28.4 million in principal amount, a $1.4 million prepayment fee, and approximately $0.3 million in interest and related expenses. As a result, the Company recognized a loss on early extinguishment of debt of approximately $2.3 million during the current nine months, consisting of approximately $1.4 million of debt prepayment premium, the immediate write-off of approximately $0.8 million of unamortized deferred finance costs, and approximately $0.1 million of other costs.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Debt (through May 31, 2022)</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December 30, 2021, Xcel, as Borrower, and its wholly-owned subsidiaries, IM Brands, LLC, JR Licensing, LLC, H Licensing, LLC, C Wonder Licensing, LLC, Xcel Design Group, LLC, Judith Ripka Fine Jewelry, LLC, H Heritage Licensing, LLC, Xcel-CT MFG, LLC and Gold Licensing, LLC, as Guarantors (each a “Guarantor” and collectively,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“Guarantors”), entered into a Loan and Security Agreement (the “Loan Agreement”) with FEAC, as lead arranger and as administrative agent and collateral agent for the lenders party to the Loan Agreement, and the financial institutions party thereto as lenders (the “Lenders”). Pursuant to the Loan Agreement, the Lenders made a term loan in the aggregate amount of $29.0 million (the “Term Loan”). The proceeds of the Term Loan were used for the purpose of refinancing existing indebtedness (i.e., previous term loan debt), to pay fees, costs, and expenses incurred in connection with entering into the Loan Agreement, and for working capital purposes.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Upon entering into the Loan Agreement, Xcel paid a 1.75% closing fee to FEAC for the benefit of the Lenders; the Company also paid approximately $0.5 million of various legal and other fees in connection with the execution of the Loan Agreement. These fees and costs totaling approximately $0.97 million were deferred on the Company’s balance sheet as of December 31, 2021 as a reduction of the carrying value of the Term Loan, and commencing in 2022 were being amortized to interest expense over the term of the Term Loan using the effective interest method.</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New Term Loan was to mature on April 14, 2025. Principal on the New Term Loan was payable in quarterly installments of $625,000 on each of March 31, June 30, September 30 and December 31 of each year, commencing on March 31, 2022 and ending on March 31, 2025, with a final payment of $20,875,000 due on the maturity date of April 14, 2025.</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Under the Loan Agreement, Xcel had the right upon thirty (30) days prior written notice to prepay all or any portion of the Term Loan and accrued and unpaid interest thereon. Based on the terms of the Loan Agreement, when the Term Loan was repaid in full on May 31, 2022, Xcel was required to pay a prepayment premium of five percent (5.00%), which amounted to approximately $1.4 million.</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prior year quarter, the Company incurred interest expense (including both interest paid in cash and the amortization of deferred finance costs) related to term loan debt of approximately $0.57 million, and the effective interest rate related to term loan debt was approximately 9.6%.</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current nine months and prior year nine months, the Company incurred interest expense (including both interest paid in cash and the amortization of deferred finance costs) related to term loan debt of approximately $1.19 million and $1.36 million, respectively. The effective interest rate related to term loan debt was approximately 9.8% and 8.4% for the current quarter and prior year quarter, respectively.</w:t>
      </w:r>
    </w:p>
    <w:p>
      <w:pPr>
        <w:spacing w:after="0" w:line="183" w:lineRule="exact"/>
        <w:rPr>
          <w:sz w:val="20"/>
          <w:szCs w:val="20"/>
          <w:color w:val="auto"/>
        </w:rPr>
      </w:pPr>
    </w:p>
    <w:p>
      <w:pPr>
        <w:ind w:left="440" w:hanging="390"/>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4,000,000 shares of common stock are eligible for issuance under the 2021 Plan. 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7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Topic 718, “Compensation - Stock Compensation,” by recognizing the fair value of stock-based compensation as an operating expense over the service period of the award or term of the corresponding contract, as applicable. Forfeitures are accounted for as a reduction of compensation cost in the period when such forfeitures occur. 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Total expense recognized in the current quarter and prior year quarter for all forms of stock-based compensation was approximately $0.05 million and $0.16 million, respectively. Of the current quarter expense amount, substantially all of the expense related to directors and consultants, and all of the current quarter expense was recorded as operating costs in the accompanying condensed consolidated statements of operations. Of the prior year quarter expense amount, all of which was recorded as operating costs in the accompanying condensed consolidated statements of operations, approximately $0.11 million related to employees and approximately $0.05 million related to directors and consultants.</w:t>
      </w:r>
    </w:p>
    <w:p>
      <w:pPr>
        <w:spacing w:after="0" w:line="16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Total expense recognized in the current nine months and prior year nine months for all forms of stock-based compensation was approximately $0.67 million and $0.75 million, respectively. Of the current nine months expense amount, approximately $0.41 million related to employees and approximately $0.26 million related to directors and consultants. Approximately $0.57 million of the current nine months expense was recorded as operating costs, and approximately $0.10 million was recorded as a reduction to other income. Of the prior year nine months expense amount, all of which was recorded as operating costs, approximately $0.63 million related to employees and approximately $0.12 million related to directors and consultants.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5,630,970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605,850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(474,930)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2022, and expected to vest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5,761,890</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2022</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2,048,556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On April 20, 2022, the Company granted options to purchase an aggregate of 380,850 shares of common stock to various employees. The exercise price of the options is $1.62 per share, and all options vested immediately on the date of grant.</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20, 2022 the Company granted options to purchase an aggregate of 125,000 shares of common stock to non-management directors. The exercise price of the options is $1.62 per share, and 50% of the options vest on each of April 20, 2023 and April 20, 2024.</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April 26, 2022, the Company granted options to purchase an aggregate of 100,000 shares of common stock to a consultant. The exercise price of the options is $1.58 per share, and all options vested immediately on the date of grant.</w:t>
      </w:r>
    </w:p>
    <w:p>
      <w:pPr>
        <w:spacing w:after="0" w:line="12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Compensation expense related to stock options for the current quarter and the prior year quarter was approximately $0.03 million and $0.05 million, respectively. Compensation expense related to stock options for the current nine months and the prior year nine months was approximately $0.43 million and $0.25 million, respectively. Total unrecognized compensation expense related to unvested stock options at September 30, 2022 was approximately $0.12 million and is expected to be recognized over a weighted average period of approximately 1.29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non-vested stock options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3,873,334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605,850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(755,850)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Forfeited or Canceled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3,713,334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warrants activity for the current nine months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Life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Outstanding and exercisable at September 30, 2022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116,065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15</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 compensation expense related to warrants was recognized in the current quarter, prior year quarter, current nine months, or prior year nine months.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nine months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4"/>
                <w:szCs w:val="14"/>
                <w:color w:val="auto"/>
              </w:rPr>
            </w:pPr>
          </w:p>
        </w:tc>
        <w:tc>
          <w:tcPr>
            <w:tcW w:w="84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347,623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(820,123)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September 30, 2022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343,333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April 20, 2022, the Company issued an aggregate of 50,000 shares of common stock to non-management directors, which vest evenly over two years, of which 50% shall vest on April 20, 2023, and 50% shall vest on April 20, 2024.</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April 20, 2022, the Company issued 20,064 shares of common stock to a consultant, which vested immediately.</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May 31, 2022, the Company issued 65,275 shares of common stock to a consultant in connection with the transaction related to the Isaac Mizrahi Brand (see Note 2); these shares vested immediately.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May 31, 2022, the Company issued 33,557 shares of common stock to a key employee, which vested immediately.</w:t>
      </w:r>
    </w:p>
    <w:p>
      <w:pPr>
        <w:spacing w:after="0" w:line="24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Additionally, on April 20, 2022, the Company issued 178,727 shares of common stock to a member of senior management as payment for a performance bonus earned in 2021. These shares vested immediately. The Company had previously recognized compensation expense of approximately $0.28 million in 2021 to accrue for this performance bonus.</w:t>
      </w:r>
    </w:p>
    <w:p>
      <w:pPr>
        <w:spacing w:after="0" w:line="14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Compensation expense related to stock awards was approximately $0.02 million for the current quarter and approximately $0.12 million for the prior year quarter. Compensation expense related to stock awards was approximately $0.24 million for the current nine months and approximately $0.51 million for the prior year nine months. Total unrecognized compensation expense related to unvested restricted stock grants at September 30, 2022 was approximately $0.09 million and is expected to be recognized over a weighted average period of approximately 1.25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Equity Incentive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September 30, 2022, there were 3,160,909 shares of common stock available for award grants under the 2021 Plan.</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September 30, 2022, there were 9,038,864 shares of common stock reserved for issuance, including 5,877,955 shares reserved for issuance pursuant to unexercised warrants and stock options, and 3,160,909 shares available for award grants under the 2021 Plan.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60"/>
        <w:spacing w:after="0"/>
        <w:tabs>
          <w:tab w:leader="none" w:pos="34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 The following table is a reconciliation of the numerator and denominator of the basic and diluted net (loss) income per share computations for the three and nine months ended September 30, 2022 and 2021: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4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224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line="201" w:lineRule="exact"/>
              <w:rPr>
                <w:sz w:val="20"/>
                <w:szCs w:val="20"/>
                <w:color w:val="auto"/>
              </w:rPr>
            </w:pPr>
            <w:r>
              <w:rPr>
                <w:rFonts w:ascii="Arial" w:cs="Arial" w:eastAsia="Arial" w:hAnsi="Arial"/>
                <w:sz w:val="18"/>
                <w:szCs w:val="18"/>
                <w:color w:val="auto"/>
              </w:rPr>
              <w:t>Net (loss) income attributable to Xcel Brands, Inc.</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stockholders (in thousands)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Basic weighted average number of shares outstanding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19,624,860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19,541,774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19,624,604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19,418,469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40"/>
              <w:spacing w:after="0"/>
              <w:rPr>
                <w:sz w:val="20"/>
                <w:szCs w:val="20"/>
                <w:color w:val="auto"/>
              </w:rPr>
            </w:pPr>
            <w:r>
              <w:rPr>
                <w:rFonts w:ascii="Arial" w:cs="Arial" w:eastAsia="Arial" w:hAnsi="Arial"/>
                <w:sz w:val="18"/>
                <w:szCs w:val="18"/>
                <w:color w:val="auto"/>
              </w:rPr>
              <w:t>Add: Effect of warrants</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Effect of stock options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140" w:type="dxa"/>
            <w:vAlign w:val="bottom"/>
          </w:tcPr>
          <w:p>
            <w:pPr>
              <w:ind w:left="20"/>
              <w:spacing w:after="0" w:line="182" w:lineRule="exact"/>
              <w:rPr>
                <w:sz w:val="20"/>
                <w:szCs w:val="20"/>
                <w:color w:val="auto"/>
              </w:rPr>
            </w:pPr>
            <w:r>
              <w:rPr>
                <w:rFonts w:ascii="Arial" w:cs="Arial" w:eastAsia="Arial" w:hAnsi="Arial"/>
                <w:sz w:val="18"/>
                <w:szCs w:val="18"/>
                <w:color w:val="auto"/>
              </w:rPr>
              <w:t>Diluted weighted average number of shares</w:t>
            </w: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19,624,860</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19,541,774</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19,752,339</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19,418,469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140" w:type="dxa"/>
            <w:vAlign w:val="bottom"/>
          </w:tcPr>
          <w:p>
            <w:pPr>
              <w:ind w:left="20"/>
              <w:spacing w:after="0"/>
              <w:rPr>
                <w:sz w:val="20"/>
                <w:szCs w:val="20"/>
                <w:color w:val="auto"/>
              </w:rPr>
            </w:pPr>
            <w:r>
              <w:rPr>
                <w:rFonts w:ascii="Arial" w:cs="Arial" w:eastAsia="Arial" w:hAnsi="Arial"/>
                <w:sz w:val="18"/>
                <w:szCs w:val="18"/>
                <w:color w:val="auto"/>
              </w:rPr>
              <w:t>Basic net (loss) income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net (loss) income per share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for the current quarter, prior year quarter, and prior year nine months, the Company calculated diluted EPS using basic weighted average shares outstanding for such periods,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diluted EPS excludes the following potentially dilutive securities because their inclusion would be anti-dilutive: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380" w:type="dxa"/>
            <w:vAlign w:val="bottom"/>
          </w:tcPr>
          <w:p>
            <w:pPr>
              <w:spacing w:after="0"/>
              <w:rPr>
                <w:sz w:val="14"/>
                <w:szCs w:val="14"/>
                <w:color w:val="auto"/>
              </w:rPr>
            </w:pPr>
          </w:p>
        </w:tc>
        <w:tc>
          <w:tcPr>
            <w:tcW w:w="22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2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43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3"/>
                <w:szCs w:val="13"/>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5,761,890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5,810,945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5,514,140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5,810,945</w:t>
            </w: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116,065</w:t>
            </w:r>
          </w:p>
        </w:tc>
        <w:tc>
          <w:tcPr>
            <w:tcW w:w="120" w:type="dxa"/>
            <w:vAlign w:val="bottom"/>
            <w:tcBorders>
              <w:bottom w:val="single" w:sz="8" w:color="CCEEFF"/>
            </w:tcBorders>
          </w:tcPr>
          <w:p>
            <w:pPr>
              <w:spacing w:after="0"/>
              <w:rPr>
                <w:sz w:val="18"/>
                <w:szCs w:val="18"/>
                <w:color w:val="auto"/>
              </w:rPr>
            </w:pPr>
          </w:p>
        </w:tc>
      </w:tr>
      <w:tr>
        <w:trPr>
          <w:trHeight w:val="21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5,877,955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5,927,010</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5,629,140</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5,927,010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left="460" w:hanging="410"/>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estimated annual effective income tax rate for the current quarter and the prior year quarter was approximately 26% and 28%, respectively, resulting in an income tax provision (benefit) of $(1.54) million and $(0.54) million, respectively.</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estimated annual effective income tax rate for the current nine months and the prior year nine months was approximately 62% and 26%, respectively, resulting in an income tax provision (benefit) of $1.64 million and $(2.02) million, respectively.</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and state taxes, which increased the effective tax rate by approximately 5%.</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recurring permanent differences and state taxes, which increased the effective tax rate by approximately 7%.</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nine months, the federal statutory rate differed from the effective tax rate primarily due to recurring permanent differences, state taxes, and the discrete treatment of stock compensation shortfall, which increased the effective tax rate by approximately 41%.</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prior year nine months, the federal statutory rate differed from the effective tax rate primarily due to recurring permanent differences and state taxes, which increased the effective tax rate by approximately 5%.</w:t>
      </w:r>
    </w:p>
    <w:p>
      <w:pPr>
        <w:spacing w:after="0" w:line="166" w:lineRule="exact"/>
        <w:rPr>
          <w:sz w:val="20"/>
          <w:szCs w:val="20"/>
          <w:color w:val="auto"/>
        </w:rPr>
      </w:pPr>
    </w:p>
    <w:p>
      <w:pPr>
        <w:ind w:left="440" w:hanging="390"/>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February 24, 2020, the Company entered into an employment agreement with Isaac Mizrahi, a principal stockholder of the Company, for Mr. Mizrahi to continue to serve as Chief Design Officer of the Isaac Mizrahi Brand. This employment agreement remained in effect through May 31, 2022. On May 31, 2022, this agreement was transferred to IM Topco as part of the transaction in which the Company sold a majority interest in the Isaac Mizrahi Brand trademarks to a third party (see Note 2 for details).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February 24, 2020, the Company also entered into a services agreement with Laugh Club, an entity wholly-owned by Mr. Mizrahi, pursuant to which Laugh Club provided services to Mr. Mizrahi necessary for Mr. Mizrahi to perform his services pursuant to the employment agreement. The Company paid Laugh Club an annual fee of $0.72 million for such services. This services agreement remained in effect through May 31, 2022. On May 31, 2022, this agreement was transferred to IM Topco as part of the transaction in which the Company sold a majority interest in the Isaac Mizrahi Brand trademarks to a third party (see Note 2 for details).</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on May 31, 2022, all 522,500 unvested shares of restricted stock of the Company held by Mr. Mizrahi (for which all stock-based compensation expense had been previously recognized in prior periods) were immediately vested, with 240,000 of such shares being surrendered for cancellation in satisfaction of withholding tax obligations. Also on May 31, 2022, the Company issued 33,557 additional shares of common stock of the Company (valued at $50,000) to Mr. Mizrahi, which vested immediately, and made a $100,000 cash payment to Mr. Mizrahi.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 Topco, LLC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holds a noncontrolling interest in IM Topco, which is accounted for under the equity method of accounting.</w:t>
      </w:r>
    </w:p>
    <w:p>
      <w:pPr>
        <w:spacing w:after="0" w:line="24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May 31, 2022, the Company entered into a services agreement with IM Topco, pursuant to which the Company provides certain design and support services (including assistance with the operations of the interactive television business and related talent support) to IM Topco in exchange for payments of $300,000 per year. For the three and nine months ended September 30, 2022, the Company recognized service fee income related to this agreement of $101,000.</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On May 31, 2022, the Company entered into a license agreement with IM Topco, pursuant to which IM Topco granted the Company a license to use certain Isaac Mizrahi trademarks on and in connection with the design, manufacture, distribution, sale, and promotion of women’s sportswear products in the United States and Canada during the term of the agreement, in exchange for the payment of royalties in connection therewith. The initial term of this agreement ends December 31, 2026, and provides guaranteed royalties to IM Topco of $400,000 per year. For the three and nine months ended September 30, 2022, the Company recognized royalty expense related to this agreement of $92,000 and $123,000, respectively.</w:t>
      </w:r>
    </w:p>
    <w:p>
      <w:pPr>
        <w:spacing w:after="0" w:line="160" w:lineRule="exact"/>
        <w:rPr>
          <w:sz w:val="20"/>
          <w:szCs w:val="20"/>
          <w:color w:val="auto"/>
        </w:rPr>
      </w:pPr>
    </w:p>
    <w:p>
      <w:pPr>
        <w:ind w:left="460" w:hanging="410"/>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Halston Heritage Earn-Out</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connection with the February 11, 2019 purchase of the Halston Heritage trademarks from H Company IP, LLC (“HIP”), the Company agreed to pay HIP additional consideration (the “Halston Heritage Earn-Out”) of up to an aggregate of $6.0 million, based on royalties earned through December 31, 2022. The Halston Heritage Earn-Out of $0.9 million is recorded as a current liability at September 30, 2022 and as a long-term liability at December 31, 2021 in the accompanying condensed consolidated balance sheets, based on the difference between the fair value of the acquired assets of the Halston Heritage trademarks and the total consideration paid. Management estimates that it is highly unlikely the Company will owe any of this contingent obligation at December 31, 2022. In accordance with ASC Topic 480, “Distinguishing Liabilities from Equity,” the Halston Heritage Earn-Out obligation is treated as a liability in the accompanying condensed consolidated balance sheets because of the variable number of shares payable under the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Lori Goldstein Earn-Out</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connection with the April 1, 2021 acquisition of the Lori Goldstein trademarks, the Company agreed to pay the seller additional cash consideration (the “Lori Goldstein Earn-Out”) of up to an aggregate of $12.5 million, based on royalties earned during the six calendar year period commencing in 2021. The Lori Goldstein Earn-Out of $6.6 million is recorded as a liability in the accompanying condensed consolidated balance sheets, based on the difference between the fair value of the acquired assets of the Lori Goldstein brand and the total consideration paid, in accordance with the guidance in ASC Subtopic 805-50. At September 30, 2022, $1.6 million of the balance is recorded as a current liability and $5.0 million is recorded as a long-term liability; at December 31, 2021, the entire balance was recorded as a long-term liability.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Isaac Mizrahi Transaction</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connection with the May 31, 2022 transaction related to the sale of a majority interest in the Isaac Mizrahi Brand (see Note 2), the Company has agreed with WHP that, in the event that IM Topco receives less than $13.3 million in aggregate royalties for any four consecutive calendar quarters over a three-year period ending on May 31, 2025, WHP will be entitled to receive from the Company up to $16 million, less all amounts of net cash flow distributed to WHP on an accumulated basis, as an adjustment to the purchase price previously paid by WHP. Such amount would be payable by the Company in either cash or equity interests in IM Topco held by the Company. No amount has been recorded in the accompanying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condensed consolidated balance sheets related to this contingent obligation, and management believes the likelihood of any such payment is remote.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From time to time, the Company becomes involved in legal claims and litigation in the ordinary course of business. In the opinion of management, based on consultations with legal counsel, the disposition of litigation currently pending against the Company is unlikely to have, individually or in the aggregate, a materially adverse effect on the Company’s business, financial position, results of operations, or cash flows.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circulate throughout the U.S. and the world. The COVID-19 pandemic (including actions taken by national, state, and local governments in response to COVID-19) has negatively impacted the U.S. and global economy, disrupted consumer spending and global supply chains, and created significant volatility and disruption of financial markets.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COVID-19 has had, and continues to have, a significant negative impact on the Company’s business. The initial onset of the pandemic in 2020 resulted in a sudden decrease in sales for many of the Company’s products, from which the Company has yet to fully recover. Additionally, COVID-19 has also impacted, and continues to impact, the Company’s supply chain partners, including third party manufacturers, logistics providers, and other vendors, as well as the supply chains of its licensees. These supply chains have experienced, and may continue to experience in the future, disruptions as a result of closed factories, factories operating with a reduced workforce, or other logistics constraints, including vessel, container and other transportation shortages, labor shortages, and port congestion.</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Due to the ongoing COVID-19 pandemic, there is significant uncertainty surrounding the Company’s future results of operations and cash flows. Continued impacts of the pandemic could materially adversely affect the Company’s near-term and long-term revenues, earnings, liquidity,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1"/>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i w:val="1"/>
          <w:iCs w:val="1"/>
          <w:color w:val="auto"/>
        </w:rPr>
        <w:t xml:space="preserve">Safe Harbor Statement under the Private Securities Litigation Reform Act of 1995. </w:t>
      </w:r>
      <w:r>
        <w:rPr>
          <w:rFonts w:ascii="Arial" w:cs="Arial" w:eastAsia="Arial" w:hAnsi="Arial"/>
          <w:sz w:val="17"/>
          <w:szCs w:val="17"/>
          <w:color w:val="auto"/>
        </w:rPr>
        <w:t>The statements that are not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facts contained in this report are 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Factors section of our Form 10-K for the fiscal year ended December 31, 2021, as filed with the SEC on April 15, 2022.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Xcel Brands, Inc. (“Xcel,” the “Company,” “we,” “us,” or “our”)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Xcel was founded in 2011 with a vision to reimagine shopping, entertainment, and social media as one thing. Currently, the Company’s brand portfolio includes wholly owned brands – the LOGO by Lori Goldstein brand (the “Lori Goldstein Brand”), the Halston brand (the "Halston Brand"), the Judith Ripka brand (the "Ripka Brand"), the C Wonder brand (the "C Wonder Brand"), and other proprietary brands – and brands partially-owned through business ventures with third parties – the Longaberger brand (the “Longaberger Brand”) and the Isaac Mizrahi brand (the "Isaac Mizrahi Brand"). Xcel continues to pioneer a true omni-channel sales strategy which includes the promotion and sale of products under its brands through interactive television, digital live-stream shopping, brick-and-mortar retail, wholesale, and e-commerce channels to be everywhere its customers shop.</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grow our brands, we are focused on the following primary strategies:</w:t>
      </w:r>
    </w:p>
    <w:p>
      <w:pPr>
        <w:spacing w:after="0" w:line="170" w:lineRule="exact"/>
        <w:rPr>
          <w:sz w:val="20"/>
          <w:szCs w:val="20"/>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distribution and/or licensing of our brands for sale through interactive television (i.e., QVC, HSN, The Shopping Channel, TVSN, etc.);</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direct-to-consumer distribution of our brands through e-commerce and live streaming;</w:t>
      </w:r>
    </w:p>
    <w:p>
      <w:pPr>
        <w:spacing w:after="0" w:line="225"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licensing our brands to manufacturers and retailers for promotion and distribution through e-commerce, social commerce, and traditional brick-and-mortar retail channels whereby we provide certain design services; and</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and leveraging our operating infrastructure and distribution relationships.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1040" w:right="79" w:hanging="31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experience in, and relationships within the industry;</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 and related technology platforms;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Three months ended September 30, 2022 (the “current quarter”) compared with the three months ended September 30, 2021 (the “prior year quarter”)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Current quarter net revenue decreased approximately $6.8 million to $4.5 million from $11.3 million for the prior year quarter.</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licensing revenue decreased by approximately $4.7 million in the current quarter to $2.2 million, compared with $6.9 million in the prior year quarter. This decrease in licensing revenue was primarily attributable to the May 31, 2022 sale of a majority interest in the Isaac Mizrahi brand through the sale of a 70% interest in IM Topco, LLC to WHP. Since the closing of such sale, we no longer record Isaac Mizrahi brand licensing revenue as part of our revenues.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decreased by approximately $2.1 million in the current quarter to $2.3 million, compared with $4.4 million in the prior year quarter. This decrease in net sales was primarily attributable to declines in apparel wholesale revenue and, to a lesser extent, in wholesale jewelry sales, mainly driven by a combination of retailers pausing on purchases triggered by excess inventory levels, and the temporary closing of overseas factories due to COVID-19, causing delays in product delivery resulting in cancelled orders.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quarter cost of goods sold was $1.5 million, compared with $2.9 million for the prior year quarter.</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 margin from net product sales (net sales less cost of goods sold, divided by net sales) increased from approximately 35% in the prior year quarter to approximately 37% in the current quarter.</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Gross profit (net revenue less cost of goods sold) decreased approximately $5.4 million to $3.0 million from $8.4 million in the prior year quarter, primarily driven by the aforementioned decrease in net licensing revenue, and also by the aforementioned decline in the wholesale business.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Operating costs and expenses decreased approximately $1.0 million from $9.7 million in the prior year quarter to $8.7 million in the current quarter. This decrease was primarily attributable to lower salaries, benefits and employment costs, driven by the May 31, 2022 sale of a majority interest in the Isaac Mizrahi brand, and the transfer of the employees associated with the Isaac Mizrahi brand to the IM Topco, LLC business venture.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account for our interest in the ongoing operations of IM Topco, LLC using the equity method of accounting. We recognized an equity method loss of $0.28 million related to our investment for the current quarter, based on the distribution provisions set forth in the related business venture agreement.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(Income) Expense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Interest and finance (income) expense for the current quarter was $0.0 million, compared with $0.6 million for the prior year quarter. This decrease was primarily attributable to the May 31, 2022 repayment of all of our outstanding term loan debt.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estimated annual effective income tax rate for the current quarter and the prior year quarter was approximately 26% and 28%, respectively, resulting in an income tax benefit of $1.54 million and $0.54 million, respectively.</w:t>
      </w:r>
    </w:p>
    <w:p>
      <w:pPr>
        <w:spacing w:after="0" w:line="14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quarter, the federal statutory rate differed from the effective tax rate primarily due to recurring permanent differences and state taxes, which increased the effective tax rate by approximately 5%.</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prior year quarter, the federal statutory rate differed from the effective tax rate primarily due to recurring permanent differences and state taxes, which increased the effective tax rate by approximately 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 Attributable to Xcel Brands, Inc. Stockholders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$4.0 million for the current quarter, compared with a net loss of $1.1 million for the prior year quarter,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had a non-GAAP net loss of approximately $3.3 million, or $0.17 per diluted share (“non-GAAP diluted EPS”), for the current quarter and non-GAAP net income of $0.01 million, or $0.00 per diluted share, for the prior year quarter. Non-GAAP net (loss) income is a non-GAAP unaudited term, which we define as net (loss) income attributable to Xcel Brands, Inc. stockholders, exclusive of amortization of trademarks, our proportional share of trademark amortization of equity method investees, stock-based compensation, loss on extinguishment of debt, gain on sales of assets, gain on reduction of contingent obligations, costs (recoveries) in connection with potential acquisitions, certain adjustments to the provision for doubtful accounts related to the bankruptcy of and economic impact on certain retail customers due to the COVID-19 pandemic, asset impairments, and income taxes. Non-GAAP net income and non-GAAP diluted EPS measures do not include the tax effect of the aforementioned adjusting items, due to the nature of these items and the Company’s tax strategy.</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We had Adjusted EBITDA of approximately $(2.9) million for the current quarter, compared with approximately $1.0 million for the prior year quarter. Adjusted EBITDA is a non-GAAP unaudited measure, which we define as net (loss) income attributable to Xcel Brands, Inc. stockholders before depreciation and amortization, our proportional share of trademark amortization of equity method investees,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gain on sales of assets, and certain adjustments to the provision for doubtful accounts related to the bankruptcy of and economic impact on certain retail customers due to the COVID-19 pandemic.</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7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other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non-GAAP net (loss)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19,624,860</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20,323,358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4"/>
          </w:tcPr>
          <w:p>
            <w:pPr>
              <w:jc w:val="right"/>
              <w:ind w:right="167"/>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8"/>
              </w:rPr>
              <w:t>Proportional share of trademark amortization of equity method investee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Interest and finance (income) expense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State and local franchise taxes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Nine months ended September 30, 2022 (the “current nine months”) compared with the nine months ended September 30, 2021 (the “prior year nine months”)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Current nine months net revenue decreased approximately $8.1 million to $21.7 million from $29.8 million for the prior year nine months.</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licensing revenue decreased by approximately $4.1 million in the current nine months to $13.3 million, compared with $17.4 million in the prior year nine months. This decrease in licensing revenue was primarily attributable to the May 31, 2022 sale of a majority interest in the Isaac Mizrahi brand through the sale of a 70% interest in IM Topco, LLC to WHP, partially offset by increased licensing revenue generated by the Lori Goldstein brand, which we acquired on April 1, 2021.</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sales decreased by approximately $4.0 million in the current nine months to $8.4 million, compared with $12.4 million in the prior year nine months. This decrease in net sales was primarily attributable to declines in apparel wholesale revenue and, to a lesser extent, in wholesale jewelry sales, mainly driven by the previously mentioned retailer inventory levels and delays in product deliveries and canceled sales orders.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nine months cost of goods sold was $5.7 million, compared with $7.8 million for the prior year nine months.</w:t>
      </w:r>
    </w:p>
    <w:p>
      <w:pPr>
        <w:spacing w:after="0" w:line="23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 margin from net product sales (net sales less cost of goods sold, divided by net sales) declined from approximately 38% in the prior year nine months to approximately 32% in the current nine months, primarily due to selling-off of seasoned apparel inventory during the earlier portion of 2022 and inventory write-downs related to cancelled sales orders.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Gross profit (net revenue less cost of goods sold) decreased approximately $4.1 million to $16.0 million from $22.1 million in the prior year nine months, primarily driven by the aforementioned decrease in net licensing revenue.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Operating costs and expenses increased approximately $2.6 million from $27.6 million in the prior year nine months to $30.2 million in the current nine months. This increase was primarily driven by the combination of (i) costs associated with the Lori Goldstein brand acquired on April 1, 2021 (including salaries, benefits and employment taxes as well as increased trademark amortization expense), (ii) $1.0 million of bonuses awarded to senior management related to the May 31, 2022 sale of a majority interest in the Isaac Mizrahi brand, and (iii) higher shipping and logistics costs, as well as cost increases from other service providers and vendors due to the current inflationary economic environment.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recognized a gain on the sale of a majority interest in the Isaac Mizrahi brand in the current nine months of approximately $20.6 million, which was comprised of $46.2 million of cash proceeds plus the recognition of the fair value of our retained interest in the brand of $19.8 million, less $0.9 million of fees and expenses directly related to the transaction and the derecognition of the brand trademarks previously recorded on our balance sheet of $44.5 million.</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account for our interest in the ongoing operations of IM Topco, LLC using the equity method of accounting. We recognized an equity method loss of $0.28 million related to our investment for the current nine months, based on the distribution provisions set forth in the related business venture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(Income) Expense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Interest and finance expense for the current nine months was $3.5 million, compared with $2.3 million for the prior year nine months. This increase was primarily attributable to a higher loss on early extinguishment of debt as a result of the May 31, 2022 repayment of all of our outstanding term loan debt in the current nine months compared with a smaller loss on early extinguishment of debt incurred in the prior year nine months as a result of the April 14, 2021 term loan debt refinancing. This was partially offset by the fact that we had no interest expense in the current quarter, as all of our outstanding term loan was repaid on May 31, 2022 and we have not incurred any new debt.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estimated annual effective income tax rate for the current nine months and the prior year nine months was approximately 62% and 26%, respectively, resulting in an income tax provision (benefit) of $1.64 million and $(2.02) million,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the current nine months, the federal statutory rate differed from the effective tax rate primarily due to recurring permanent differences, state taxes, and the discrete treatment of stock compensation shortfall, which increased the effective tax rate by approximately 41%.</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prior year nine months, the federal statutory rate differed from the effective tax rate primarily due to recurring permanent differences and state taxes, which increased the effective tax rate by approximately 5%.</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Income Attributable to Xcel Brands, Inc. Stockholders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net income of $2.0 million for the current nine months, compared with a net loss of $5.2 million for the prior year nine months, due to the combination of the factors outlined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(Loss) Income, Non-GAAP Diluted EPS, and Adjusted EBITDA</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non-GAAP net loss of approximately $8.8 million, or $0.45 per diluted share, for the current nine months and a non-GAAP net loss of $1.6 million, or $0.08 per diluted share, for the prior year nine months.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had Adjusted EBITDA of approximately $(6.6) million for the current nine months, compared with approximately $1.0 million for the prior year nine months.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income (loss) attributable to Xcel Brands, Inc. stockholders (our most directly comparable financial measure presented in accordance with GAAP) to non-GAAP net income: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6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Xcel Brands, Inc. stockholders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Amortization of trademarks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(20,608)</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Non-GAAP net (loss)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3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diluted earnings (loss) per share (our most directly comparable financial measure presented in accordance with GAAP) to non-GAAP diluted EPS: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27"/>
              <w:spacing w:after="0" w:line="149" w:lineRule="exact"/>
              <w:rPr>
                <w:sz w:val="20"/>
                <w:szCs w:val="20"/>
                <w:color w:val="auto"/>
              </w:rPr>
            </w:pPr>
            <w:r>
              <w:rPr>
                <w:rFonts w:ascii="Arial" w:cs="Arial" w:eastAsia="Arial" w:hAnsi="Arial"/>
                <w:sz w:val="14"/>
                <w:szCs w:val="14"/>
                <w:b w:val="1"/>
                <w:bCs w:val="1"/>
                <w:color w:val="auto"/>
              </w:rPr>
              <w:t>September 30,</w:t>
            </w: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59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Amortization of trademarks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28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diluted EPS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8"/>
                <w:szCs w:val="18"/>
                <w:color w:val="auto"/>
              </w:rPr>
              <w:t>Non-GAAP weighted average diluted shares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19,624,604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19,418,469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income (loss) attributable to Xcel Brands, Inc. stockholders (our most directly comparable financial measure presented in accordance with GAAP)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2"/>
                <w:szCs w:val="12"/>
                <w:color w:val="auto"/>
              </w:rPr>
            </w:pPr>
          </w:p>
        </w:tc>
        <w:tc>
          <w:tcPr>
            <w:tcW w:w="1860" w:type="dxa"/>
            <w:vAlign w:val="bottom"/>
            <w:gridSpan w:val="3"/>
          </w:tcPr>
          <w:p>
            <w:pPr>
              <w:jc w:val="right"/>
              <w:ind w:right="150"/>
              <w:spacing w:after="0" w:line="149" w:lineRule="exact"/>
              <w:rPr>
                <w:sz w:val="20"/>
                <w:szCs w:val="20"/>
                <w:color w:val="auto"/>
              </w:rPr>
            </w:pPr>
            <w:r>
              <w:rPr>
                <w:rFonts w:ascii="Arial" w:cs="Arial" w:eastAsia="Arial" w:hAnsi="Arial"/>
                <w:sz w:val="14"/>
                <w:szCs w:val="14"/>
                <w:b w:val="1"/>
                <w:bCs w:val="1"/>
                <w:color w:val="auto"/>
              </w:rPr>
              <w:t>September 30,</w:t>
            </w: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Xcel Brands, Inc. stockholders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Proportional share of trademark amortization of equity method investee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3,505</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Certain adjustments to provision for doubtful accounts</w:t>
            </w: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(20,608)</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26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As of September 30, 2022 and December 31, 2021, our cash and cash equivalents were approximately $8.4 million and $4.5 million, respectively.</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Restricted cash at December 31, 2021 was approximately $0.7 million, and consisted of cash deposited as collateral for an irrevocable standby letter of credit associated with the lease of our corporate office and operating facility. There was no restricted cash at September 30, 2022, as the aforementioned letter of credit had expired and was not renewed.</w:t>
      </w:r>
    </w:p>
    <w:p>
      <w:pPr>
        <w:spacing w:after="0" w:line="14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We expect that existing cash and operating cash flows will be adequate to meet our operating and capital expenditure needs for at least the 12 months subsequent to the filing date of this Quarterly Report on Form 10-Q.</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Our working capital (current assets less current liabilities, excluding the current portion of operating lease obligations and any contingent obligations payable in common stock) was $13.7 million and $7.9 million as of September 30, 2022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December 31, 2021, respectively. This increase in working capital was primarily attributable to the net proceeds received from the May 31, 2022 sale of a majority interest in the Isaac Mizrahi brand to WHP, partially offset by the full repayment of all of our term loan debt in the second quarter of 2022, and operating costs paid during the third quarter of 2022.</w:t>
      </w:r>
    </w:p>
    <w:p>
      <w:pPr>
        <w:spacing w:after="0" w:line="14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Commentary on the components of our cash flows for the current nine months as compared with the prior year nine months is set forth below.</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used in operating activities was approximately $11.03 million in the current nine months, compared with approximately $5.53 million in the prior year nine months.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current nine months cash used in operating activities was primarily attributable to the combination of the net income of $1.02 million plus non-cash items of approximately $(11.30) million and the net change in operating assets and liabilities of approximately $(0.75) million. Non-cash items were primarily comprised of a $(20.61) million net gain on the sale of the assets of the Isaac Mizrahi brand, $5.45 million of depreciation and amortization, $0.57 million of stock-based compensation, a $2.32 million loss on extinguishment of debt, and $0.36 million of deferred taxes. The net change in operating assets and liabilities was primarily comprised of an increase in inventory of $(0.51) million, decreases in various operating liabilities of $(0.80) million, and changes in lease-related assets and liabilities of $(0.20) million, partially offset by a decrease in accounts receivable of $0.75 million.</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prior year nine months cash used in operating activities was primarily attributable to the combination of the net loss of $(5.80) million plus non-cash expenses of approximately $4.85 million and the net change in operating assets and liabilities of approximately $(4.58) million. Non-cash net expenses were primarily comprised of $4.95 million of depreciation and amortization, $0.75 million of stock-based compensation, $0.13 million of bad debt expense, $0.21 million of amortization of deferred finance costs, a $0.82 million loss on extinguishment of debt, and a deferred income tax benefit of $(2.02) million. The net change in operating assets and liabilities was primarily comprised of an increase in inventory of $(2.21) million and an increase in accounts receivable of $(2.19) million.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Net cash provided by investing activities for the current nine months was approximately $45.17 million, and was predominantly attributable to $45.41 million of net proceeds from the sale of a majority interest in the Isaac Mizrahi brand to WHP, partially offset by approximately $0.24 million of capital expenditures.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investing activities for the prior year nine months was approximately $4.75 million, which was primarily attributable to the acquisition of the Lori Goldstein brand on April 1, 2021, and, to a lesser extent, capital expenditures relating to the fit-out and furnishing of our Judith Ripka fine jewelry retail store (which opened in the second quarter of 2021 and was subsequently closed in the first quarter of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current nine months was approximately $30.95 million, which mainly consisted of $29.00 million of repayments of our term loan debt, and, to a lesser extent, $1.51 million of prepayment and other fees associated with the extinguishment of debt, as well as $0.44 million of shares repurchased related to withholding taxes on vested restricted stock.</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Net cash provided by financing activities for the prior year nine months was approximately $8.93 million, and was primarily attributable to $25.0 million of proceeds from term loan debt entered into on April 14, 2021, as well as $2.5 million of proceeds drawn from a revolving loan facility. Also contributing to cash inflows from financing activities was a $1.0 million capital contribution in Longaberger Licensing, LLC by the non-controlling interest holder. Partially offsetting these proceeds were $(16.75) million paid on the balance of previous term loan debt, $(0.37) million of fees paid to the previous debtholders in connection with the extinguishment of previous term loan debt, $(1.20) million of deferred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finance costs paid in connection with the April 14, 2021 term loan, and $(1.25) million of scheduled principal payments made under the April 14, 2021 term loan.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products being produced and licensed under our brands. We plan to continue to diversify the distribution channels within which products are sold, in an effort to reduce dependence on any particular retailer, consumer, or market sector within each of our brands. The Lori Goldstein brand, Halston brand, C Wonder brand, and Isaac Mizrahi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While the recent sale of a majority interest in the Isaac Mizrahi brand is expected to result in a short-term decrease in our revenues, as that brand represented a significant portion of our historical revenues, we will seek to replace those revenues in the long-term with new strategic business initiatives. The proceeds from the sale, as well as the continuing cash flows from our retained interest in the Isaac Mizrahi brand, are expected to help fuel various strategic initiatives as we concentrate our resources on growing our brands, new brand launches, and investing in livestreaming technology platforms and partnerships.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continue to work towards expanding our wholesale and e-commerce businesses, and complement these operations with our licensing business. In addition, we continue to seek new opportunities, including expansion through interactive television, live streaming, our design, production and supply chain platform, additional domestic and international licensing arrangements, and acquiring additional brands.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However, the impacts of the ongoing COVID-19 pandemic (including actions taken by national, state, and local governments in response to COVID-19) has negatively impacted the U.S. and global economy, disrupted consumer spending and global supply chains, and created significant volatility and disruption of financial markets. More specifically, COVID-19 has had, and continues to have, a significant negative impact on our business. The initial onset of the pandemic in 2020 resulted in a sudden decrease in sales for many of the Company’s products, from which we have yet to fully recover. The global pandemic has affected the financial health of certain of our customers, and the bankruptcy of certain other customers; as a result, we continue to recognize an allowance for doubtful accounts of approximately $1.3 million as of September 30, 2022, and may be required to make additional adjustments for doubtful accounts which would increase our operating expenses in future periods and negatively impact our operating results. Due to the ongoing COVID-19 pandemic, there is significant uncertainty surrounding the Company’s future results of operations and cash flows. Continued impacts of the pandemic could materially adversely affect the Company’s near-term and long-term revenues, earnings, liquidity, and cash flows.</w:t>
      </w:r>
    </w:p>
    <w:p>
      <w:pPr>
        <w:spacing w:after="0" w:line="17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the global shipping industry continues to face challenges related to port delays and tight availability for carriers and containers. This situation has negatively impacted our supply chain partners, including third party manufacturers, logistics providers, and other vendors, as well as the supply chains of our licensees, and has resulted in increased cost of supply and freight costs for us and our licensees. Such higher costs are currently expected to continue for the remainder of 2022, if not longer.</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the cost of raw materials, labor, manufacturing, energy, fuel, shipping and logistics, and other inputs related to the production and distribution of our products have increased and may continue to increase unexpectedly. Beginning in the first quarter of 2022, input costs increased significantly. We expect the pressures of input cost inflation to continue for the remainder of 2022, if not through 2023. We may not be able to mitigate the impact of inflation and cost increases or pass these costs along to our customers.</w:t>
      </w:r>
    </w:p>
    <w:p>
      <w:pPr>
        <w:spacing w:after="0" w:line="188"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Also,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long-term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2021, filed with the SEC on April 15, 2022, for a discussion of our critical accounting policies and estimates.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three and nine months ended September 30, 2022, there were no material changes to our accounting policies.</w:t>
      </w:r>
    </w:p>
    <w:p>
      <w:pPr>
        <w:spacing w:after="0" w:line="24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2022, the end of the period covered by this report. Based on, and as of the date of such evaluation, the Chief Executive Officer and the Chief Financial Officer have concluded that our disclosure controls and procedures were effective as of September 30, 2022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during the fiscal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8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2021 are not the only risks we face. Additional risks and uncertainties not currently known to us or that we currently deem to be immaterial also may materially adversely affect our financial condition and/or operating results.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have identified the following risk as a material change from the risk factors previously disclosed in our Annual Report on Form 10-K for the year ended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 and/or a potential recession could adversely impact our business and results of operations.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Many of the components of our cost of goods sold are subject to price increases that are attributable to factors beyond our control, including but not limited to, global economic conditions, trade barriers or restrictions, supply chain disruptions, changes in crop size, product scarcity, demand dynamics, currency rates, water supply, weather conditions, import and export requirements, and other factors. The cost of raw materials, labor, manufacturing, energy, fuel, shipping and logistics, and other inputs related to the production and distribution of our products have increased and may continue to increase unexpectedly.</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Beginning in the first quarter of 2022, input costs increased significantly. We expect the pressures of input cost inflation to continue for the remainder of 2022, if not through 2023. We may not be able to mitigate the impact of inflation and cost increases or pass these costs along to our customers.</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84"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There were no sales of unregistered or registered securities during the three months ended September 30, 2022.</w:t>
      </w:r>
    </w:p>
    <w:p>
      <w:pPr>
        <w:spacing w:after="0" w:line="23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herewith:</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31.1 Rule 13a-14(a)/15d-14(a) Certification (CEO)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31.2 Rule 13a-14(a)/15d-14(a) Certification (CFO)</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32.1 Section 1350 Certification (CEO)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0000EE"/>
        </w:rPr>
        <w:t>32.2 Section 1350 Certification (CFO)</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101.INS Inline XBRL Instance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101.SCH Inline XBRL Taxonomy Extension Schema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101.DEF Inline XBRL Taxonomy Extension Definitions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5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November 14, 2022</w:t>
            </w: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240" w:type="dxa"/>
            <w:vAlign w:val="bottom"/>
          </w:tcPr>
          <w:p>
            <w:pPr>
              <w:spacing w:after="0"/>
              <w:rPr>
                <w:sz w:val="24"/>
                <w:szCs w:val="24"/>
                <w:color w:val="auto"/>
              </w:rPr>
            </w:pPr>
          </w:p>
        </w:tc>
        <w:tc>
          <w:tcPr>
            <w:tcW w:w="1800" w:type="dxa"/>
            <w:vAlign w:val="bottom"/>
          </w:tcPr>
          <w:p>
            <w:pPr>
              <w:ind w:left="1380"/>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Haran</w:t>
            </w:r>
          </w:p>
        </w:tc>
      </w:tr>
      <w:tr>
        <w:trPr>
          <w:trHeight w:val="195"/>
        </w:trPr>
        <w:tc>
          <w:tcPr>
            <w:tcW w:w="3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40" w:type="dxa"/>
            <w:vAlign w:val="bottom"/>
          </w:tcPr>
          <w:p>
            <w:pPr>
              <w:ind w:left="20"/>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Title: Chief Financial Officer and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8800"/>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14, 2022</w:t>
      </w:r>
      <w:r>
        <w:rPr>
          <w:sz w:val="20"/>
          <w:szCs w:val="20"/>
          <w:color w:val="auto"/>
        </w:rPr>
        <w:tab/>
      </w:r>
      <w:r>
        <w:rPr>
          <w:rFonts w:ascii="Arial" w:cs="Arial" w:eastAsia="Arial" w:hAnsi="Arial"/>
          <w:sz w:val="16"/>
          <w:szCs w:val="16"/>
          <w:color w:val="auto"/>
        </w:rPr>
        <w:t>By: /s/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571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ind w:left="8800"/>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15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September 30, 2022 of Xcel Brands, Inc. (the “Company”).</w:t>
      </w:r>
    </w:p>
    <w:p>
      <w:pPr>
        <w:spacing w:after="0" w:line="207" w:lineRule="exact"/>
        <w:rPr>
          <w:rFonts w:ascii="Arial" w:cs="Arial" w:eastAsia="Arial" w:hAnsi="Arial"/>
          <w:sz w:val="16"/>
          <w:szCs w:val="16"/>
          <w:color w:val="auto"/>
        </w:rPr>
      </w:pPr>
    </w:p>
    <w:p>
      <w:pPr>
        <w:jc w:val="both"/>
        <w:ind w:firstLine="8"/>
        <w:spacing w:after="0" w:line="263" w:lineRule="auto"/>
        <w:tabs>
          <w:tab w:leader="none" w:pos="1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jc w:val="both"/>
        <w:ind w:firstLine="8"/>
        <w:spacing w:after="0" w:line="263" w:lineRule="auto"/>
        <w:tabs>
          <w:tab w:leader="none" w:pos="1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3" w:lineRule="exact"/>
        <w:rPr>
          <w:rFonts w:ascii="Arial" w:cs="Arial" w:eastAsia="Arial" w:hAnsi="Arial"/>
          <w:sz w:val="18"/>
          <w:szCs w:val="18"/>
          <w:color w:val="auto"/>
        </w:rPr>
      </w:pPr>
    </w:p>
    <w:p>
      <w:pPr>
        <w:jc w:val="both"/>
        <w:ind w:firstLine="8"/>
        <w:spacing w:after="0" w:line="291" w:lineRule="auto"/>
        <w:tabs>
          <w:tab w:leader="none" w:pos="1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sz w:val="20"/>
          <w:szCs w:val="20"/>
          <w:color w:val="auto"/>
        </w:rPr>
      </w:pPr>
    </w:p>
    <w:p>
      <w:pPr>
        <w:jc w:val="both"/>
        <w:ind w:firstLine="8"/>
        <w:spacing w:after="0" w:line="263" w:lineRule="auto"/>
        <w:tabs>
          <w:tab w:leader="none" w:pos="2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right="20" w:firstLine="8"/>
        <w:spacing w:after="0" w:line="263"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firstLine="8"/>
        <w:spacing w:after="0" w:line="342" w:lineRule="auto"/>
        <w:tabs>
          <w:tab w:leader="none" w:pos="18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8"/>
        <w:spacing w:after="0" w:line="263" w:lineRule="auto"/>
        <w:tabs>
          <w:tab w:leader="none" w:pos="1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43" w:lineRule="exact"/>
        <w:rPr>
          <w:sz w:val="20"/>
          <w:szCs w:val="20"/>
          <w:color w:val="auto"/>
        </w:rPr>
      </w:pPr>
    </w:p>
    <w:p>
      <w:pPr>
        <w:ind w:firstLine="8"/>
        <w:spacing w:after="0" w:line="308" w:lineRule="auto"/>
        <w:tabs>
          <w:tab w:leader="none" w:pos="18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firstLine="8"/>
        <w:spacing w:after="0" w:line="277" w:lineRule="auto"/>
        <w:tabs>
          <w:tab w:leader="none" w:pos="21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8"/>
          <w:szCs w:val="18"/>
          <w:color w:val="auto"/>
        </w:rPr>
        <w:t>November 14, 2022</w:t>
      </w:r>
      <w:r>
        <w:rPr>
          <w:sz w:val="20"/>
          <w:szCs w:val="20"/>
          <w:color w:val="auto"/>
        </w:rPr>
        <w:tab/>
      </w:r>
      <w:r>
        <w:rPr>
          <w:rFonts w:ascii="Arial" w:cs="Arial" w:eastAsia="Arial" w:hAnsi="Arial"/>
          <w:sz w:val="16"/>
          <w:szCs w:val="16"/>
          <w:color w:val="auto"/>
        </w:rPr>
        <w:t>By:  /s/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23495</wp:posOffset>
            </wp:positionV>
            <wp:extent cx="25114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657860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2022 as filed with the Securities and Exchange Commission on the date hereof (the “Report”), I, Robert W. D’Loren,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5340" w:val="left"/>
          <w:tab w:leader="none" w:pos="5860" w:val="left"/>
        </w:tabs>
        <w:rPr>
          <w:sz w:val="20"/>
          <w:szCs w:val="20"/>
          <w:color w:val="auto"/>
        </w:rPr>
      </w:pP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23495</wp:posOffset>
            </wp:positionV>
            <wp:extent cx="2434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 Robert W. D’Loren</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Xcel Brands, Inc. (the “Company”) on Form 10-Q for the period ended September 30, 2022 as filed with the Securities and Exchange Commission on the date hereof (the “Report”), I, James Haran, certify, pursuant to 18 U.S.C. Section 1350, as adopted pursuant to Section 906 of the Sarbanes-Oxley Act of 2002, that, to my knowledge:</w:t>
      </w:r>
    </w:p>
    <w:p>
      <w:pPr>
        <w:spacing w:after="0" w:line="16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60" w:firstLine="8"/>
        <w:spacing w:after="0" w:line="277" w:lineRule="auto"/>
        <w:tabs>
          <w:tab w:leader="none" w:pos="2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3520" w:val="left"/>
          <w:tab w:leader="none" w:pos="3960" w:val="left"/>
        </w:tabs>
        <w:rPr>
          <w:sz w:val="20"/>
          <w:szCs w:val="20"/>
          <w:color w:val="auto"/>
        </w:rPr>
      </w:pPr>
      <w:r>
        <w:rPr>
          <w:rFonts w:ascii="Arial" w:cs="Arial" w:eastAsia="Arial" w:hAnsi="Arial"/>
          <w:sz w:val="18"/>
          <w:szCs w:val="18"/>
          <w:color w:val="auto"/>
        </w:rPr>
        <w:t>November 14,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23495</wp:posOffset>
            </wp:positionV>
            <wp:extent cx="25717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Name: James Haran</w:t>
      </w:r>
    </w:p>
    <w:p>
      <w:pPr>
        <w:spacing w:after="0" w:line="5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Title: Chief Financial Officer and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lowerRoman"/>
      <w:start w:val="1"/>
    </w:lvl>
  </w:abstractNum>
  <w:abstractNum w:abstractNumId="6">
    <w:nsid w:val="431BD7B7"/>
    <w:multiLevelType w:val="hybridMultilevel"/>
    <w:lvl w:ilvl="0">
      <w:lvlJc w:val="left"/>
      <w:lvlText w:val="(%1)"/>
      <w:numFmt w:val="lowerRoman"/>
      <w:start w:val="2"/>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1."/>
      <w:numFmt w:val="decimal"/>
      <w:start w:val="4"/>
    </w:lvl>
    <w:lvl w:ilvl="1">
      <w:lvlJc w:val="left"/>
      <w:lvlText w:val="●"/>
      <w:numFmt w:val="bullet"/>
      <w:start w:val="1"/>
    </w:lvl>
  </w:abstractNum>
  <w:abstractNum w:abstractNumId="11">
    <w:nsid w:val="436C6125"/>
    <w:multiLevelType w:val="hybridMultilevel"/>
    <w:lvl w:ilvl="0">
      <w:lvlJc w:val="left"/>
      <w:lvlText w:val="%1."/>
      <w:numFmt w:val="decimal"/>
      <w:start w:val="6"/>
    </w:lvl>
  </w:abstractNum>
  <w:abstractNum w:abstractNumId="12">
    <w:nsid w:val="628C895D"/>
    <w:multiLevelType w:val="hybridMultilevel"/>
    <w:lvl w:ilvl="0">
      <w:lvlJc w:val="left"/>
      <w:lvlText w:val="%1."/>
      <w:numFmt w:val="decimal"/>
      <w:start w:val="8"/>
    </w:lvl>
  </w:abstractNum>
  <w:abstractNum w:abstractNumId="13">
    <w:nsid w:val="333AB105"/>
    <w:multiLevelType w:val="hybridMultilevel"/>
    <w:lvl w:ilvl="0">
      <w:lvlJc w:val="left"/>
      <w:lvlText w:val="%1."/>
      <w:numFmt w:val="decimal"/>
      <w:start w:val="10"/>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2022-11-14T15:29:41Z</dcterms:created>
  <dcterms:modified xsi:type="dcterms:W3CDTF">2022-11-14T15:29:41Z</dcterms:modified>
</cp:coreProperties>
</file>