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4"/>
          <w:szCs w:val="24"/>
          <w:color w:val="auto"/>
        </w:rPr>
      </w:pPr>
    </w:p>
    <w:p>
      <w:pPr>
        <w:ind w:left="380" w:right="179" w:hanging="330"/>
        <w:spacing w:after="0" w:line="282" w:lineRule="auto"/>
        <w:tabs>
          <w:tab w:leader="none" w:pos="39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March 31, 2021</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86" w:lineRule="exact"/>
        <w:rPr>
          <w:sz w:val="24"/>
          <w:szCs w:val="24"/>
          <w:color w:val="auto"/>
        </w:rPr>
      </w:pPr>
    </w:p>
    <w:p>
      <w:pPr>
        <w:ind w:left="60" w:right="179" w:hanging="10"/>
        <w:spacing w:after="0" w:line="282" w:lineRule="auto"/>
        <w:tabs>
          <w:tab w:leader="none" w:pos="399"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transition period from ___ to ___</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Commission File Number: 001-37527</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XCEL BRANDS,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4"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5240" w:type="dxa"/>
            <w:vAlign w:val="bottom"/>
            <w:gridSpan w:val="2"/>
          </w:tcPr>
          <w:p>
            <w:pPr>
              <w:jc w:val="center"/>
              <w:ind w:right="1600"/>
              <w:spacing w:after="0"/>
              <w:rPr>
                <w:sz w:val="20"/>
                <w:szCs w:val="20"/>
                <w:color w:val="auto"/>
              </w:rPr>
            </w:pPr>
            <w:r>
              <w:rPr>
                <w:rFonts w:ascii="Arial" w:cs="Arial" w:eastAsia="Arial" w:hAnsi="Arial"/>
                <w:sz w:val="18"/>
                <w:szCs w:val="18"/>
                <w:color w:val="auto"/>
                <w:w w:val="89"/>
              </w:rPr>
              <w:t>Delaware</w:t>
            </w: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76-0307819</w:t>
            </w:r>
          </w:p>
        </w:tc>
      </w:tr>
      <w:tr>
        <w:trPr>
          <w:trHeight w:val="195"/>
        </w:trPr>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1600" w:type="dxa"/>
            <w:vAlign w:val="bottom"/>
          </w:tcPr>
          <w:p>
            <w:pPr>
              <w:spacing w:after="0"/>
              <w:rPr>
                <w:sz w:val="16"/>
                <w:szCs w:val="16"/>
                <w:color w:val="auto"/>
              </w:rPr>
            </w:pPr>
          </w:p>
        </w:tc>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5240" w:type="dxa"/>
            <w:vAlign w:val="bottom"/>
            <w:gridSpan w:val="2"/>
          </w:tcPr>
          <w:p>
            <w:pPr>
              <w:jc w:val="center"/>
              <w:ind w:right="1600"/>
              <w:spacing w:after="0"/>
              <w:rPr>
                <w:sz w:val="20"/>
                <w:szCs w:val="20"/>
                <w:color w:val="auto"/>
              </w:rPr>
            </w:pPr>
            <w:r>
              <w:rPr>
                <w:rFonts w:ascii="Arial" w:cs="Arial" w:eastAsia="Arial" w:hAnsi="Arial"/>
                <w:sz w:val="18"/>
                <w:szCs w:val="18"/>
                <w:color w:val="auto"/>
                <w:w w:val="91"/>
              </w:rPr>
              <w:t>Incorporation or Organization)</w:t>
            </w:r>
          </w:p>
        </w:tc>
        <w:tc>
          <w:tcPr>
            <w:tcW w:w="36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1333 Broadway, 10th Floor, New York, NY 10018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14605</wp:posOffset>
            </wp:positionV>
            <wp:extent cx="2828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(347) 727-2474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(Issuer’s Telephone Number, Including Area Code)</w:t>
      </w:r>
    </w:p>
    <w:p>
      <w:pPr>
        <w:spacing w:after="0" w:line="89"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564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2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Title of each class</w:t>
            </w:r>
          </w:p>
        </w:tc>
        <w:tc>
          <w:tcPr>
            <w:tcW w:w="26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Trading Symbol</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76"/>
        </w:trPr>
        <w:tc>
          <w:tcPr>
            <w:tcW w:w="20" w:type="dxa"/>
            <w:vAlign w:val="bottom"/>
          </w:tcPr>
          <w:p>
            <w:pPr>
              <w:spacing w:after="0"/>
              <w:rPr>
                <w:sz w:val="15"/>
                <w:szCs w:val="15"/>
                <w:color w:val="auto"/>
              </w:rPr>
            </w:pPr>
          </w:p>
        </w:tc>
        <w:tc>
          <w:tcPr>
            <w:tcW w:w="27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$0.001 par value per share</w:t>
            </w:r>
          </w:p>
        </w:tc>
        <w:tc>
          <w:tcPr>
            <w:tcW w:w="200" w:type="dxa"/>
            <w:vAlign w:val="bottom"/>
          </w:tcPr>
          <w:p>
            <w:pPr>
              <w:spacing w:after="0"/>
              <w:rPr>
                <w:sz w:val="15"/>
                <w:szCs w:val="15"/>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XELB</w:t>
            </w:r>
          </w:p>
        </w:tc>
        <w:tc>
          <w:tcPr>
            <w:tcW w:w="180" w:type="dxa"/>
            <w:vAlign w:val="bottom"/>
          </w:tcPr>
          <w:p>
            <w:pPr>
              <w:spacing w:after="0"/>
              <w:rPr>
                <w:sz w:val="15"/>
                <w:szCs w:val="15"/>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NASDAQ Global Market</w:t>
            </w:r>
          </w:p>
        </w:tc>
      </w:tr>
    </w:tbl>
    <w:p>
      <w:pPr>
        <w:spacing w:after="0" w:line="46" w:lineRule="exact"/>
        <w:rPr>
          <w:sz w:val="24"/>
          <w:szCs w:val="24"/>
          <w:color w:val="auto"/>
        </w:rPr>
      </w:pPr>
    </w:p>
    <w:p>
      <w:pPr>
        <w:jc w:val="both"/>
        <w:ind w:left="60" w:right="59"/>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7"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left="60" w:right="59"/>
        <w:spacing w:after="0" w:line="28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80" w:type="dxa"/>
        <w:tblCellMar>
          <w:top w:w="0" w:type="dxa"/>
          <w:left w:w="0" w:type="dxa"/>
          <w:bottom w:w="0" w:type="dxa"/>
          <w:right w:w="0" w:type="dxa"/>
        </w:tblCellMar>
      </w:tblPr>
      <w:tr>
        <w:trPr>
          <w:trHeight w:val="216"/>
        </w:trPr>
        <w:tc>
          <w:tcPr>
            <w:tcW w:w="288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120" w:type="dxa"/>
            <w:vAlign w:val="bottom"/>
          </w:tcPr>
          <w:p>
            <w:pPr>
              <w:ind w:left="10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88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120" w:type="dxa"/>
            <w:vAlign w:val="bottom"/>
          </w:tcPr>
          <w:p>
            <w:pPr>
              <w:ind w:left="1080"/>
              <w:spacing w:after="0"/>
              <w:rPr>
                <w:sz w:val="20"/>
                <w:szCs w:val="20"/>
                <w:color w:val="auto"/>
              </w:rPr>
            </w:pPr>
            <w:r>
              <w:rPr>
                <w:rFonts w:ascii="Arial" w:cs="Arial" w:eastAsia="Arial" w:hAnsi="Arial"/>
                <w:sz w:val="18"/>
                <w:szCs w:val="18"/>
                <w:color w:val="auto"/>
                <w:w w:val="93"/>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880" w:type="dxa"/>
            <w:vAlign w:val="bottom"/>
          </w:tcPr>
          <w:p>
            <w:pPr>
              <w:spacing w:after="0"/>
              <w:rPr>
                <w:sz w:val="24"/>
                <w:szCs w:val="24"/>
                <w:color w:val="auto"/>
              </w:rPr>
            </w:pPr>
          </w:p>
        </w:tc>
        <w:tc>
          <w:tcPr>
            <w:tcW w:w="3120" w:type="dxa"/>
            <w:vAlign w:val="bottom"/>
          </w:tcPr>
          <w:p>
            <w:pPr>
              <w:ind w:left="1080"/>
              <w:spacing w:after="0"/>
              <w:rPr>
                <w:sz w:val="20"/>
                <w:szCs w:val="20"/>
                <w:color w:val="auto"/>
              </w:rPr>
            </w:pPr>
            <w:r>
              <w:rPr>
                <w:rFonts w:ascii="Arial" w:cs="Arial" w:eastAsia="Arial" w:hAnsi="Arial"/>
                <w:sz w:val="18"/>
                <w:szCs w:val="18"/>
                <w:color w:val="auto"/>
                <w:w w:val="94"/>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60"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left="180" w:right="59" w:hanging="134"/>
        <w:spacing w:after="0" w:line="250" w:lineRule="exact"/>
        <w:rPr>
          <w:sz w:val="20"/>
          <w:szCs w:val="20"/>
          <w:color w:val="auto"/>
        </w:rPr>
      </w:pPr>
      <w:r>
        <w:rPr>
          <w:rFonts w:ascii="Arial" w:cs="Arial" w:eastAsia="Arial" w:hAnsi="Arial"/>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60"/>
        <w:spacing w:after="0"/>
        <w:rPr>
          <w:sz w:val="20"/>
          <w:szCs w:val="20"/>
          <w:color w:val="auto"/>
        </w:rPr>
      </w:pPr>
      <w:r>
        <w:rPr>
          <w:rFonts w:ascii="Arial" w:cs="Arial" w:eastAsia="Arial" w:hAnsi="Arial"/>
          <w:sz w:val="16"/>
          <w:szCs w:val="16"/>
          <w:color w:val="auto"/>
        </w:rPr>
        <w:t>As of May 13, 2021, there were 19,326,574 shares of common stock, $.001 par value per share, of the issuer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638175</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80645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149225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r>
      <w:tr>
        <w:trPr>
          <w:trHeight w:val="385"/>
        </w:trPr>
        <w:tc>
          <w:tcPr>
            <w:tcW w:w="294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528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7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4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Condensed Consolidated Balance Sheets</w:t>
              </w:r>
            </w:hyperlink>
          </w:p>
        </w:tc>
        <w:tc>
          <w:tcPr>
            <w:tcW w:w="372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Condensed Consolidated Statements of Operations</w:t>
              </w:r>
            </w:hyperlink>
          </w:p>
        </w:tc>
        <w:tc>
          <w:tcPr>
            <w:tcW w:w="300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Stockholders’ Equity</w:t>
              </w:r>
            </w:hyperlink>
          </w:p>
        </w:tc>
        <w:tc>
          <w:tcPr>
            <w:tcW w:w="226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Unaudited Condensed Consolidated Statements of Cash Flows</w:t>
              </w:r>
            </w:hyperlink>
          </w:p>
        </w:tc>
        <w:tc>
          <w:tcPr>
            <w:tcW w:w="294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266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78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7440" w:type="dxa"/>
            <w:vAlign w:val="bottom"/>
            <w:gridSpan w:val="1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5"/>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3.</w:t>
              </w:r>
            </w:hyperlink>
          </w:p>
        </w:tc>
        <w:tc>
          <w:tcPr>
            <w:tcW w:w="7440" w:type="dxa"/>
            <w:vAlign w:val="bottom"/>
            <w:gridSpan w:val="1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100" w:type="dxa"/>
            <w:vAlign w:val="bottom"/>
            <w:tcBorders>
              <w:left w:val="single" w:sz="8" w:color="0000EE"/>
            </w:tcBorders>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w:t>
              </w:r>
            </w:hyperlink>
          </w:p>
        </w:tc>
        <w:tc>
          <w:tcPr>
            <w:tcW w:w="744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2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PART II - 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780" w:type="dxa"/>
            <w:vAlign w:val="bottom"/>
            <w:tcBorders>
              <w:top w:val="single" w:sz="8" w:color="0000EE"/>
            </w:tcBorders>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w:t>
              </w:r>
            </w:hyperlink>
          </w:p>
        </w:tc>
        <w:tc>
          <w:tcPr>
            <w:tcW w:w="1840" w:type="dxa"/>
            <w:vAlign w:val="bottom"/>
            <w:tcBorders>
              <w:top w:val="single" w:sz="8" w:color="0000EE"/>
            </w:tcBorders>
            <w:gridSpan w:val="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560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640" w:type="dxa"/>
            <w:vAlign w:val="bottom"/>
            <w:gridSpan w:val="2"/>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Item 1A.</w:t>
              </w:r>
            </w:hyperlink>
          </w:p>
        </w:tc>
        <w:tc>
          <w:tcPr>
            <w:tcW w:w="140" w:type="dxa"/>
            <w:vAlign w:val="bottom"/>
          </w:tcPr>
          <w:p>
            <w:pPr>
              <w:spacing w:after="0"/>
              <w:rPr>
                <w:sz w:val="24"/>
                <w:szCs w:val="24"/>
                <w:color w:val="auto"/>
              </w:rPr>
            </w:pPr>
          </w:p>
        </w:tc>
        <w:tc>
          <w:tcPr>
            <w:tcW w:w="744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640" w:type="dxa"/>
            <w:vAlign w:val="bottom"/>
            <w:gridSpan w:val="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2.</w:t>
              </w:r>
            </w:hyperlink>
          </w:p>
        </w:tc>
        <w:tc>
          <w:tcPr>
            <w:tcW w:w="140" w:type="dxa"/>
            <w:vAlign w:val="bottom"/>
          </w:tcPr>
          <w:p>
            <w:pPr>
              <w:spacing w:after="0"/>
              <w:rPr>
                <w:sz w:val="24"/>
                <w:szCs w:val="24"/>
                <w:color w:val="auto"/>
              </w:rPr>
            </w:pPr>
          </w:p>
        </w:tc>
        <w:tc>
          <w:tcPr>
            <w:tcW w:w="744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744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51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744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8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5.</w:t>
              </w:r>
            </w:hyperlink>
          </w:p>
        </w:tc>
        <w:tc>
          <w:tcPr>
            <w:tcW w:w="744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140" w:type="dxa"/>
            <w:vAlign w:val="bottom"/>
            <w:gridSpan w:val="1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6.</w:t>
              </w:r>
            </w:hyperlink>
          </w:p>
        </w:tc>
        <w:tc>
          <w:tcPr>
            <w:tcW w:w="744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00" w:type="dxa"/>
            <w:vAlign w:val="bottom"/>
            <w:gridSpan w:val="1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4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79" w:firstLine="2912"/>
        <w:spacing w:after="0" w:line="391" w:lineRule="auto"/>
        <w:rPr>
          <w:sz w:val="20"/>
          <w:szCs w:val="20"/>
          <w:color w:val="auto"/>
        </w:rPr>
      </w:pPr>
      <w:r>
        <w:rPr>
          <w:rFonts w:ascii="Arial" w:cs="Arial" w:eastAsia="Arial" w:hAnsi="Arial"/>
          <w:sz w:val="18"/>
          <w:szCs w:val="18"/>
          <w:b w:val="1"/>
          <w:bCs w:val="1"/>
          <w:color w:val="auto"/>
        </w:rPr>
        <w:t>PART 1. FINANCIAL INFORMATION ITEM 1.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(Note 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 and cash equivalents</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4"/>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Accounts receivable, net of allowances of $1,284 and $1,151, respectively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8,647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8,889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Inventory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1,797</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16,198</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16,147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ind w:left="80"/>
              <w:spacing w:after="0" w:line="142" w:lineRule="exact"/>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4"/>
                <w:szCs w:val="14"/>
                <w:color w:val="auto"/>
              </w:rPr>
              <w:t>3,360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color w:val="auto"/>
              </w:rPr>
              <w:t>3,367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Operating lease right-of-use assets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Trademarks and other intangibles, net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92,627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93,535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225</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non-current assets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105,617</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106,907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121,815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4"/>
              <w:spacing w:after="0"/>
              <w:rPr>
                <w:sz w:val="20"/>
                <w:szCs w:val="20"/>
                <w:color w:val="auto"/>
              </w:rPr>
            </w:pPr>
            <w:r>
              <w:rPr>
                <w:rFonts w:ascii="Arial" w:cs="Arial" w:eastAsia="Arial" w:hAnsi="Arial"/>
                <w:sz w:val="10"/>
                <w:szCs w:val="10"/>
                <w:b w:val="1"/>
                <w:bCs w:val="1"/>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123,054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Equity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Accounts payable, accrued expenses and other current liabilities</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5,938</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4"/>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Accrued payroll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1,283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 portion of operating lease obligation</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Current portion of long-term debt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2,500</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11,648</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line="142" w:lineRule="exact"/>
              <w:rPr>
                <w:sz w:val="20"/>
                <w:szCs w:val="20"/>
                <w:color w:val="auto"/>
              </w:rPr>
            </w:pPr>
            <w:r>
              <w:rPr>
                <w:rFonts w:ascii="Arial" w:cs="Arial" w:eastAsia="Arial" w:hAnsi="Arial"/>
                <w:sz w:val="14"/>
                <w:szCs w:val="14"/>
                <w:b w:val="1"/>
                <w:bCs w:val="1"/>
                <w:color w:val="auto"/>
              </w:rPr>
              <w:t>Long-Term Liabilities: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Long-term portion of operating lease obligation</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8,171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Long-term debt, less current portion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14,158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13,838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Contingent obligation</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Deferred tax liabilities, net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2,918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3,052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Other long-term liabilities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long-term liabilities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26,371</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26,483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Liabilities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38,019</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36,799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Commitments and Contingencies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Preferred stock, $.001 par value, 1,000,000 shares authorized, none issued and outstanding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1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3"/>
              </w:rPr>
              <w:t>Common stock, $.001 par value, 50,000,000 shares authorized, and 19,262,529 and 19,260,862 shares</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shd w:val="clear" w:color="auto" w:fill="CCEEFF"/>
          </w:tcPr>
          <w:p>
            <w:pPr>
              <w:ind w:left="80"/>
              <w:spacing w:after="0"/>
              <w:rPr>
                <w:sz w:val="20"/>
                <w:szCs w:val="20"/>
                <w:color w:val="auto"/>
              </w:rPr>
            </w:pPr>
            <w:r>
              <w:rPr>
                <w:rFonts w:ascii="Arial" w:cs="Arial" w:eastAsia="Arial" w:hAnsi="Arial"/>
                <w:sz w:val="14"/>
                <w:szCs w:val="14"/>
                <w:color w:val="auto"/>
              </w:rPr>
              <w:t>issued and outstanding at March 31, 2021 and December 31, 2020, respectively</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Paid-in capital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102,493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102,324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(19,142)</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ind w:left="200"/>
              <w:spacing w:after="0" w:line="142" w:lineRule="exact"/>
              <w:rPr>
                <w:sz w:val="20"/>
                <w:szCs w:val="20"/>
                <w:color w:val="auto"/>
              </w:rPr>
            </w:pPr>
            <w:r>
              <w:rPr>
                <w:rFonts w:ascii="Arial" w:cs="Arial" w:eastAsia="Arial" w:hAnsi="Arial"/>
                <w:sz w:val="14"/>
                <w:szCs w:val="14"/>
                <w:color w:val="auto"/>
              </w:rPr>
              <w:t>Total Xcel Brands, Inc. stockholders' equity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4"/>
                <w:szCs w:val="14"/>
                <w:color w:val="auto"/>
              </w:rPr>
              <w:t>83,370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color w:val="auto"/>
              </w:rPr>
              <w:t>85,748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Noncontrolling interest</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426</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Equity</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83,796</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86,255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121,815</w:t>
            </w:r>
          </w:p>
        </w:tc>
        <w:tc>
          <w:tcPr>
            <w:tcW w:w="180" w:type="dxa"/>
            <w:vAlign w:val="bottom"/>
          </w:tcPr>
          <w:p>
            <w:pPr>
              <w:spacing w:after="0"/>
              <w:rPr>
                <w:sz w:val="12"/>
                <w:szCs w:val="12"/>
                <w:color w:val="auto"/>
              </w:rPr>
            </w:pPr>
          </w:p>
        </w:tc>
        <w:tc>
          <w:tcPr>
            <w:tcW w:w="220" w:type="dxa"/>
            <w:vAlign w:val="bottom"/>
          </w:tcPr>
          <w:p>
            <w:pPr>
              <w:jc w:val="right"/>
              <w:ind w:right="104"/>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123,054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Xcel Brands, Inc. and Subsidiaries Unaudited Condensed Consolidated Statements of Operations (in thousands, except share and per share data)</w:t>
      </w:r>
    </w:p>
    <w:p>
      <w:pPr>
        <w:spacing w:after="0" w:line="63"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For the Three Months Ended</w:t>
      </w:r>
    </w:p>
    <w:p>
      <w:pPr>
        <w:jc w:val="center"/>
        <w:ind w:left="58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8"/>
                <w:szCs w:val="18"/>
                <w:color w:val="auto"/>
              </w:rPr>
              <w:t>Net licensing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4,307</w:t>
            </w:r>
          </w:p>
        </w:tc>
        <w:tc>
          <w:tcPr>
            <w:tcW w:w="24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5,641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40" w:type="dxa"/>
            <w:vAlign w:val="bottom"/>
          </w:tcPr>
          <w:p>
            <w:pPr>
              <w:ind w:left="220"/>
              <w:spacing w:after="0"/>
              <w:rPr>
                <w:sz w:val="20"/>
                <w:szCs w:val="20"/>
                <w:color w:val="auto"/>
              </w:rPr>
            </w:pPr>
            <w:r>
              <w:rPr>
                <w:rFonts w:ascii="Arial" w:cs="Arial" w:eastAsia="Arial" w:hAnsi="Arial"/>
                <w:sz w:val="18"/>
                <w:szCs w:val="18"/>
                <w:color w:val="auto"/>
              </w:rPr>
              <w:t>Net revenue</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7,809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9,527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goods sold (sales)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7,127</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Salaries, benefits and employment taxes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8"/>
                <w:szCs w:val="18"/>
                <w:color w:val="auto"/>
              </w:rPr>
              <w:t>Other selling, general and administrative expenses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Costs in connection with potential acquisitions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8,460</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8,223</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(2,486)</w:t>
            </w:r>
          </w:p>
        </w:tc>
        <w:tc>
          <w:tcPr>
            <w:tcW w:w="2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 and other finance charges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(2,766)</w:t>
            </w:r>
          </w:p>
        </w:tc>
        <w:tc>
          <w:tcPr>
            <w:tcW w:w="2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9"/>
        </w:trPr>
        <w:tc>
          <w:tcPr>
            <w:tcW w:w="6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(2,628)</w:t>
            </w:r>
          </w:p>
        </w:tc>
        <w:tc>
          <w:tcPr>
            <w:tcW w:w="2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(838)</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attributable to Xcel Brands, Inc. stockholders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(2,547)</w:t>
            </w:r>
          </w:p>
        </w:tc>
        <w:tc>
          <w:tcPr>
            <w:tcW w:w="2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(805)</w:t>
            </w:r>
          </w:p>
        </w:tc>
        <w:tc>
          <w:tcPr>
            <w:tcW w:w="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Loss per share attributable to Xcel Brands, Inc. common stockholders: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net loss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Diluted net loss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(0.13)</w:t>
            </w:r>
          </w:p>
        </w:tc>
        <w:tc>
          <w:tcPr>
            <w:tcW w:w="2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(0.04)</w:t>
            </w:r>
          </w:p>
        </w:tc>
        <w:tc>
          <w:tcPr>
            <w:tcW w:w="2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common shares outstanding:</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Basic weighted average common shares outstanding</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19,261,436</w:t>
            </w:r>
          </w:p>
        </w:tc>
        <w:tc>
          <w:tcPr>
            <w:tcW w:w="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18,870,398</w:t>
            </w:r>
          </w:p>
        </w:tc>
        <w:tc>
          <w:tcPr>
            <w:tcW w:w="2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140" w:type="dxa"/>
            <w:vAlign w:val="bottom"/>
            <w:tcBorders>
              <w:bottom w:val="single" w:sz="8" w:color="CCEEFF"/>
            </w:tcBorders>
            <w:shd w:val="clear" w:color="auto" w:fill="CCEEFF"/>
          </w:tcPr>
          <w:p>
            <w:pPr>
              <w:ind w:left="120"/>
              <w:spacing w:after="0" w:line="190" w:lineRule="exact"/>
              <w:rPr>
                <w:sz w:val="20"/>
                <w:szCs w:val="20"/>
                <w:color w:val="auto"/>
              </w:rPr>
            </w:pPr>
            <w:r>
              <w:rPr>
                <w:rFonts w:ascii="Arial" w:cs="Arial" w:eastAsia="Arial" w:hAnsi="Arial"/>
                <w:sz w:val="18"/>
                <w:szCs w:val="18"/>
                <w:color w:val="auto"/>
              </w:rPr>
              <w:t>Diluted weighted average common shares outstanding</w:t>
            </w: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19,261,436</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18,870,398</w:t>
            </w:r>
          </w:p>
        </w:tc>
        <w:tc>
          <w:tcPr>
            <w:tcW w:w="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4" w:name="page5"/>
    <w:bookmarkEnd w:id="4"/>
    <w:p>
      <w:pPr>
        <w:ind w:left="1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w w:val="89"/>
              </w:rPr>
              <w:t>Xcel Brands, Inc. Stockholders</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440" w:type="dxa"/>
            <w:vAlign w:val="bottom"/>
            <w:tcBorders>
              <w:bottom w:val="single" w:sz="8" w:color="auto"/>
            </w:tcBorders>
            <w:gridSpan w:val="3"/>
          </w:tcPr>
          <w:p>
            <w:pPr>
              <w:jc w:val="right"/>
              <w:ind w:right="163"/>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Paid-In</w:t>
            </w:r>
          </w:p>
        </w:tc>
        <w:tc>
          <w:tcPr>
            <w:tcW w:w="40" w:type="dxa"/>
            <w:vAlign w:val="bottom"/>
          </w:tcPr>
          <w:p>
            <w:pPr>
              <w:spacing w:after="0"/>
              <w:rPr>
                <w:sz w:val="22"/>
                <w:szCs w:val="22"/>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22"/>
                <w:szCs w:val="22"/>
                <w:color w:val="auto"/>
              </w:rPr>
            </w:pPr>
          </w:p>
        </w:tc>
        <w:tc>
          <w:tcPr>
            <w:tcW w:w="8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86"/>
              </w:rPr>
              <w:t>Noncontrolling</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70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Number of</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Capital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57"/>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137"/>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2019</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18,866,417</w:t>
            </w: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ind w:right="483"/>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19</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101,736</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(3,659)</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356</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98,452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7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2"/>
              </w:rPr>
              <w:t>Shares issued to employees in connection with stock grants for bonus</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payments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336,700</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6"/>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0"/>
              </w:rPr>
              <w:t>Shares repurchased from employees in exchange for withholding taxes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(155,556)</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7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1"/>
              </w:rPr>
              <w:t>Compensation expense in connection with stock options and restricted</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stock</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6"/>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2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March 31, 2020</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19,047,561</w:t>
            </w:r>
          </w:p>
        </w:tc>
        <w:tc>
          <w:tcPr>
            <w:tcW w:w="1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483"/>
              <w:spacing w:after="0"/>
              <w:rPr>
                <w:sz w:val="20"/>
                <w:szCs w:val="20"/>
                <w:color w:val="auto"/>
              </w:rPr>
            </w:pPr>
            <w:r>
              <w:rPr>
                <w:rFonts w:ascii="Arial" w:cs="Arial" w:eastAsia="Arial" w:hAnsi="Arial"/>
                <w:sz w:val="10"/>
                <w:szCs w:val="10"/>
                <w:color w:val="auto"/>
                <w:w w:val="71"/>
              </w:rPr>
              <w:t>$</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19</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101,945</w:t>
            </w:r>
          </w:p>
        </w:tc>
        <w:tc>
          <w:tcPr>
            <w:tcW w:w="1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(4,464)</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323</w:t>
            </w:r>
          </w:p>
        </w:tc>
        <w:tc>
          <w:tcPr>
            <w:tcW w:w="2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3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as of December 31, 2020</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19,260,862</w:t>
            </w:r>
          </w:p>
        </w:tc>
        <w:tc>
          <w:tcPr>
            <w:tcW w:w="740" w:type="dxa"/>
            <w:vAlign w:val="bottom"/>
            <w:gridSpan w:val="2"/>
            <w:shd w:val="clear" w:color="auto" w:fill="CCEEFF"/>
          </w:tcPr>
          <w:p>
            <w:pPr>
              <w:jc w:val="right"/>
              <w:ind w:right="483"/>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74"/>
              </w:rPr>
              <w:t>19</w:t>
            </w:r>
          </w:p>
        </w:tc>
        <w:tc>
          <w:tcPr>
            <w:tcW w:w="260" w:type="dxa"/>
            <w:vAlign w:val="bottom"/>
            <w:gridSpan w:val="2"/>
            <w:shd w:val="clear" w:color="auto" w:fill="CCEEFF"/>
          </w:tcPr>
          <w:p>
            <w:pPr>
              <w:jc w:val="right"/>
              <w:ind w:right="8"/>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102,324</w:t>
            </w:r>
          </w:p>
        </w:tc>
        <w:tc>
          <w:tcPr>
            <w:tcW w:w="10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25"/>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(16,595)</w:t>
            </w:r>
          </w:p>
        </w:tc>
        <w:tc>
          <w:tcPr>
            <w:tcW w:w="2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507</w:t>
            </w:r>
          </w:p>
        </w:tc>
        <w:tc>
          <w:tcPr>
            <w:tcW w:w="320" w:type="dxa"/>
            <w:vAlign w:val="bottom"/>
            <w:gridSpan w:val="2"/>
            <w:shd w:val="clear" w:color="auto" w:fill="CCEEFF"/>
          </w:tcPr>
          <w:p>
            <w:pPr>
              <w:jc w:val="right"/>
              <w:ind w:right="8"/>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86,255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7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1"/>
              </w:rPr>
              <w:t>Compensation expense in connection with stock options and restricted</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stock</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6"/>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issued on exercise of stock options, net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1,667</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6"/>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(2,547)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March 31, 2021</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19,262,529</w:t>
            </w:r>
          </w:p>
        </w:tc>
        <w:tc>
          <w:tcPr>
            <w:tcW w:w="1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483"/>
              <w:spacing w:after="0"/>
              <w:rPr>
                <w:sz w:val="20"/>
                <w:szCs w:val="20"/>
                <w:color w:val="auto"/>
              </w:rPr>
            </w:pPr>
            <w:r>
              <w:rPr>
                <w:rFonts w:ascii="Arial" w:cs="Arial" w:eastAsia="Arial" w:hAnsi="Arial"/>
                <w:sz w:val="10"/>
                <w:szCs w:val="10"/>
                <w:color w:val="auto"/>
                <w:w w:val="71"/>
              </w:rPr>
              <w:t>$</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19</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102,493</w:t>
            </w:r>
          </w:p>
        </w:tc>
        <w:tc>
          <w:tcPr>
            <w:tcW w:w="1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(19,142)</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426</w:t>
            </w:r>
          </w:p>
        </w:tc>
        <w:tc>
          <w:tcPr>
            <w:tcW w:w="2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00"/>
          </w:cols>
          <w:pgMar w:left="1400" w:top="517" w:right="1399"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jc w:val="center"/>
        <w:spacing w:after="0" w:line="226" w:lineRule="auto"/>
        <w:rPr>
          <w:sz w:val="20"/>
          <w:szCs w:val="20"/>
          <w:color w:val="auto"/>
        </w:rPr>
      </w:pPr>
      <w:r>
        <w:rPr>
          <w:rFonts w:ascii="Arial" w:cs="Arial" w:eastAsia="Arial" w:hAnsi="Arial"/>
          <w:sz w:val="14"/>
          <w:szCs w:val="14"/>
          <w:b w:val="1"/>
          <w:bCs w:val="1"/>
          <w:color w:val="auto"/>
        </w:rPr>
        <w:t>Unaudited Condensed Consolidated Statements of Cash Flows</w:t>
      </w: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4"/>
              </w:rPr>
              <w:t>For the 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800" w:type="dxa"/>
            <w:vAlign w:val="bottom"/>
            <w:gridSpan w:val="2"/>
          </w:tcPr>
          <w:p>
            <w:pPr>
              <w:jc w:val="right"/>
              <w:ind w:right="102"/>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(2,628)</w:t>
            </w:r>
          </w:p>
        </w:tc>
        <w:tc>
          <w:tcPr>
            <w:tcW w:w="200" w:type="dxa"/>
            <w:vAlign w:val="bottom"/>
          </w:tcPr>
          <w:p>
            <w:pPr>
              <w:spacing w:after="0"/>
              <w:rPr>
                <w:sz w:val="12"/>
                <w:szCs w:val="12"/>
                <w:color w:val="auto"/>
              </w:rPr>
            </w:pPr>
          </w:p>
        </w:tc>
        <w:tc>
          <w:tcPr>
            <w:tcW w:w="260" w:type="dxa"/>
            <w:vAlign w:val="bottom"/>
            <w:gridSpan w:val="2"/>
          </w:tcPr>
          <w:p>
            <w:pPr>
              <w:jc w:val="right"/>
              <w:ind w:right="174"/>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 expense</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1,210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1,303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finance costs</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Allowance for doubtful accounts</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 benefit</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(377)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Inventory</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ind w:left="200"/>
              <w:spacing w:after="0" w:line="149" w:lineRule="exact"/>
              <w:rPr>
                <w:sz w:val="20"/>
                <w:szCs w:val="20"/>
                <w:color w:val="auto"/>
              </w:rPr>
            </w:pPr>
            <w:r>
              <w:rPr>
                <w:rFonts w:ascii="Arial" w:cs="Arial" w:eastAsia="Arial" w:hAnsi="Arial"/>
                <w:sz w:val="14"/>
                <w:szCs w:val="14"/>
                <w:color w:val="auto"/>
              </w:rPr>
              <w:t>Prepaid expenses and other assets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 accrued expenses and other current liabilities</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ind w:left="200"/>
              <w:spacing w:after="0" w:line="149" w:lineRule="exact"/>
              <w:rPr>
                <w:sz w:val="20"/>
                <w:szCs w:val="20"/>
                <w:color w:val="auto"/>
              </w:rPr>
            </w:pPr>
            <w:r>
              <w:rPr>
                <w:rFonts w:ascii="Arial" w:cs="Arial" w:eastAsia="Arial" w:hAnsi="Arial"/>
                <w:sz w:val="14"/>
                <w:szCs w:val="14"/>
                <w:color w:val="auto"/>
              </w:rPr>
              <w:t>Cash paid in excess of rent expense</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liabilities</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provided by operating activities</w:t>
            </w:r>
          </w:p>
        </w:tc>
        <w:tc>
          <w:tcPr>
            <w:tcW w:w="5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(1,693)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78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 of property and equipment</w:t>
            </w:r>
          </w:p>
        </w:tc>
        <w:tc>
          <w:tcPr>
            <w:tcW w:w="5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5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(295)</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Shares repurchased including vested restricted stock in exchange for withholding taxes</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financing activities</w:t>
            </w:r>
          </w:p>
        </w:tc>
        <w:tc>
          <w:tcPr>
            <w:tcW w:w="5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tcPr>
          <w:p>
            <w:pPr>
              <w:spacing w:after="0" w:line="149" w:lineRule="exact"/>
              <w:rPr>
                <w:sz w:val="20"/>
                <w:szCs w:val="20"/>
                <w:color w:val="auto"/>
              </w:rPr>
            </w:pPr>
            <w:r>
              <w:rPr>
                <w:rFonts w:ascii="Arial" w:cs="Arial" w:eastAsia="Arial" w:hAnsi="Arial"/>
                <w:sz w:val="14"/>
                <w:szCs w:val="14"/>
                <w:b w:val="1"/>
                <w:bCs w:val="1"/>
                <w:color w:val="auto"/>
              </w:rPr>
              <w:t>Net decrease in cash, cash equivalents, and restricted cash</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(1,988)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7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5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6,066</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5,750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780" w:type="dxa"/>
            <w:vAlign w:val="bottom"/>
          </w:tcPr>
          <w:p>
            <w:pPr>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800" w:type="dxa"/>
            <w:vAlign w:val="bottom"/>
            <w:gridSpan w:val="2"/>
          </w:tcPr>
          <w:p>
            <w:pPr>
              <w:jc w:val="right"/>
              <w:ind w:right="102"/>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4,078</w:t>
            </w:r>
          </w:p>
        </w:tc>
        <w:tc>
          <w:tcPr>
            <w:tcW w:w="200" w:type="dxa"/>
            <w:vAlign w:val="bottom"/>
          </w:tcPr>
          <w:p>
            <w:pPr>
              <w:spacing w:after="0"/>
              <w:rPr>
                <w:sz w:val="16"/>
                <w:szCs w:val="16"/>
                <w:color w:val="auto"/>
              </w:rPr>
            </w:pPr>
          </w:p>
        </w:tc>
        <w:tc>
          <w:tcPr>
            <w:tcW w:w="260" w:type="dxa"/>
            <w:vAlign w:val="bottom"/>
            <w:gridSpan w:val="2"/>
          </w:tcPr>
          <w:p>
            <w:pPr>
              <w:jc w:val="right"/>
              <w:ind w:right="174"/>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5,355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7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780" w:type="dxa"/>
            <w:vAlign w:val="bottom"/>
          </w:tcPr>
          <w:p>
            <w:pPr>
              <w:spacing w:after="0" w:line="149" w:lineRule="exact"/>
              <w:rPr>
                <w:sz w:val="20"/>
                <w:szCs w:val="20"/>
                <w:color w:val="auto"/>
              </w:rPr>
            </w:pPr>
            <w:r>
              <w:rPr>
                <w:rFonts w:ascii="Arial" w:cs="Arial" w:eastAsia="Arial" w:hAnsi="Arial"/>
                <w:sz w:val="14"/>
                <w:szCs w:val="14"/>
                <w:b w:val="1"/>
                <w:bCs w:val="1"/>
                <w:color w:val="auto"/>
              </w:rPr>
              <w:t>Reconciliation to amounts on consolidated balance sheets: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800" w:type="dxa"/>
            <w:vAlign w:val="bottom"/>
            <w:gridSpan w:val="2"/>
            <w:shd w:val="clear" w:color="auto" w:fill="CCEEFF"/>
          </w:tcPr>
          <w:p>
            <w:pPr>
              <w:jc w:val="right"/>
              <w:ind w:right="102"/>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2,969</w:t>
            </w:r>
          </w:p>
        </w:tc>
        <w:tc>
          <w:tcPr>
            <w:tcW w:w="2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5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1,109</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5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4,078</w:t>
            </w:r>
          </w:p>
        </w:tc>
        <w:tc>
          <w:tcPr>
            <w:tcW w:w="2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non-cash activities:</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80" w:type="dxa"/>
            <w:vAlign w:val="bottom"/>
          </w:tcPr>
          <w:p>
            <w:pPr>
              <w:ind w:left="200"/>
              <w:spacing w:after="0" w:line="149" w:lineRule="exact"/>
              <w:rPr>
                <w:sz w:val="20"/>
                <w:szCs w:val="20"/>
                <w:color w:val="auto"/>
              </w:rPr>
            </w:pPr>
            <w:r>
              <w:rPr>
                <w:rFonts w:ascii="Arial" w:cs="Arial" w:eastAsia="Arial" w:hAnsi="Arial"/>
                <w:sz w:val="14"/>
                <w:szCs w:val="14"/>
                <w:color w:val="auto"/>
              </w:rPr>
              <w:t>Liability for equity-based bonuses</w:t>
            </w:r>
          </w:p>
        </w:tc>
        <w:tc>
          <w:tcPr>
            <w:tcW w:w="800" w:type="dxa"/>
            <w:vAlign w:val="bottom"/>
            <w:gridSpan w:val="2"/>
          </w:tcPr>
          <w:p>
            <w:pPr>
              <w:jc w:val="right"/>
              <w:ind w:right="102"/>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00" w:type="dxa"/>
            <w:vAlign w:val="bottom"/>
          </w:tcPr>
          <w:p>
            <w:pPr>
              <w:spacing w:after="0"/>
              <w:rPr>
                <w:sz w:val="16"/>
                <w:szCs w:val="16"/>
                <w:color w:val="auto"/>
              </w:rPr>
            </w:pPr>
          </w:p>
        </w:tc>
        <w:tc>
          <w:tcPr>
            <w:tcW w:w="260" w:type="dxa"/>
            <w:vAlign w:val="bottom"/>
            <w:gridSpan w:val="2"/>
          </w:tcPr>
          <w:p>
            <w:pPr>
              <w:jc w:val="right"/>
              <w:ind w:right="174"/>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78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 paid during the period for income taxes</w:t>
            </w:r>
          </w:p>
        </w:tc>
        <w:tc>
          <w:tcPr>
            <w:tcW w:w="800" w:type="dxa"/>
            <w:vAlign w:val="bottom"/>
            <w:gridSpan w:val="2"/>
            <w:shd w:val="clear" w:color="auto" w:fill="CCEEFF"/>
          </w:tcPr>
          <w:p>
            <w:pPr>
              <w:jc w:val="right"/>
              <w:ind w:right="102"/>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4"/>
                <w:szCs w:val="14"/>
                <w:color w:val="auto"/>
              </w:rPr>
              <w:t>Cash paid during the period for interest</w:t>
            </w:r>
          </w:p>
        </w:tc>
        <w:tc>
          <w:tcPr>
            <w:tcW w:w="58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7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2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236</w:t>
            </w:r>
          </w:p>
        </w:tc>
        <w:tc>
          <w:tcPr>
            <w:tcW w:w="200" w:type="dxa"/>
            <w:vAlign w:val="bottom"/>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Operations, Background, and Basis of Presentation</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accompanying condensed consolidated balance sheet as of December 31, 2020 (which has been derived from audited financial statements) and the unaudited interim condensed consolidated financial statements have been prepared in accordance with accounting principles generally accepted in the United States (“GAAP”) for interim financial information and pursuant to the instructions to Form 10-Q and Article 8 of Regulation S-X promulgated by the United States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and its subsidiaries (the “Company” or "Xcel").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2020, as filed with the SEC on April 23, 2021.</w:t>
      </w:r>
    </w:p>
    <w:p>
      <w:pPr>
        <w:spacing w:after="0" w:line="19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 is a media and consumer products company engaged in the design, production, marketing, live streaming, wholesale distribution, and direct-to-consumer sales of branded apparel, footwear, accessories, fine jewelry, home goods and other consumer products, and the acquisition of dynamic consumer lifestyle brands. Currently, the Company’s brand portfolio consists of the Isaac Mizrahi brands (the "Isaac Mizrahi Brand"), the Judith Ripka brands (the "Ripka Brand"), the Halston brands (the "Halston Brands"), the C Wonder brands (the "C Wonder Brand"), and other proprietary brands. The Company also manages the Longaberger brand (the “Longaberger Brand”) through its 50% ownership interest in Longaberger Licensing, LLC. The Company acquired the LOGO by Lori Goldstein brand, and the various labels under the brand, on April 1, 2021 (see Note 12).</w:t>
      </w:r>
    </w:p>
    <w:p>
      <w:pPr>
        <w:spacing w:after="0" w:line="178"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The Company designs, produces, markets, and distributes products, licenses its brands to third parties, and generates licensing revenues. The Company and its licensees distribute through an omni-channel retail sales strategy, which includes distribution through interactive television, digital live-stream shopping, brick-and-mortar retail, wholesale, and e-commerce channels to be everywhere its customers shop.</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left="60" w:right="59"/>
        <w:spacing w:after="0" w:line="219" w:lineRule="exact"/>
        <w:rPr>
          <w:sz w:val="20"/>
          <w:szCs w:val="20"/>
          <w:color w:val="auto"/>
        </w:rPr>
      </w:pPr>
      <w:r>
        <w:rPr>
          <w:rFonts w:ascii="Arial" w:cs="Arial" w:eastAsia="Arial" w:hAnsi="Arial"/>
          <w:sz w:val="18"/>
          <w:szCs w:val="18"/>
          <w:color w:val="auto"/>
        </w:rPr>
        <w:t>On January 1, 2021, the Company adopted Accounting Standards Update ("ASU") No. 2019</w:t>
      </w:r>
      <w:r>
        <w:rPr>
          <w:rFonts w:ascii="MS PGothic" w:cs="MS PGothic" w:eastAsia="MS PGothic" w:hAnsi="MS PGothic"/>
          <w:sz w:val="18"/>
          <w:szCs w:val="18"/>
          <w:color w:val="auto"/>
        </w:rPr>
        <w:t>‑</w:t>
      </w:r>
      <w:r>
        <w:rPr>
          <w:rFonts w:ascii="Arial" w:cs="Arial" w:eastAsia="Arial" w:hAnsi="Arial"/>
          <w:sz w:val="18"/>
          <w:szCs w:val="18"/>
          <w:color w:val="auto"/>
        </w:rPr>
        <w:t>12, “Income Taxes (Topic 740): Simplifying the Accounting for Income Taxes.” This ASU removes certain exceptions to the general principles in Topic 740, including, but not limited to, intraperiod tax allocations and interim period tax calculations. The ASU also provides additional clarification and guidance related to recognition of franchise taxes and changes in tax laws. The adoption of this new guidance did not have any impact on the Company’s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Trademarks and Other Intangibles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Trademarks and other intangibles, net consist of the following:</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6"/>
              </w:rPr>
              <w:t>March 31, 2021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8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15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14,401</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 years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33,471</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Other intellectual property</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7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Copyrights and other intellectual property</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104,032</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11,405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92,627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5"/>
            <w:vMerge w:val="restart"/>
          </w:tcPr>
          <w:p>
            <w:pPr>
              <w:jc w:val="center"/>
              <w:ind w:left="614"/>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2"/>
                <w:szCs w:val="12"/>
                <w:color w:val="auto"/>
              </w:rPr>
            </w:pPr>
          </w:p>
        </w:tc>
        <w:tc>
          <w:tcPr>
            <w:tcW w:w="96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2"/>
                <w:szCs w:val="12"/>
                <w:color w:val="auto"/>
              </w:rPr>
            </w:pPr>
          </w:p>
        </w:tc>
        <w:tc>
          <w:tcPr>
            <w:tcW w:w="102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15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14,746</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 years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34,002</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Other intellectual property</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7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Copyrights and other intellectual property</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9"/>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104,032</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10,497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93,535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Amortization expense for intangible assets was approximately $0.91 million for the three-month period ended March 31, 2021 (the "current quarter") and was approximately $1.14 million for the three-month period ended March 31, 2020 (the "prior year quarter").</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trademarks related to the Isaac Mizrahi Brand have been determined to have indefinite useful lives and, accordingly, no amortization has been recorded for these assets.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Significant Contracts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QVC Agreements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Under the Company’s agreements with Qurate Retail Group (“Qurate”), collectively referred to as the QVC Agreements, Qurate is required to pay the Company fees based primarily on a percentage of its net sales of Isaac Mizrahi, Ripka, and Longaberger branded merchandise. Qurate royalty revenue represents a significant portion of the Company’s total revenues.</w:t>
      </w:r>
    </w:p>
    <w:p>
      <w:pPr>
        <w:spacing w:after="0" w:line="187" w:lineRule="exact"/>
        <w:rPr>
          <w:sz w:val="20"/>
          <w:szCs w:val="20"/>
          <w:color w:val="auto"/>
        </w:rPr>
      </w:pPr>
    </w:p>
    <w:p>
      <w:pPr>
        <w:jc w:val="both"/>
        <w:ind w:left="1020" w:right="79" w:hanging="322"/>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from the QVC Agreements totaled $3.79 million and $4.69 million for the current and prior year quarter, respectively, representing approximately 49% of the Company’s total net revenues for both the current and prior year quarter.</w:t>
      </w:r>
    </w:p>
    <w:p>
      <w:pPr>
        <w:spacing w:after="0" w:line="183" w:lineRule="exact"/>
        <w:rPr>
          <w:rFonts w:ascii="Arial" w:cs="Arial" w:eastAsia="Arial" w:hAnsi="Arial"/>
          <w:sz w:val="18"/>
          <w:szCs w:val="18"/>
          <w:color w:val="auto"/>
        </w:rPr>
      </w:pPr>
    </w:p>
    <w:p>
      <w:pPr>
        <w:jc w:val="both"/>
        <w:ind w:left="1020" w:right="79" w:hanging="322"/>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March 31, 2021 and December 31, 2020, the Company had receivables from Qurate of $3.84 million and $4.46 million, respectively, representing approximately 44% and 50% of the Company’s total accounts receivable,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Allowance for Doubtful Accounts</w:t>
      </w:r>
    </w:p>
    <w:p>
      <w:pPr>
        <w:spacing w:after="0" w:line="229"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Accounts receivable are presented on the Company’s condensed consolidated balance sheets net of allowances of $1,284,000 and $1,151,000 as of March 31, 2021 and December 31, 2020, respectively. The Company recognized bad debt expense of $132,000 and $211,000 for the current quarter and prior year quarter, respectively.</w:t>
      </w:r>
    </w:p>
    <w:p>
      <w:pPr>
        <w:spacing w:after="0" w:line="16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Included within these amounts, the current quarter and prior year quarter reflect $132,000 and $114,000, respectively, of bad debt expense related to the bankruptcy of and economic impact on certain retail customers due to the COVID-19 pandemic. The total allowance of $1.10 million against such customers’ outstanding receivable balances of $1.21 million at March 31, 2021 represents management’s best estimate of collectibility, based on information currently available.</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has operating leases for its current office, former office, and a planned retail store location, as well as certain equipment with a term of 12 months or less. The Company’s real estate leases have remaining lease terms of between approximately 1 to 8 years.</w:t>
      </w:r>
    </w:p>
    <w:p>
      <w:pPr>
        <w:spacing w:after="0" w:line="18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Under GAAP, a lessee is generally required to recognize a liability for its obligation to make future lease payments (the lease liability) and a right-of-use (“ROU”) asset representing its right to use the underlying leased asset for the lease term. The Company determines if an arrangement is a lease at inception. Operating leases are recorded in operating lease ROU assets, current portion of operating lease liabilities, and long-term operating lease liabilities on the Company’s condensed consolidated balance sheets. The Company does not recognize lease liabilities and ROU assets for lease terms of 12 months or less, but recognizes such lease payments in net income on a straight-line basis over the lease terms.</w:t>
      </w:r>
    </w:p>
    <w:p>
      <w:pPr>
        <w:spacing w:after="0" w:line="16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Operating lease ROU assets and lease liabilities are recognized at commencement date based on the present value of lease payments over the lease term. As the Company’s leases typically do not provide an implicit rate, the Company generally uses its incremental borrowing rate based on the information available at commencement date in determining the present value of lease payments. Lease terms may include options to extend or terminate the lease when it is reasonably certain that the Company will exercise that option. Lease expense for operating lease payments is generally recognized on a straight-line basis over the lease term.</w:t>
      </w:r>
    </w:p>
    <w:p>
      <w:pPr>
        <w:spacing w:after="0" w:line="192"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For both the current and prior year quarter, lease expense included in selling, general and administrative expenses on the Company’s unaudited condensed consolidated statements of operations was approximately $0.4 million.</w:t>
      </w:r>
    </w:p>
    <w:p>
      <w:pPr>
        <w:spacing w:after="0" w:line="14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March 31, 2021, the weighted average remaining operating lease term was approximately 6.2 years and the weighted average discount rate for operating leases was 6.25%.</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Cash paid for amounts included in the measurement of operating lease liabilities was $0.5 million and $0.4 million in the current quarter and prior year quarter,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580" w:type="dxa"/>
            <w:vAlign w:val="bottom"/>
          </w:tcPr>
          <w:p>
            <w:pPr>
              <w:jc w:val="center"/>
              <w:ind w:left="1211"/>
              <w:spacing w:after="0"/>
              <w:rPr>
                <w:sz w:val="20"/>
                <w:szCs w:val="20"/>
                <w:color w:val="auto"/>
              </w:rPr>
            </w:pPr>
            <w:r>
              <w:rPr>
                <w:rFonts w:ascii="Arial" w:cs="Arial" w:eastAsia="Arial" w:hAnsi="Arial"/>
                <w:sz w:val="18"/>
                <w:szCs w:val="18"/>
                <w:color w:val="auto"/>
                <w:w w:val="97"/>
              </w:rPr>
              <w:t>XCEL BRANDS, INC. AND SUBSIDIARIES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7580" w:type="dxa"/>
            <w:vAlign w:val="bottom"/>
          </w:tcPr>
          <w:p>
            <w:pPr>
              <w:jc w:val="center"/>
              <w:ind w:left="1231"/>
              <w:spacing w:after="0"/>
              <w:rPr>
                <w:sz w:val="20"/>
                <w:szCs w:val="20"/>
                <w:color w:val="auto"/>
              </w:rPr>
            </w:pPr>
            <w:r>
              <w:rPr>
                <w:rFonts w:ascii="Arial" w:cs="Arial" w:eastAsia="Arial" w:hAnsi="Arial"/>
                <w:sz w:val="18"/>
                <w:szCs w:val="18"/>
                <w:color w:val="auto"/>
                <w:w w:val="89"/>
              </w:rPr>
              <w:t>Notes to Unaudited Condensed Consolidated Financial Statements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7580" w:type="dxa"/>
            <w:vAlign w:val="bottom"/>
          </w:tcPr>
          <w:p>
            <w:pPr>
              <w:jc w:val="center"/>
              <w:ind w:left="1231"/>
              <w:spacing w:after="0"/>
              <w:rPr>
                <w:sz w:val="20"/>
                <w:szCs w:val="20"/>
                <w:color w:val="auto"/>
              </w:rPr>
            </w:pPr>
            <w:r>
              <w:rPr>
                <w:rFonts w:ascii="Arial" w:cs="Arial" w:eastAsia="Arial" w:hAnsi="Arial"/>
                <w:sz w:val="18"/>
                <w:szCs w:val="18"/>
                <w:color w:val="auto"/>
                <w:w w:val="91"/>
              </w:rPr>
              <w:t>March 31, 2021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7580" w:type="dxa"/>
            <w:vAlign w:val="bottom"/>
          </w:tcPr>
          <w:p>
            <w:pPr>
              <w:jc w:val="center"/>
              <w:ind w:left="1211"/>
              <w:spacing w:after="0"/>
              <w:rPr>
                <w:sz w:val="20"/>
                <w:szCs w:val="20"/>
                <w:color w:val="auto"/>
              </w:rPr>
            </w:pPr>
            <w:r>
              <w:rPr>
                <w:rFonts w:ascii="Arial" w:cs="Arial" w:eastAsia="Arial" w:hAnsi="Arial"/>
                <w:sz w:val="18"/>
                <w:szCs w:val="18"/>
                <w:color w:val="auto"/>
                <w:w w:val="93"/>
              </w:rPr>
              <w:t>(Unaudited)</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2"/>
        </w:trPr>
        <w:tc>
          <w:tcPr>
            <w:tcW w:w="7580" w:type="dxa"/>
            <w:vAlign w:val="bottom"/>
          </w:tcPr>
          <w:p>
            <w:pPr>
              <w:spacing w:after="0"/>
              <w:rPr>
                <w:sz w:val="20"/>
                <w:szCs w:val="20"/>
                <w:color w:val="auto"/>
              </w:rPr>
            </w:pPr>
            <w:r>
              <w:rPr>
                <w:rFonts w:ascii="Arial" w:cs="Arial" w:eastAsia="Arial" w:hAnsi="Arial"/>
                <w:sz w:val="18"/>
                <w:szCs w:val="18"/>
                <w:color w:val="auto"/>
              </w:rPr>
              <w:t>As of March 31, 2021, the maturities of lease liabilities were as follows: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8"/>
        </w:trPr>
        <w:tc>
          <w:tcPr>
            <w:tcW w:w="7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1,891</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1,711</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2025</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w:t>
            </w: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12,236</w:t>
            </w:r>
          </w:p>
        </w:tc>
      </w:tr>
      <w:tr>
        <w:trPr>
          <w:trHeight w:val="229"/>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Discount</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r>
      <w:tr>
        <w:trPr>
          <w:trHeight w:val="223"/>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10,098</w:t>
            </w:r>
          </w:p>
        </w:tc>
      </w:tr>
      <w:tr>
        <w:trPr>
          <w:trHeight w:val="229"/>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of lease liabilities</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 of lease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8,171</w:t>
            </w:r>
          </w:p>
        </w:tc>
      </w:tr>
      <w:tr>
        <w:trPr>
          <w:trHeight w:val="20"/>
        </w:trPr>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net carrying amount of debt was comprised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Term loan debt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w:t>
            </w:r>
          </w:p>
        </w:tc>
        <w:tc>
          <w:tcPr>
            <w:tcW w:w="2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Unamortized deferred finance costs related to term loan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r>
      <w:tr>
        <w:trPr>
          <w:trHeight w:val="210"/>
        </w:trPr>
        <w:tc>
          <w:tcPr>
            <w:tcW w:w="64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of long-term debt (i)</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w:t>
            </w:r>
          </w:p>
        </w:tc>
        <w:tc>
          <w:tcPr>
            <w:tcW w:w="200" w:type="dxa"/>
            <w:vAlign w:val="bottom"/>
            <w:tcBorders>
              <w:bottom w:val="single" w:sz="8" w:color="CCEEFF"/>
            </w:tcBorders>
          </w:tcPr>
          <w:p>
            <w:pPr>
              <w:spacing w:after="0"/>
              <w:rPr>
                <w:sz w:val="18"/>
                <w:szCs w:val="18"/>
                <w:color w:val="auto"/>
              </w:rPr>
            </w:pPr>
          </w:p>
        </w:tc>
      </w:tr>
      <w:tr>
        <w:trPr>
          <w:trHeight w:val="210"/>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14,158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13,838</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80" w:right="79" w:hanging="330"/>
        <w:spacing w:after="0" w:line="26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current portion of long-term debt as of March 31, 2021 is based upon the payment terms specified in the new loan and security agreement entered into on April 14, 2021, which resulted in the extinguishment of the term loan debt that existed as of March 31, 2021. See Note 12 for further details.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Term Loan Debt</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February 11, 2019, the Company entered into an amended loan agreement (the “Loan Agreement”) with Bank Hapoalim B.M. (“BHI”), which amended and restated the prior term loan, such that, as of February 11, 2019, the aggregate outstanding balance of all the term loans extended by BHI to Xcel was $22.0 million, which amount was divided under the Xcel Term Loan agreement into two term loans: (1) a term loan in the amount of $7.3 million (“Term Loan A”) and (2) a term loan in the amount of $14.7 million (“Term Loan B” and, together with Term Loan A, the “Term Loans”).</w:t>
      </w:r>
    </w:p>
    <w:p>
      <w:pPr>
        <w:spacing w:after="0" w:line="16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Loan Agreement also allows that BHI and any other lender party to the Loan Agreement (collectively, the “Lenders”) can provide to Xcel a revolving loan facility and a letter of credit facility, the terms of each of which shall be agreed to by Xcel and the Lenders. Amounts advanced under the revolving loan facility (the “Revolving Loans”) will be used for the purpose of consummating acquisitions by Xcel or its subsidiaries that are or become parties to the Loan Agreement. Xcel will have the right to convert Revolving Loans to incremental term loans (the “Incremental Term Loans”) in minimum amounts of $5.0 million. The Company has not drawn down any funds under either the revolving loan facility or letter of credit facility.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April 13, 2020, the Company and BHI amended the Loan Agreement. Under this amendment, the quarterly installment payment due March 31, 2020 was deferred, and the amounts of the quarterly installment payments due throughout the remainder of 2020 were reduced, while the amount of principal to be repaid through variable payments based on excess cash flow was increased. In addition, there were multiple changes and waivers to the various financial covenants. Further, this amendment permitted Xcel to incur unsecured debt through the Paycheck Protection Program (“PPP”) under the Coronavirus Aid, Relief, and Economic Security Act (“CARES Act”), and excludes any associated PPP debt and debt service from the covenant calculations. There were no changes to the total principal balance, interest rate, or maturity date.</w:t>
      </w:r>
    </w:p>
    <w:p>
      <w:pPr>
        <w:spacing w:after="0" w:line="16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August 18, 2020, the Company and BHI further amended the Loan Agreement. Under this amendment, the amounts of the quarterly installment payments due throughout 2021 were reduced, and the amount of principal to be repaid through variable payments based on excess cash flow was increased. In addition, there were multiple changes and waivers to the various financial covenants. There were no changes to the total principal balance, interest rate, or maturity date.</w:t>
      </w:r>
    </w:p>
    <w:p>
      <w:pPr>
        <w:spacing w:after="0" w:line="15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Management assessed and determined that the 2020 amendments represented debt modifications and, accordingly, no gain or loss was recorded. In connection with the 2020 amendments, the Company incurred fees to or on behalf of BHI of approximately $27,000; these fees, along with deferred finance costs related to financing transactions that took place in prior years, have been deferred on the condensed consolidated balance sheets as a reduction to the carrying value of the term loan debt, and are being amortized to interest expense over the term of the Loan Agreement using the effective interest method.</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Term Loans mature on December 31, 2023; Incremental Term Loans shall mature on the date set forth in the applicable term note; and Revolving Loans and the letter of credit facility shall mature on such date as agreed upon by Xcel and the Lenders. Any letter of credit issued under the Xcel Term Loan shall terminate no later than one year following the date of issuance thereof.</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March 31, 2021, concurrent with the negotiations to enter into a new loan and security agreement (see Note 12), the Company and BHI entered into a waiver and consent to the Loan Agreement, which deferred the principal payment due March 31, 2021 until May 1, 2021.</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remaining principal balance of the Term Loans outstanding as of March 31, 2021 is payable in fixed installments as set forth in the following table, plus the variable payments as described below:</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 in thousands)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7460" w:type="dxa"/>
            <w:vAlign w:val="bottom"/>
            <w:tcBorders>
              <w:top w:val="single" w:sz="8" w:color="auto"/>
            </w:tcBorders>
            <w:gridSpan w:val="2"/>
          </w:tcPr>
          <w:p>
            <w:pPr>
              <w:ind w:left="2800"/>
              <w:spacing w:after="0" w:line="142" w:lineRule="exact"/>
              <w:rPr>
                <w:sz w:val="20"/>
                <w:szCs w:val="20"/>
                <w:color w:val="auto"/>
              </w:rPr>
            </w:pPr>
            <w:r>
              <w:rPr>
                <w:rFonts w:ascii="Arial" w:cs="Arial" w:eastAsia="Arial" w:hAnsi="Arial"/>
                <w:sz w:val="14"/>
                <w:szCs w:val="14"/>
                <w:b w:val="1"/>
                <w:bCs w:val="1"/>
                <w:color w:val="auto"/>
              </w:rPr>
              <w:t>Installment Payment Dates</w:t>
            </w: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Amount</w:t>
            </w:r>
          </w:p>
        </w:tc>
      </w:tr>
      <w:tr>
        <w:trPr>
          <w:trHeight w:val="210"/>
        </w:trPr>
        <w:tc>
          <w:tcPr>
            <w:tcW w:w="7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1, 2021, June 30, 2021, September 30, 2021, and December 31, 2021</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2022, June 30, 2022, September 30, 2022, and December 31, 2022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r>
      <w:tr>
        <w:trPr>
          <w:trHeight w:val="216"/>
        </w:trPr>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2023, June 30, 2023, September 30, 2023, and December 31, 2023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bl>
    <w:p>
      <w:pPr>
        <w:spacing w:after="0" w:line="20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addition to the fixed installments outlined above, commencing with the fiscal quarter ended March 31, 2021, the Company is required to repay a portion of the Xcel Term Loan in an amount equal to 50% of the excess cash flow for the fiscal quarter, provided that no early termination fee shall be payable with respect to any such payment. Excess cash flow means, for any period, cash flow from operations (before certain permitted distributions) less (i) capital expenditures not made through the incurrence of indebtedness, (ii) all cash principal paid or payable during such period, and (iii) all dividends declared and paid (or which could have been declared and paid) during such period to equity holders of any credit party treated as a disregarded entity for tax purposes. To the extent that the cumulative amount of such variable repayments made is less than $4.45 million as of March 31, 2022, any such shortfall must be repaid at that date. No such payments based on excess cash flow were made for the quarter ended March 31, 2021.</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Thus, the aggregate remaining annual scheduled principal payments under the Term Loans at March 31, 2021 were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62"/>
        </w:trPr>
        <w:tc>
          <w:tcPr>
            <w:tcW w:w="7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71"/>
        </w:trPr>
        <w:tc>
          <w:tcPr>
            <w:tcW w:w="78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209"/>
        </w:trPr>
        <w:tc>
          <w:tcPr>
            <w:tcW w:w="7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8,950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0"/>
        </w:trPr>
        <w:tc>
          <w:tcPr>
            <w:tcW w:w="78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Xcel has the right to prepay the Term Loans, Incremental Term Loans, Revolving Loans, and obligations with respect to letters of credit and accrued and unpaid interest thereon and to terminate the Lenders’ obligations to make Revolving Loans and issue letters of credit, provided that any prepayment of less than all of the outstanding balances of the Term Loans and Incremental Term Loans shall be applied to the remaining amounts due in inverse order of maturity.</w:t>
      </w:r>
    </w:p>
    <w:p>
      <w:pPr>
        <w:spacing w:after="0" w:line="157"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If any Term Loan or any Incremental Term Loan is prepaid on or prior to the third anniversary of the Closing Date (including as a result of an event of default), Xcel shall pay an early termination fee as follows: an amount equal to the principal amount of the Term Loan or Incremental Term Loan, as applicable, being prepaid, multiplied by: (i) two percent (2.00%) if any of Term Loan B or any Incremental Term Loan is prepaid on or before the second anniversary of the later of the Closing Date or the date such Incremental Term Loan was made, as applicable; (ii) one percent (1.00%) if any of Term Loan A is prepaid on or before the second anniversary of the Closing Date; (iii) one percent (1.00%) if any of Term Loan B or any Incremental Term Loan is prepaid after the second anniversary of the later of the Closing Date or such Incremental Term Loan was made, as applicable, but on or before the third anniversary of such date; (iv) one-half of one percent (0.50%) if any of Term Loan A is prepaid after the second anniversary of the Closing Date, but on or before the third anniversary of such date; or (v) zero percent (0.00%) if any Term Loan or any Incremental Term Loan is prepaid after the third anniversary of the later of the Closing Date or the date such Incremental Term Loan was made, as applicable.</w:t>
      </w:r>
    </w:p>
    <w:p>
      <w:pPr>
        <w:spacing w:after="0" w:line="17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Xcel’s obligations under the Loan Agreement are guaranteed by and secured by all of the assets of Xcel and its wholly-owned subsidiaries, as well as any subsidiary formed or acquired that becomes a credit party to the Term Loans (the “Guarantors”) and, subject to certain limitations contained in the Term Loans, equity interests of the Guarantors. Xcel also granted the Lenders a right of first offer to finance any acquisition for which the consideration will be paid other than by cash of Xcel or by the issuance of equity interest of Xcel.</w:t>
      </w:r>
    </w:p>
    <w:p>
      <w:pPr>
        <w:spacing w:after="0" w:line="18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Interest on Term Loan A accrues at a fixed rate of 5.1% per annum and is payable on each day on which the scheduled principal payments on Term Loans are required to be made. Interest on Term Loan B accrues at a fixed rate of 6.25% per annum and is payable on each day on which the scheduled principal payments on Term Loans are required to be made. Interest on the Revolving Loans will accrue at either the Base Rate or LIBOR, as elected by Xcel, plus a margin to be agreed to by Xcel and the Lenders and will be payable on the first day of each month. Base Rate is defined in the Xcel Term Loan agreement as the greater of (a) BHI’s stated prime rate or (b) 2.00% per annum plus the overnight federal funds rate published by the Federal Reserve Bank of New York. Interest on the Incremental Term Loans will accrue at rates to be agreed to by Xcel and the Lenders and will be payable on each day on which the scheduled principal payments under the applicable note are required to be made.</w:t>
      </w:r>
    </w:p>
    <w:p>
      <w:pPr>
        <w:spacing w:after="0" w:line="181"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Loan Agreement contains customary covenants, including reporting requirements, trademark preservation, and the following financial covenants of Xcel (on a consolidated basis with Xcel and the Guarantors under the Loan Agreement):</w:t>
      </w:r>
    </w:p>
    <w:p>
      <w:pPr>
        <w:spacing w:after="0" w:line="124" w:lineRule="exact"/>
        <w:rPr>
          <w:sz w:val="20"/>
          <w:szCs w:val="20"/>
          <w:color w:val="auto"/>
        </w:rPr>
      </w:pPr>
    </w:p>
    <w:p>
      <w:pPr>
        <w:jc w:val="center"/>
        <w:ind w:left="4420" w:right="759" w:hanging="3722"/>
        <w:spacing w:after="0" w:line="778" w:lineRule="auto"/>
        <w:tabs>
          <w:tab w:leader="none" w:pos="1028"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worth as defined in the loan agreements of at least $90.0 million at the end of each fiscal quarter;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1020" w:right="79" w:hanging="322"/>
        <w:spacing w:after="0" w:line="26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liquid assets of at least $2.5 million for the fiscal quarters ending March 31, 2021 through September 30, 2021, at least $3.0 million for the fiscal quarter ending December 31, 2021, and at least $5.0 million thereafter;</w:t>
      </w:r>
    </w:p>
    <w:p>
      <w:pPr>
        <w:spacing w:after="0" w:line="183"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fixed charge coverage ratio for the twelve fiscal month period ending at the end of each fiscal quarter shall not be less than the ratio set forth below:</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820" w:type="dxa"/>
            <w:vAlign w:val="bottom"/>
            <w:gridSpan w:val="2"/>
          </w:tcPr>
          <w:p>
            <w:pPr>
              <w:ind w:left="1760"/>
              <w:spacing w:after="0"/>
              <w:rPr>
                <w:sz w:val="20"/>
                <w:szCs w:val="20"/>
                <w:color w:val="auto"/>
              </w:rPr>
            </w:pPr>
            <w:r>
              <w:rPr>
                <w:rFonts w:ascii="Arial" w:cs="Arial" w:eastAsia="Arial" w:hAnsi="Arial"/>
                <w:sz w:val="14"/>
                <w:szCs w:val="14"/>
                <w:b w:val="1"/>
                <w:bCs w:val="1"/>
                <w:color w:val="auto"/>
              </w:rPr>
              <w:t>Fiscal Quarter End</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Fixed Charge Coverage Ratio</w:t>
            </w:r>
          </w:p>
        </w:tc>
      </w:tr>
      <w:tr>
        <w:trPr>
          <w:trHeight w:val="195"/>
        </w:trPr>
        <w:tc>
          <w:tcPr>
            <w:tcW w:w="46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March 31, 2021, June 30, 2021, September 30, 2021, and</w:t>
            </w:r>
          </w:p>
        </w:tc>
        <w:tc>
          <w:tcPr>
            <w:tcW w:w="14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r>
      <w:tr>
        <w:trPr>
          <w:trHeight w:val="230"/>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 to 1.00</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March 31, 2022, and thereafter</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1.10 to 1.00</w:t>
            </w:r>
          </w:p>
        </w:tc>
      </w:tr>
    </w:tbl>
    <w:p>
      <w:pPr>
        <w:spacing w:after="0" w:line="187" w:lineRule="exact"/>
        <w:rPr>
          <w:sz w:val="20"/>
          <w:szCs w:val="20"/>
          <w:color w:val="auto"/>
        </w:rPr>
      </w:pPr>
    </w:p>
    <w:p>
      <w:pPr>
        <w:ind w:left="1020" w:right="79" w:hanging="322"/>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(excluding any capitalized compensation costs) shall not exceed $0.7 million for any fiscal year beginning after December 31, 2020; and</w:t>
      </w:r>
    </w:p>
    <w:p>
      <w:pPr>
        <w:spacing w:after="0" w:line="170" w:lineRule="exact"/>
        <w:rPr>
          <w:rFonts w:ascii="Arial" w:cs="Arial" w:eastAsia="Arial" w:hAnsi="Arial"/>
          <w:sz w:val="18"/>
          <w:szCs w:val="18"/>
          <w:color w:val="auto"/>
        </w:rPr>
      </w:pPr>
    </w:p>
    <w:p>
      <w:pPr>
        <w:ind w:left="1020" w:right="339" w:hanging="322"/>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leverage ratio for the twelve fiscal month period ending at the end of each fiscal period set forth below shall not exceed the ratio below:</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5040" w:type="dxa"/>
            <w:vAlign w:val="bottom"/>
            <w:gridSpan w:val="2"/>
          </w:tcPr>
          <w:p>
            <w:pPr>
              <w:ind w:left="2040"/>
              <w:spacing w:after="0"/>
              <w:rPr>
                <w:sz w:val="20"/>
                <w:szCs w:val="20"/>
                <w:color w:val="auto"/>
              </w:rPr>
            </w:pPr>
            <w:r>
              <w:rPr>
                <w:rFonts w:ascii="Arial" w:cs="Arial" w:eastAsia="Arial" w:hAnsi="Arial"/>
                <w:sz w:val="14"/>
                <w:szCs w:val="14"/>
                <w:b w:val="1"/>
                <w:bCs w:val="1"/>
                <w:color w:val="auto"/>
              </w:rPr>
              <w:t>Fiscal Period</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Leverage Ratio</w:t>
            </w:r>
          </w:p>
        </w:tc>
      </w:tr>
      <w:tr>
        <w:trPr>
          <w:trHeight w:val="210"/>
        </w:trPr>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 2021</w:t>
            </w:r>
          </w:p>
        </w:tc>
        <w:tc>
          <w:tcPr>
            <w:tcW w:w="1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3.15 to 1.00</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June 30, 2021</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3.00 to 1.00</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2021</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2.75 to 1.00</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December 31, 2021</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2.50 to 1.00</w:t>
            </w:r>
          </w:p>
        </w:tc>
      </w:tr>
      <w:tr>
        <w:trPr>
          <w:trHeight w:val="230"/>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2022 and each Fiscal Quarter end thereafter</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 to 1.00</w:t>
            </w: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the current and prior year quarter, the Company incurred aggregate interest expense related to term loan debt of approximately $256,000 and $288,000, respectively. The effective interest rate related to term loan debt was approximately 6.6% for the current quarter and prior year quarter.</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Subsequent to March 31, 2021, the Company and its wholly-owned subsidiaries entered into a new loan and security agreement, which resulted in the extinguishment of the term loan debt that existed as of March 31, 2021. See Note 12 for further details.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13,000,000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177"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The Company accounts for stock-based compensation in accordance with Accounting Standards Codification Topic 718, “Compensation - Stock Compensation,” by recognizing the fair value of stock-based compensation as an operating expense over the service period of the award or term of the corresponding contract, as applicable.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fair value of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 of the awards, and actual and projected employee stock option exercise behaviors. The risk-free rate is based on the U.S. Treasury rate for the expected life at the time of grant, volatility is based on the long-term implied volatilities of the Company’s stock, and expected life is based on the estimated average of the life of options and warrants using the simplified method.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Restricted stock awards are valued using the fair value of the Company’s stock at the date of grant.</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stock option awards for which vesting is contingent upon the achievement of certain performance targets, the timing and amount of compensation expense recognized is based upon the Company’s projections and estimates of the relevant performance metric(s) until the time the performance obligation is satisfied.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Forfeitures are accounted for as a reduction of compensation cost in the period when such forfeitures occur.</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Options granted under the Plan expire at various times - either five, seven, or ten years from the date of grant, depending on the particular grant.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stock options activity for the current quarter is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3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Options</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7,179,375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365,390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Canceled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Expired/Forfeited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(1,639,000)</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March 31, 2021, and expected to vest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5,900,765</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3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March 31, 2021</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1,887,098</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3.56</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On March 15, 2021, the Company granted options to purchase an aggregate of 365,390 shares of common stock to various employees. The exercise price of the options is $1.86 per share, and all options vested immediately on the date of grant.</w:t>
      </w:r>
    </w:p>
    <w:p>
      <w:pPr>
        <w:spacing w:after="0" w:line="12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Compensation expense related to stock options for the current quarter and the prior year quarter was approximately $158,000 and $68,000, respectively.</w:t>
      </w:r>
    </w:p>
    <w:p>
      <w:pPr>
        <w:spacing w:after="0" w:line="170"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Total unrecognized compensation expense related to unvested stock options at March 31, 2021 amounts to approximately $119,000 and is expected to be recognized over a weighted average period of approximately 0.85 years.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non-vested stock options activity for the current quarter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68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86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4,116,167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365,390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(467,890)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Forfeited or Canceled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4,013,667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Warrants expire at various times - either five or ten years from the date of grant, depending on the particular grant.</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warrants activity for the current quarter is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Exercise</w:t>
            </w: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exercisable at January 1, 2021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579,815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Canceled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Expired/Forfeited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Arial" w:cs="Arial" w:eastAsia="Arial" w:hAnsi="Arial"/>
                <w:sz w:val="18"/>
                <w:szCs w:val="18"/>
                <w:color w:val="auto"/>
              </w:rPr>
              <w:t>Outstanding and exercisable at March 31, 2021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579,815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63</w:t>
            </w:r>
          </w:p>
        </w:tc>
        <w:tc>
          <w:tcPr>
            <w:tcW w:w="1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 compensation expense related to warrants was recognized in the current quarter or prior year quarter.</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Awards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restricted stock activity for the current quarter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84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68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4"/>
                <w:szCs w:val="14"/>
                <w:color w:val="auto"/>
              </w:rPr>
            </w:pPr>
          </w:p>
        </w:tc>
        <w:tc>
          <w:tcPr>
            <w:tcW w:w="84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780,833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Canceled</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Vested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Expired/Forfeited</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860" w:type="dxa"/>
            <w:vAlign w:val="bottom"/>
          </w:tcPr>
          <w:p>
            <w:pPr>
              <w:ind w:left="20"/>
              <w:spacing w:after="0"/>
              <w:rPr>
                <w:sz w:val="20"/>
                <w:szCs w:val="20"/>
                <w:color w:val="auto"/>
              </w:rPr>
            </w:pPr>
            <w:r>
              <w:rPr>
                <w:rFonts w:ascii="Arial" w:cs="Arial" w:eastAsia="Arial" w:hAnsi="Arial"/>
                <w:sz w:val="18"/>
                <w:szCs w:val="18"/>
                <w:color w:val="auto"/>
              </w:rPr>
              <w:t>Outstanding at March 31, 2021</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780,833</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Compensation expense related to restricted stock grants for the current and prior year quarter was approximately $10,000 and $23,000,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There was no remaining unrecognized compensation expense related to unvested restricted stock grants at March 31, 2021.</w:t>
      </w:r>
    </w:p>
    <w:p>
      <w:pPr>
        <w:spacing w:after="0" w:line="24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Additionally, during the current quarter, the Company recognized a reduction to compensation expense of approximately $(8,000) related to certain senior management bonuses earned and accrued as liabilities in 2020, which will be paid in a variable number of shares in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March 31, 2021, there were 2,826,541 shares of common stock available for issuance under the Plan.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March 31, 2021, there were 9,307,121 shares of common stock reserved for issuance pursuant to unexercised warrants and stock options, or available for issuance under the Plan.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not paid any dividends to date.</w:t>
      </w:r>
    </w:p>
    <w:p>
      <w:pPr>
        <w:spacing w:after="0" w:line="221" w:lineRule="exact"/>
        <w:rPr>
          <w:sz w:val="20"/>
          <w:szCs w:val="20"/>
          <w:color w:val="auto"/>
        </w:rPr>
      </w:pPr>
    </w:p>
    <w:p>
      <w:pPr>
        <w:ind w:left="360" w:hanging="310"/>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Basic earnings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Diluted EPS excludes all potentially dilutive shares of common stock if their effect is anti-dilutive.</w:t>
      </w:r>
    </w:p>
    <w:p>
      <w:pPr>
        <w:spacing w:after="0" w:line="176"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Three Months Ended</w:t>
      </w:r>
    </w:p>
    <w:p>
      <w:pPr>
        <w:ind w:left="69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55"/>
        </w:trPr>
        <w:tc>
          <w:tcPr>
            <w:tcW w:w="586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3"/>
                <w:szCs w:val="13"/>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19,261,436</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18,870,398</w:t>
            </w:r>
          </w:p>
        </w:tc>
        <w:tc>
          <w:tcPr>
            <w:tcW w:w="240" w:type="dxa"/>
            <w:vAlign w:val="bottom"/>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Effect of exercise of warrants</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exercise of stock options</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0"/>
        </w:trPr>
        <w:tc>
          <w:tcPr>
            <w:tcW w:w="5860" w:type="dxa"/>
            <w:vAlign w:val="bottom"/>
          </w:tcPr>
          <w:p>
            <w:pPr>
              <w:ind w:left="20"/>
              <w:spacing w:after="0"/>
              <w:rPr>
                <w:sz w:val="20"/>
                <w:szCs w:val="20"/>
                <w:color w:val="auto"/>
              </w:rPr>
            </w:pPr>
            <w:r>
              <w:rPr>
                <w:rFonts w:ascii="Arial" w:cs="Arial" w:eastAsia="Arial" w:hAnsi="Arial"/>
                <w:sz w:val="18"/>
                <w:szCs w:val="18"/>
                <w:color w:val="auto"/>
              </w:rPr>
              <w:t>Diluted</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19,261,436</w:t>
            </w:r>
          </w:p>
        </w:tc>
        <w:tc>
          <w:tcPr>
            <w:tcW w:w="26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18,870,398</w:t>
            </w:r>
          </w:p>
        </w:tc>
        <w:tc>
          <w:tcPr>
            <w:tcW w:w="24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a result of the net loss presented for the current quarter and prior year quarter, the Company calculated diluted earnings per share using basic weighted average shares outstanding for such period, as utilizing diluted shares would be anti-dilutive to loss per share.</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computation of diluted EPS excludes the following potentially dilutive securities because their inclusion would be anti-dilutive:</w:t>
      </w:r>
    </w:p>
    <w:p>
      <w:pPr>
        <w:spacing w:after="0" w:line="175" w:lineRule="exact"/>
        <w:rPr>
          <w:sz w:val="20"/>
          <w:szCs w:val="20"/>
          <w:color w:val="auto"/>
        </w:rPr>
      </w:pPr>
    </w:p>
    <w:p>
      <w:pPr>
        <w:ind w:left="6720"/>
        <w:spacing w:after="0"/>
        <w:rPr>
          <w:sz w:val="20"/>
          <w:szCs w:val="20"/>
          <w:color w:val="auto"/>
        </w:rPr>
      </w:pPr>
      <w:r>
        <w:rPr>
          <w:rFonts w:ascii="Arial" w:cs="Arial" w:eastAsia="Arial" w:hAnsi="Arial"/>
          <w:sz w:val="14"/>
          <w:szCs w:val="14"/>
          <w:b w:val="1"/>
          <w:bCs w:val="1"/>
          <w:color w:val="auto"/>
        </w:rPr>
        <w:t>Three Months Ended</w:t>
      </w:r>
    </w:p>
    <w:p>
      <w:pPr>
        <w:ind w:left="70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55"/>
        </w:trPr>
        <w:tc>
          <w:tcPr>
            <w:tcW w:w="5920" w:type="dxa"/>
            <w:vAlign w:val="bottom"/>
            <w:tcBorders>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tcPr>
          <w:p>
            <w:pPr>
              <w:ind w:left="500"/>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tcPr>
          <w:p>
            <w:pPr>
              <w:ind w:left="50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r>
      <w:tr>
        <w:trPr>
          <w:trHeight w:val="209"/>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and warrants</w:t>
            </w:r>
          </w:p>
        </w:tc>
        <w:tc>
          <w:tcPr>
            <w:tcW w:w="12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4"/>
              </w:rPr>
              <w:t>6,475,580</w:t>
            </w: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2"/>
              </w:rPr>
              <w:t>7,911,440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360" w:hanging="310"/>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effective income tax rate for the current quarter and the prior year quarter was approximately 5% and 40%, respectively, resulting in an income tax benefit provision of $0.14 million and $0.55 million, respectively.</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the current quarter, the federal statutory rate differed from the effective tax rate primarily due to recurring permanent differences, which decreased the effective tax rate by approximately 17%, partially offset by state taxes, which increased the effective tax rate by approximately 1%.</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prior year quarter, the federal statutory rate differed from the effective tax rate primarily due to state taxes and recurring permanent differences, which increased the effective tax rate by approximately 8% and 4%, respectively. The effective tax rate was also attributable to the tax impact of a potential federal net operating loss carryback due to the CARES Act. This item increased the effective rate by 7%.</w:t>
      </w:r>
    </w:p>
    <w:p>
      <w:pPr>
        <w:spacing w:after="0" w:line="183" w:lineRule="exact"/>
        <w:rPr>
          <w:sz w:val="20"/>
          <w:szCs w:val="20"/>
          <w:color w:val="auto"/>
        </w:rPr>
      </w:pPr>
    </w:p>
    <w:p>
      <w:pPr>
        <w:ind w:left="460" w:hanging="410"/>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Robert W. D’Loren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Jennifer D’Loren is the wife of Robert W. D’Loren, the Company’s Chief Executive Officer and Chairman of the Board, and is employed by the Company. Mrs. D’Loren brings vast experience in project management and implementation of financial IT solutions. During the past two years, Mrs. D’Loren has worked on the implementation of the Company’s ERP system. Mrs. D’Loren received compensation of $10,000 and $37,000 for the current quarter and prior year quarter,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Isaac Mizrahi</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On February 24, 2020, the Company entered into an employment agreement with Isaac Mizrahi, a principal stockholder of the Company, for Mr. Mizrahi to continue to serve as Chief Design Officer of the Isaac Mizrahi Brand. The term of the employment agreement expires on December 31, 2022, subject to earlier termination, and may be extended, at the Company’s option, for two successive one-year terms (each, a “Renewal Period”). Mr. Mizrahi’s base salary shall be $1.8 million, $2.0 million, and $2.1 million per annum during the term of the agreement and $2.25 million and $2.4 million during 2023 and 2024 if the term is extended, in each case, subject to adjustment in the event Mr. Mizrahi does not make a specified number of appearances on the QVC channel. Mr. Mizrahi shall be eligible to receive an annual cash bonus (the “Bonus”) up to an amount equal to $2.5 million less base salary for 2020 and $3.0 million less base salary for 2021, 2022, and any year during the Renewal Period. The Bonus shall consist of the DRT Revenue, Bonus, the Brick-and-Mortar Bonus, the Endorsement Bonus and the Monday Bonus, if any, as determined in accordance with the below:</w:t>
      </w:r>
    </w:p>
    <w:p>
      <w:pPr>
        <w:spacing w:after="0" w:line="168" w:lineRule="exact"/>
        <w:rPr>
          <w:sz w:val="20"/>
          <w:szCs w:val="20"/>
          <w:color w:val="auto"/>
        </w:rPr>
      </w:pPr>
    </w:p>
    <w:p>
      <w:pPr>
        <w:jc w:val="both"/>
        <w:ind w:left="700" w:right="79" w:hanging="326"/>
        <w:spacing w:after="0" w:line="263"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“DRT Bonus” means for any calendar year an amount equal to 10% of the aggregate net revenue related to sales of Isaac Mizrahi Brand products through direct response television. The DRT Revenue Bonus shall be reduced by the amount of the Monday Bonus.</w:t>
      </w:r>
    </w:p>
    <w:p>
      <w:pPr>
        <w:spacing w:after="0" w:line="183" w:lineRule="exact"/>
        <w:rPr>
          <w:rFonts w:ascii="Arial" w:cs="Arial" w:eastAsia="Arial" w:hAnsi="Arial"/>
          <w:sz w:val="18"/>
          <w:szCs w:val="18"/>
          <w:color w:val="auto"/>
        </w:rPr>
      </w:pPr>
    </w:p>
    <w:p>
      <w:pPr>
        <w:ind w:left="700" w:right="79" w:hanging="326"/>
        <w:spacing w:after="0" w:line="308" w:lineRule="auto"/>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“Brick-and-Mortar Bonus” means for any calendar year an amount equal to 10% of the net revenues from sales of products under the Isaac Mizrahi Brand, excluding DRT revenue and endorsement revenues.</w:t>
      </w:r>
    </w:p>
    <w:p>
      <w:pPr>
        <w:spacing w:after="0" w:line="146" w:lineRule="exact"/>
        <w:rPr>
          <w:rFonts w:ascii="Arial" w:cs="Arial" w:eastAsia="Arial" w:hAnsi="Arial"/>
          <w:sz w:val="17"/>
          <w:szCs w:val="17"/>
          <w:color w:val="auto"/>
        </w:rPr>
      </w:pPr>
    </w:p>
    <w:p>
      <w:pPr>
        <w:jc w:val="both"/>
        <w:ind w:left="700" w:right="79" w:hanging="326"/>
        <w:spacing w:after="0" w:line="259" w:lineRule="auto"/>
        <w:tabs>
          <w:tab w:leader="none" w:pos="7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“Endorsement Bonus” means for any calendar year an amount equal to 40% of revenues derived from projects undertaken by the Company with one or more third parties solely for Mr. Mizrahi to endorse the third party’s products through the use of Mr. Mizrahi’s name, likeness, and/or image, and neither the Company nor Mr. Mizrahi provides licensing or design.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700" w:right="79" w:hanging="326"/>
        <w:spacing w:after="0" w:line="277" w:lineRule="auto"/>
        <w:tabs>
          <w:tab w:leader="none" w:pos="7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“Monday Bonus” means $10,000 for each appearance by Mr. Mizrahi on the QVC channel on Mondays (subject to certain expectations) up to a maximum of 40 such appearances in a calendar year.</w:t>
      </w:r>
    </w:p>
    <w:p>
      <w:pPr>
        <w:spacing w:after="0" w:line="17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Mr. Mizrahi is required to devote his full business time and attention to the business and affairs of the Company and its subsidiaries; however, Mr. Mizrahi is the principal of IM Ready-Made, LLC and Laugh Club, Inc. (“Laugh Club”), and accordingly, he may undertake promotional activities related thereto (including the promotion of his name, image, and likeness) through television, video, and other media (and retain any compensation he receives for such activities) (referred to as “Retained Media Rights”) so long as such activities (i) do not utilize the IM Trademarks, (ii) do not have a mutually negative impact upon or materially conflict with Mr. Mizrahi’s duties under the employment agreement, or (iii) are consented to by the Company. The Company believes that it benefits from Mr. Mizrahi’s independent promotional activities by increased brand awareness of IM Brands and the IM Trademarks.</w:t>
      </w:r>
    </w:p>
    <w:p>
      <w:pPr>
        <w:spacing w:after="0" w:line="178"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i w:val="1"/>
          <w:iCs w:val="1"/>
          <w:color w:val="auto"/>
        </w:rPr>
        <w:t>Severance</w:t>
      </w:r>
      <w:r>
        <w:rPr>
          <w:rFonts w:ascii="Arial" w:cs="Arial" w:eastAsia="Arial" w:hAnsi="Arial"/>
          <w:sz w:val="16"/>
          <w:szCs w:val="16"/>
          <w:color w:val="auto"/>
        </w:rPr>
        <w:t>. If Mr. Mizrahi’s employment is terminated by the Company without “cause,” or if Mr. Mizrahi resigns with</w:t>
      </w:r>
      <w:r>
        <w:rPr>
          <w:rFonts w:ascii="Arial" w:cs="Arial" w:eastAsia="Arial" w:hAnsi="Arial"/>
          <w:sz w:val="16"/>
          <w:szCs w:val="16"/>
          <w:i w:val="1"/>
          <w:iCs w:val="1"/>
          <w:color w:val="auto"/>
        </w:rPr>
        <w:t xml:space="preserve"> </w:t>
      </w:r>
      <w:r>
        <w:rPr>
          <w:rFonts w:ascii="Arial" w:cs="Arial" w:eastAsia="Arial" w:hAnsi="Arial"/>
          <w:sz w:val="16"/>
          <w:szCs w:val="16"/>
          <w:color w:val="auto"/>
        </w:rPr>
        <w:t>“good reason,” then Mr. Mizrahi will be entitled to receive his unpaid base salary and cash bonuses through the termination date and an amount equal to his base salary in effect on the termination date for the longer of six months and the remainder of the then-current term, but in no event exceeding 18 months. If Mr. Mizrahi’s employment is terminated by the Company without “cause” or if Mr. Mizrahi resigns with “good reason” within six months following a change of control (as defined in the employment agreement), Mr. Mizrahi shall be eligible to receive a lump-sum payment equal to two times the sum of</w:t>
      </w:r>
    </w:p>
    <w:p>
      <w:pPr>
        <w:spacing w:after="0" w:line="4" w:lineRule="exact"/>
        <w:rPr>
          <w:sz w:val="20"/>
          <w:szCs w:val="20"/>
          <w:color w:val="auto"/>
        </w:rPr>
      </w:pPr>
    </w:p>
    <w:p>
      <w:pPr>
        <w:ind w:left="280" w:hanging="230"/>
        <w:spacing w:after="0"/>
        <w:tabs>
          <w:tab w:leader="none" w:pos="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his base salary (at an average rate that would have been in effect for such two-year period following termination) plus</w:t>
      </w:r>
    </w:p>
    <w:p>
      <w:pPr>
        <w:spacing w:after="0" w:line="32" w:lineRule="exact"/>
        <w:rPr>
          <w:rFonts w:ascii="Arial" w:cs="Arial" w:eastAsia="Arial" w:hAnsi="Arial"/>
          <w:sz w:val="16"/>
          <w:szCs w:val="16"/>
          <w:color w:val="auto"/>
        </w:rPr>
      </w:pPr>
    </w:p>
    <w:p>
      <w:pPr>
        <w:ind w:left="320" w:hanging="270"/>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bonus paid or due to Mr. Mizrahi in the year prior to the change in control.</w:t>
      </w:r>
    </w:p>
    <w:p>
      <w:pPr>
        <w:spacing w:after="0" w:line="21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i w:val="1"/>
          <w:iCs w:val="1"/>
          <w:color w:val="auto"/>
        </w:rPr>
        <w:t>Non-Competition and Non-Solicitation</w:t>
      </w:r>
      <w:r>
        <w:rPr>
          <w:rFonts w:ascii="Arial" w:cs="Arial" w:eastAsia="Arial" w:hAnsi="Arial"/>
          <w:sz w:val="16"/>
          <w:szCs w:val="16"/>
          <w:color w:val="auto"/>
        </w:rPr>
        <w:t>. During the term of Mr. Mizrahi’s employment by the Company and for a one-year</w:t>
      </w:r>
      <w:r>
        <w:rPr>
          <w:rFonts w:ascii="Arial" w:cs="Arial" w:eastAsia="Arial" w:hAnsi="Arial"/>
          <w:sz w:val="16"/>
          <w:szCs w:val="16"/>
          <w:i w:val="1"/>
          <w:iCs w:val="1"/>
          <w:color w:val="auto"/>
        </w:rPr>
        <w:t xml:space="preserve"> </w:t>
      </w:r>
      <w:r>
        <w:rPr>
          <w:rFonts w:ascii="Arial" w:cs="Arial" w:eastAsia="Arial" w:hAnsi="Arial"/>
          <w:sz w:val="16"/>
          <w:szCs w:val="16"/>
          <w:color w:val="auto"/>
        </w:rPr>
        <w:t>period after the termination of such employment (unless his employment was terminated without “cause” or was terminated by him for “good reason”), Mr. Mizrahi may not permit his name to be used by or to participate in any business or enterprise (other than the mere passive ownership of not more than 3% of the outstanding stock of any class of a publicly held corporation whose stock is traded on a national securities exchange or in the over-the-counter market) that engages or proposes to engage in the Company’s business anywhere in the world other than the Company and its subsidiaries. Also during his employment and for a one-year period after the termination of such employment, Mr. Mizrahi may not, directly or indirectly, solicit, induce, or attempt to induce any customer, supplier, licensee, or other business relation of the Company or any of its subsidiaries to cease doing business with the Company or any or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7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February 24, 2020, the Company entered into a services agreement with Laugh Club, an entity wholly-owned by Mr. Mizrahi, pursuant to which Laugh Club shall provide services to Mr. Mizrahi necessary for Mr. Mizrahi to perform his services pursuant to the employment agreement. The Company will pay Laugh Club an annual fee of $0.72 million for such services.</w:t>
      </w:r>
    </w:p>
    <w:p>
      <w:pPr>
        <w:spacing w:after="0" w:line="183" w:lineRule="exact"/>
        <w:rPr>
          <w:sz w:val="20"/>
          <w:szCs w:val="20"/>
          <w:color w:val="auto"/>
        </w:rPr>
      </w:pPr>
    </w:p>
    <w:p>
      <w:pPr>
        <w:ind w:left="440" w:hanging="390"/>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Contingent Obligation</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 connection with the February 11, 2019 purchase of the Halston Heritage Trademarks from H Company IP, LLC (“HIP”), the Company agreed to pay HIP additional consideration (the “Halston Heritage Earn-Out”) of up to an aggregate of $6.0 million, based on royalties earned through December 31, 2022. The Halston Heritage Earn-Out of $0.9 million is recorded as a long-term liability at March 31, 2021 and December 31, 2020 in the accompanying condensed consolidated balance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sheets, based on the difference between the fair value of the acquired assets of the Halston Heritage Trademarks and the total consideration paid. In accordance with Accounting Standards Codification (“ASC”) Topic 480, “Distinguishing Liabilities from Equity,” the Halston Heritage Earn-Out obligation is treated as a liability in the accompanying condensed consolidated balance sheets because of the variable number of shares payable under the agreement.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Coronavirus Pandemic</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March 2020, the World Health Organization declared the outbreak of a novel coronavirus disease (“COVID-19”) as a pandemic, which continues to spread throughout the U.S. COVID-19 is having an unprecedented impact on the U.S. economy as federal, state, and local governments react to this public health crisis.</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impacts of the current COVID-19 pandemic are broad reaching and are having an impact on the Company’s licensing and wholesale businesses. The COVID-19 pandemic is impacting the Company’s supply chain as most of the Company’s products are manufactured in China, Thailand, and other places around the world affected by this event. Temporary factory closures and the pace of workers returning to work have impacted contract manufacturers’ ability to source certain raw materials and to produce finished goods in a timely manner. The outbreak is also impacting distribution and logistics providers' ability to operate in the normal course of business. Further, the pandemic has resulted in a sudden and continuing decrease in sales for many of the Company’s products, resulting in order cancellations, and a decrease in accounts receivable collections, as the Company recorded approximately $1 million of additional allowance for doubtful accounts for the year ended December 31, 2020, and approximately $0.1 million for the current quarter, for retailers that have filed for bankruptcy.</w:t>
      </w:r>
    </w:p>
    <w:p>
      <w:pPr>
        <w:spacing w:after="0" w:line="18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Due to the COVID-19 outbreak, there is significant uncertainty surrounding the potential impact on the Company’s future results of operations and cash flows. Continued impacts of the pandemic could materially adversely affect the Company’s near-term and long-term revenues, earnings, liquidity, and cash flows as the Company’s customers and/or licensees may request temporary relief, delay, or not make scheduled payments.</w:t>
      </w:r>
    </w:p>
    <w:p>
      <w:pPr>
        <w:spacing w:after="0" w:line="183" w:lineRule="exact"/>
        <w:rPr>
          <w:sz w:val="20"/>
          <w:szCs w:val="20"/>
          <w:color w:val="auto"/>
        </w:rPr>
      </w:pPr>
    </w:p>
    <w:p>
      <w:pPr>
        <w:ind w:left="460" w:hanging="410"/>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 of Lori Goldstein Brand</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On April 1, 2021, the Company and its wholly-owned subsidiary, Gold Licensing, LLC, acquired the “Lori Goldstein” trademarks and other intellectual property rights related thereto, from Lori Goldstein, Ltd. (the “Seller”), in exchange for initial cash consideration of $1.6 million, an additional $2.0 million of cash consideration payable upon the earlier of (i) the Company’s receipt of the first royalty payment from QVC with respect to the acquired trademarks or (ii) July 29, 2021, plus additional cash earn-out consideration of up to $12.5 million based on the future performance of the brand.</w:t>
      </w:r>
    </w:p>
    <w:p>
      <w:pPr>
        <w:spacing w:after="0" w:line="1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Concurrent with the acquisition, the Company also entered into a 10-year employment agreement with the shareholder of the Seller to serve as the brand’s Chief Creative Officer and Spokesperson, with a base salary of $0.9 million per annum through December 31, 2021 and $1.2 million per annum thereafter, and the opportunity to earn additional incentives based on the future net royalties related to the brand. Additionally, the Company concurrently entered into a consulting agreement with the Seller to provide creative advice and consultation, for a fee of $0.6 million per annum through December 31, 2021 and $0.8 million per annum thereafter.</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Upon the consummation of the acquisition of the Lori Goldstein Brand described above, the Company incurred cash bonuses totaling $175,000 to certain members of the Company’s senior management (including $100,000 to the Chief Executive Officer, and $25,000 each to the Chief Financial Officer, President and Chief Operating Officer, and Executive Vice President of Business Development and Treasury), such success-related bonuses having been approved by the Board of Directors on March 18,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Refinancing Transaction</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April 14, 2021, the Company and its wholly-owned subsidiaries entered into a new loan and security agreement with BHI and First Eagle Alternative Credit, LLC (“FEAC”), which resulted in the extinguishment of the term loan debt that existed as of March 31, 2021. Under this transaction, the Company’s term loan debt obligation increased to $25.0 million, payable in 16 equal quarterly installments of $625,000, commencing June 30, 2021 and ending on March 31, 2025, with a final payment of $15.0 million payable on the maturity date of April 14, 2025. The new term loan debt bears interest at a weighted average rate of LIBOR plus 6.2% per annum. In addition, the facility provides for up to $25.0 million of future acquisition financing, subject to lender approval on a deal-by-deal basis. The Company’s obligations under the new loan and security agreement are secured by all of the assets of the Company and, subject to certain limitations, equity interests of the Company’s wholly-owned subsidiaries. The new loan and security agreement contains customary covenants, including reporting requirements, trademark preservation, and financial covenants. The Company paid an upfront fee of $625,000 to the lenders in connection with this transaction.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00" w:right="339" w:hanging="841"/>
        <w:spacing w:after="0" w:line="282" w:lineRule="auto"/>
        <w:tabs>
          <w:tab w:leader="none" w:pos="8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Safe Harbor Statement under the Private Securities Litigation Reform Act of 1995. </w:t>
      </w:r>
      <w:r>
        <w:rPr>
          <w:rFonts w:ascii="Arial" w:cs="Arial" w:eastAsia="Arial" w:hAnsi="Arial"/>
          <w:sz w:val="17"/>
          <w:szCs w:val="17"/>
          <w:color w:val="auto"/>
        </w:rPr>
        <w:t>The statements that are not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facts contained in this report are 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10-K for the fiscal year ended December 31, 2019.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Xcel Brands, Inc. (“Xcel,” the “Company,” “we,” “us,” or “our”) is a media and consumer products company engaged in the design, production, marketing, wholesale distribution, and direct-to-consumer sales of branded apparel, footwear, accessories, fine jewelry, home goods and other consumer products, and the acquisition of dynamic consumer lifestyle brands. Xcel was founded in 2011 with a vision to reimagine shopping, entertainment, and social media as one thing. The Company owns and manages the Isaac Mizrahi brand (the "Isaac Mizrahi Brand"), the Halston brand (the "Halston Brand"), the Judith Ripka brand (the "Ripka Brand"), the C Wonder brand (the "C Wonder Brand"), the LOGO by Lori Goldstein brand (the "Logo Lori Goldstein Brand"), and the Longaberger brand (the “Longaberger Brand”), pioneering a true omni-channel sales strategy which includes the promotion and sale of products under its brands through interactive television, digital live-stream shopping, brick-and-mortar retail, wholesale and e-commerce channels to be everywhere its customers shop.</w:t>
      </w:r>
    </w:p>
    <w:p>
      <w:pPr>
        <w:spacing w:after="0" w:line="19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the strategic acquisition of new brands. To grow our brands, we are focused on following primary strategies:</w:t>
      </w:r>
    </w:p>
    <w:p>
      <w:pPr>
        <w:spacing w:after="0" w:line="170" w:lineRule="exact"/>
        <w:rPr>
          <w:sz w:val="20"/>
          <w:szCs w:val="20"/>
          <w:color w:val="auto"/>
        </w:rPr>
      </w:pPr>
    </w:p>
    <w:p>
      <w:pPr>
        <w:jc w:val="both"/>
        <w:ind w:left="1020" w:right="79" w:hanging="322"/>
        <w:spacing w:after="0" w:line="279"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expanding and leveraging our live-streaming platform. We recently launched our live-streaming platform through our Longaberger brand technology platform with the goal to build the world’s largest digital marketplace powered by live-streaming and micro-influencers for home and other related products, designed to create a better lifestyle. We plan to leverage this technology across our other brands.</w:t>
      </w:r>
    </w:p>
    <w:p>
      <w:pPr>
        <w:spacing w:after="0" w:line="171" w:lineRule="exact"/>
        <w:rPr>
          <w:rFonts w:ascii="Arial" w:cs="Arial" w:eastAsia="Arial" w:hAnsi="Arial"/>
          <w:sz w:val="17"/>
          <w:szCs w:val="17"/>
          <w:color w:val="auto"/>
        </w:rPr>
      </w:pPr>
    </w:p>
    <w:p>
      <w:pPr>
        <w:ind w:left="1020" w:hanging="32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wholesale distribution of our brands to retailers that sell to the end consumer;</w:t>
      </w:r>
    </w:p>
    <w:p>
      <w:pPr>
        <w:spacing w:after="0" w:line="225"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wholesale sales and/or licensing of our brands for sale through interactive television (i.e. QVC, HSN, The Shopping Channel, TVSN, etc.);</w:t>
      </w:r>
    </w:p>
    <w:p>
      <w:pPr>
        <w:spacing w:after="0" w:line="170" w:lineRule="exact"/>
        <w:rPr>
          <w:rFonts w:ascii="Arial" w:cs="Arial" w:eastAsia="Arial" w:hAnsi="Arial"/>
          <w:sz w:val="18"/>
          <w:szCs w:val="18"/>
          <w:color w:val="auto"/>
        </w:rPr>
      </w:pPr>
    </w:p>
    <w:p>
      <w:pPr>
        <w:ind w:left="1020" w:right="79" w:hanging="322"/>
        <w:spacing w:after="0" w:line="34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licensing our brands to manufacturers and retailers for promotion and distribution through e-commerce, social commerce, and traditional brick-and-mortar retail channels whereby we provide certain design services;</w:t>
      </w:r>
    </w:p>
    <w:p>
      <w:pPr>
        <w:spacing w:after="0" w:line="123" w:lineRule="exact"/>
        <w:rPr>
          <w:rFonts w:ascii="Arial" w:cs="Arial" w:eastAsia="Arial" w:hAnsi="Arial"/>
          <w:sz w:val="16"/>
          <w:szCs w:val="16"/>
          <w:color w:val="auto"/>
        </w:rPr>
      </w:pPr>
    </w:p>
    <w:p>
      <w:pPr>
        <w:ind w:left="1020" w:hanging="32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distribution of our brands through e-commerce directly to the end consumer; and</w:t>
      </w:r>
    </w:p>
    <w:p>
      <w:pPr>
        <w:spacing w:after="0" w:line="225"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acquiring additional consumer brands and integrating them into our operating platform while leveraging our operating infrastructure and distribution relationships.</w:t>
      </w:r>
    </w:p>
    <w:p>
      <w:pPr>
        <w:spacing w:after="0" w:line="170"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We believe that Xcel offers a unique value proposition to our retail and direct-to-consumer customers and our licensees for the following reasons:</w:t>
      </w:r>
    </w:p>
    <w:p>
      <w:pPr>
        <w:spacing w:after="0" w:line="170" w:lineRule="exact"/>
        <w:rPr>
          <w:sz w:val="20"/>
          <w:szCs w:val="20"/>
          <w:color w:val="auto"/>
        </w:rPr>
      </w:pPr>
    </w:p>
    <w:p>
      <w:pPr>
        <w:ind w:left="1020" w:right="79" w:hanging="322"/>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experience in, and relationships within the industry;</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deep knowledge and expertise in live streaming;</w:t>
      </w:r>
    </w:p>
    <w:p>
      <w:pPr>
        <w:spacing w:after="0" w:line="225"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design, production, sales, marketing, and supply chain and integrated technology platform that enables us to design and distribute trend-right product; and</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operating strategy, significant media and internet presence, and distribution network.</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design, production and supply chain platform was developed to shorten the supply chain cycle by utilizing state-of-the-art supply chain management technology, trend analytics, and data science to actively monitor fashion trends and read and react to customer demands.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Three months ended March 31, 2021 (the “current quarter”) compared with the three months ended March 31, 2020 (the “prior year quarter”)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Current quarter net revenue decreased approximately $1.7 million to $7.8 million from $9.5 million for the prior year quarter.</w:t>
      </w:r>
    </w:p>
    <w:p>
      <w:pPr>
        <w:spacing w:after="0" w:line="17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Net licensing revenue decreased by approximately $1.3 million in the current quarter to $4.3 million, compared with $5.6 million in the prior year quarter. Approximately $1.1 million of this decline was attributable to the discontinuation of the licensing of the H Halston brand through QVC during the fourth quarter of 2020, and the Company’s transitioning of that brand to a wholesale supply model under arrangements with HSN and certain Qurate global affiliates, and other unrelated interactive television networks. The remainder of the decline in net licensing revenue was primarily driven by lower sales by our licensees as a result of the economic impacts related to the ongoing COVID-19 pandemic.</w:t>
      </w:r>
    </w:p>
    <w:p>
      <w:pPr>
        <w:spacing w:after="0" w:line="16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Net product sales decreased by approximately $0.4 million in the current quarter to $3.5 million, compared with $3.9 million in the prior year quarter. Declines in wholesale apparel sales, primarily as the result of the economic impacts of the ongoing COVID-19 pandemic, were partially offset by significant growth in wholesale and e-commerce sales of fine jewelry as well as significant growth in e-commerce sales of Longaberger branded products.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Current quarter cost of goods sold was $1.8 million, compared with $2.4 million for the prior year quarter due to lower volume of wholesale and e-commerce sales in the current quarter. Gross profit (net revenue less cost of goods sold) decreased approximately $1.1 million to $6.0 million from $7.1 million in the prior year quarter, primarily driven by the aforementioned decline in net licensing revenue.</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Total gross profit margin increased by approximately 1%, from 75% in the prior year quarter to 76% in the current quarter. Gross profit margin from product sales increased from 38% in the prior year quarter to 48% in the current quarter as a result of achieving greater efficiencies.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Operating costs and expenses increased approximately $0.3 million from $8.2 million in the prior year quarter to $8.5 million in the current quarter. This increase was mainly driven by higher salaries and benefits costs, and higher marketing expenses, partially offset by lower depreciation and amortization expense, resulting from the impairment and write-down of our Judith Ripka intangible assets in the fourth quarter of 2020, and the fact that the prior year quarter included expenses related a potential acquisition which ultimately was not consummated.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Interest and finance expense for the current quarter was $0.3 million, compared with $0.3 million for the prior year quarter.</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effective income tax rate for the current quarter and the prior year quarter was approximately 5% and 40%, respectively, resulting in an income tax benefit of $0.1 million and $0.6 million, respectively.</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the current quarter, the federal statutory rate differed from the effective tax rate primarily due to recurring permanent differences, which decreased the effective tax rate by approximately 17%, partially offset by state taxes, which increased the effective tax rate by approximately 1%.</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prior year quarter, the federal statutory rate differed from the effective tax rate primarily due to state taxes and recurring permanent differences, which increased the effective tax rate by approximately 8% and 4%, respectively. The effective tax rate was also attributable to the tax impact of a potential federal net operating loss carryback due to the CARES Act. This item increased the effective rate by 7%.</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attributable to Xcel Brands, Inc. stockholders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had a net loss of $2.5 million for the current quarter, compared with a net loss of $0.8 million for the prior year quarter, due to the combination of the factors outlined above.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had a non-GAAP net loss of approximately $1.5 million, or $(0.08) per diluted share (“non-GAAP diluted EPS”), for the current quarter and non-GAAP net income of $0.2 million, or $0.01 per diluted share, for the prior year quarter. Non-GAAP net income is a non-GAAP unaudited term, which we define as net income (loss) attributable to Xcel Brands, Inc. stockholders, exclusive of amortization of trademarks, stock-based compensation, non-cash interest and finance expense from discounted debt related to acquired assets, loss on extinguishment of debt, gain on sales of assets, gain on reduction of contingent obligations, costs (recoveries) in connection with potential acquisitions, certain adjustments to allowances for doubtful accounts related to the bankruptcy of and economic impact on certain retail customers due to the COVID-19 pandemic, asset impairments, and deferred income taxes. Non-GAAP net income and non-GAAP diluted EPS measures do not include the tax effect of the aforementioned adjusting items, due to the nature of these items and the Company’s tax strategy.</w:t>
      </w:r>
    </w:p>
    <w:p>
      <w:pPr>
        <w:spacing w:after="0" w:line="18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had Adjusted EBITDA of negative $0.9 million for the current quarter, compared with Adjusted EBITDA of positive $0.7 million for the prior year quarter. Adjusted EBITDA is a non-GAAP unaudited measure, which we define as net income (loss) attributable to Xcel Brands, Inc. stockholders before depreciation and amortization, interest and finance expenses (including loss on extinguishment of debt, if any), income taxes, other state and local franchise taxes, stock-based compensation, gain on reduction of contingent obligations, gain on sale of assets, costs (recoveries) in connection with potential acquisitions, asset impairments, and certain adjustments to allowances for doubtful accounts related to the bankruptcy of and economic impact on certain retail customers due to the COVID-19 pandemic.</w:t>
      </w:r>
    </w:p>
    <w:p>
      <w:pPr>
        <w:spacing w:after="0" w:line="17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 Adjusted EBITDA is the measure used to calculate compliance with the EBITDA covenant under the Xcel Term Loan.</w:t>
      </w:r>
    </w:p>
    <w:p>
      <w:pPr>
        <w:spacing w:after="0" w:line="177"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Non-GAAP net income, non-GAAP diluted EPS, and Adjusted EBITDA should not be considered in isolation or as alternatives to net income, earnings per share, or any other measure of financial performance calculated and presented in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is a reconciliation of net loss attributable to Xcel Brands, Inc. stockholders (our most directly comparable financial measure presented in accordance with GAAP) to non-GAAP net income: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6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2"/>
                <w:szCs w:val="12"/>
                <w:color w:val="auto"/>
              </w:rPr>
            </w:pP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68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1"/>
        </w:trPr>
        <w:tc>
          <w:tcPr>
            <w:tcW w:w="68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Xcel Brands, Inc. stockholders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Amortization of trademarks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Costs in connection with potential acquisition</w:t>
            </w:r>
          </w:p>
        </w:tc>
        <w:tc>
          <w:tcPr>
            <w:tcW w:w="2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Certain adjustments to allowances for doubtful accounts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Deferred income tax benefit</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9"/>
        </w:trPr>
        <w:tc>
          <w:tcPr>
            <w:tcW w:w="6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Non-GAAP net (loss)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diluted loss per share (our most directly comparable financial measure presented in accordance with GAAP) to non-GAAP diluted EPS: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3"/>
          </w:tcPr>
          <w:p>
            <w:pPr>
              <w:jc w:val="right"/>
              <w:ind w:right="87"/>
              <w:spacing w:after="0" w:line="149" w:lineRule="exact"/>
              <w:rPr>
                <w:sz w:val="20"/>
                <w:szCs w:val="20"/>
                <w:color w:val="auto"/>
              </w:rPr>
            </w:pPr>
            <w:r>
              <w:rPr>
                <w:rFonts w:ascii="Arial" w:cs="Arial" w:eastAsia="Arial" w:hAnsi="Arial"/>
                <w:sz w:val="14"/>
                <w:szCs w:val="14"/>
                <w:b w:val="1"/>
                <w:bCs w:val="1"/>
                <w:color w:val="auto"/>
              </w:rPr>
              <w:t>March 31,</w:t>
            </w:r>
          </w:p>
        </w:tc>
        <w:tc>
          <w:tcPr>
            <w:tcW w:w="100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loss per share</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8"/>
                <w:szCs w:val="18"/>
                <w:color w:val="auto"/>
              </w:rPr>
              <w:t>Amortization of trademarks</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8"/>
                <w:szCs w:val="18"/>
                <w:color w:val="auto"/>
              </w:rPr>
              <w:t>Costs in connection with potential acquisition</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Certain adjustments to allowances for doubtful accounts</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8"/>
                <w:szCs w:val="18"/>
                <w:color w:val="auto"/>
              </w:rPr>
              <w:t>Deferred income tax benefit</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diluted EPS</w:t>
            </w:r>
          </w:p>
        </w:tc>
        <w:tc>
          <w:tcPr>
            <w:tcW w:w="17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ind w:left="20"/>
              <w:spacing w:after="0"/>
              <w:rPr>
                <w:sz w:val="20"/>
                <w:szCs w:val="20"/>
                <w:color w:val="auto"/>
              </w:rPr>
            </w:pPr>
            <w:r>
              <w:rPr>
                <w:rFonts w:ascii="Arial" w:cs="Arial" w:eastAsia="Arial" w:hAnsi="Arial"/>
                <w:sz w:val="18"/>
                <w:szCs w:val="18"/>
                <w:color w:val="auto"/>
              </w:rPr>
              <w:t>Non-GAAP weighted average diluted shares</w:t>
            </w:r>
          </w:p>
        </w:tc>
        <w:tc>
          <w:tcPr>
            <w:tcW w:w="1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19,261,436</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18,871,020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760" w:type="dxa"/>
            <w:vAlign w:val="bottom"/>
            <w:vMerge w:val="restart"/>
          </w:tcPr>
          <w:p>
            <w:pPr>
              <w:jc w:val="right"/>
              <w:ind w:right="1330"/>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2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is a reconciliation of net loss attributable to Xcel Brands, Inc. stockholders (our most directly comparable financial measure presented in accordance with GAAP) to Adjusted EBITDA:</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gridSpan w:val="3"/>
          </w:tcPr>
          <w:p>
            <w:pPr>
              <w:jc w:val="right"/>
              <w:ind w:right="290"/>
              <w:spacing w:after="0" w:line="149" w:lineRule="exact"/>
              <w:rPr>
                <w:sz w:val="20"/>
                <w:szCs w:val="20"/>
                <w:color w:val="auto"/>
              </w:rPr>
            </w:pPr>
            <w:r>
              <w:rPr>
                <w:rFonts w:ascii="Arial" w:cs="Arial" w:eastAsia="Arial" w:hAnsi="Arial"/>
                <w:sz w:val="14"/>
                <w:szCs w:val="14"/>
                <w:b w:val="1"/>
                <w:bCs w:val="1"/>
                <w:color w:val="auto"/>
              </w:rPr>
              <w:t>March 31,</w:t>
            </w:r>
          </w:p>
        </w:tc>
        <w:tc>
          <w:tcPr>
            <w:tcW w:w="8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1"/>
        </w:trPr>
        <w:tc>
          <w:tcPr>
            <w:tcW w:w="55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Xcel Brands, Inc. stockholders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1,210</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franchise taxes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Costs in connection with potential acquisition</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Certain adjustments to allowances for doubtful accounts</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Our principal capital requirements have been to fund working capital needs, acquire new brands, and to a lesser extent, capital expenditures. As of March 31, 2021 and December 31, 2020, our cash and cash equivalents were approximately $3.0 million and $5.0 million, respectively.</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Restricted cash at March 31, 2021 and at December 31, 2020 consisted of $1.1 million of cash deposited with BHI as collateral for an irrevocable standby letter of credit associated with the lease of our current corporate office and operating facility.</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April 14, 2021, we entered into a new loan and security agreement, which resulted in the extinguishment of the $16.8 million term loan debt which existed as of March 31, 2021, and increased our term loan debt obligations to $25.0 million. Under this agreement, our term loan debt obligation is payable in 16 equal quarterly installments of $625,000, commencing June 30, 2021 and ending on March 31, 2025, with a final payment of $15.0 million payable on the maturity date of April 14, 2025. The new term loan debt bears interest at a weighted average rate of LIBOR plus 6.2% per annum. In addition, the facility provides for up to $25.0 million of future acquisition financing, subject to lender approval on a deal-by-deal basis.</w:t>
      </w:r>
    </w:p>
    <w:p>
      <w:pPr>
        <w:spacing w:after="0" w:line="19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expect that existing cash and operating cash flows will be adequate to meet our operating needs, term debt service obligations, and capital expenditure needs, for at least the 12 months subsequent to the filing date of this Quarterly Report on Form 10-Q.</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working capital (current assets less current liabilities, excluding the current portion of operating lease obligations and any contingent obligations payable in common stock) was $6.5 million and $7.9 million as of March 31, 2021 and December 31, 2020, respectively. This working capital decrease was primarily attributable to cash used in operating activities during the first three months of 2021.</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Commentary on the components of our cash flows for the current quarter as compared with the prior year quarter is set forth below.</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Net cash used in operating activities was approximately $(1.69) million in the current quarter, compared with net cash provided by operating activities of approximately $0.31 million in the prior year quarter.</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current quarter cash used in operating activities was primarily attributable to the combination of the net loss of $(2.63) million plus non-cash expenses of approximately $1.38 million and the net change in operating assets and liabilities of approximately $(0.45) million. Non-cash net expenses were primarily comprised of $1.21 million of depreciation and amortization, $0.16 million of stock-based compensation, $0.13 million of bad debt expense, and a deferred income tax benefit of $(0.14) million. The net change in operating assets and liabilities includes an increase in inventory of $(1.57) million, an increase in accounts receivable of $(0.38) million, an increase in accounts payable, accrued expenses and other current liabilities of $1.82 million, an increase in prepaid expenses and other assets of $(0.22) million, and cash paid in excess of rent expense of $(0.10) million. The changes in inventory and accounts payable, which largely offset each other, are related and are mainly due to the timing of certain inventory purchases. The change in accounts receivable is primarily related to the timing of sales and collections.</w:t>
      </w:r>
    </w:p>
    <w:p>
      <w:pPr>
        <w:spacing w:after="0" w:line="18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prior year quarter cash provided by operating activities was primarily attributable to the combination of the net loss of $(0.84) million plus non-cash expenses of approximately $1.23 million, partially offset by a net change in operating assets and liabilities of approximately $(0.08) million. Non-cash net expenses were primarily comprised of $1.30 million of depreciation and amortization, $0.24 million of stock-based compensation, $0.21 million of bad debt expense, and deferred income tax benefit of $(0.55) million. The net change from operating assets and liabilities includes a decrease in accounts receivable of $1.57 million, a decrease in inventory of approximately $0.11 million, and a decrease in accounts payable, accrued expenses and other current liabilities of $(1.67) million, all of which were primarily due to timing of collections and payments, and cash paid in excess of rent expense of $(0.09) million.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Net cash used in investing activities for the current quarter was approximately $0.3 million, primarily attributable to capital expenditures relating to the fit-out and furnishing of our planned Judith Ripka fine jewelry retail store.</w:t>
      </w:r>
    </w:p>
    <w:p>
      <w:pPr>
        <w:spacing w:after="0" w:line="170"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Net cash used in investing activities for the prior year quarter was approximately $0.6 million and was attributable to capital expenditures, a substantial portion of which related to the implementation of our ERP system.</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was no cash provided by or used in financing activities for the current quarter.</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Net cash used in financing activities for the prior year quarter was approximately $0.1 million, and was attributable to shares repurchased related to vested restricted stock in exchange for withholding taxes.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Mizrahi brand, Halston brand, and C Wonder brand have a core business in fashion apparel and accessories. The Ripka brand is a fine jewelry business, and the Longaberger brand focuses on home good products, which we believe helps diversify our industry focus while at the same time complements our business operations and relationships.</w:t>
      </w:r>
    </w:p>
    <w:p>
      <w:pPr>
        <w:spacing w:after="0" w:line="17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continue to work towards expanding our wholesale and e-commerce businesses, and complement these operations with our licensing business, including interactive television, and leveraging our wholesale customers with our brick-and-mortar licensees. Our current strategy is to manage our working capital needs by minimizing inventory risk.</w:t>
      </w:r>
    </w:p>
    <w:p>
      <w:pPr>
        <w:spacing w:after="0" w:line="14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we continue to seek new opportunities, including expansion through interactive television, our design, production and supply chain platform, additional domestic and international licensing arrangements, and acquiring additional brands. In November 2019, we acquired an ownership interest in the Longaberger brand through a joint venture, and launched the brand on QVC that same month. In April 2021, we acquired the Lori Goldstein brand trademarks, which are currently available and sold to consumers through QVC.</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However, the impacts of the current COVID-19 pandemic are broad reaching and are having an impact on our licensing and wholesale businesses. This global pandemic is impacting our supply chain, and temporary factory closures and the pace of workers returning to work have impacted our contract manufacturers’ ability to source certain raw materials and to produce finished goods in a timely manner. The pandemic is also impacting distribution and logistics providers' ability to operate in the normal course of business. In addition, COVID-19 has resulted in a sudden and continuing decrease in sales for many of our products, resulting in order cancellations. Further, the global pandemic has affected the financial health of certain of our customers, and the bankruptcy of certain other customers, from which we had an aggregate of approximately $1.5 million of accounts receivable due at March 31, 2021. As a result, we have recognized an allowance for doubtful accounts of approximately $1.1 million as of March 31, 2021, and may be required to make additional adjustments for doubtful accounts which would increase our operating expenses in future periods and negatively impact our operating results, and could result in our failure to meet financial covenants under our credit facility. Financial impacts associated with the COVID-19 pandemic include, but are not limited to, lower net sales, adjustments to allowances for doubtful accounts due to customer bankruptcy or other inability to pay their amounts due to vendors, the delay of inventory production and fulfillment, potentially further impacting net sales, and potential incremental costs associated with mitigating the effects of the pandemic, including increased freight and logistics costs and other expenses. The impact of the COVID-19 pandemic is expected to continue to have an adverse effect on our operating results, which could result in our inability to comply with certain debt covenants and require BHI to waive compliance with, or agree to amend, any such covenant to avoid a default. The COVID-19 global pandemic is ongoing, and its dynamic nature, including uncertainties relating to the severity and duration of the pandemic, as well as actions that would be taken by governmental authorities to contain the pandemic or to treat its impact, makes it difficult to forecast any effects on our 2021 results. However, as of the date of this filing, we expect our results for some portion of 2021 to be significantly affected.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8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Please refer to our Annual Report on Form 10-K for the year ended December 31, 2020, filed with the SEC on April 23, 2021, for a discussion of our critical accounting policies. During the three months ended March 31, 2021, there were no material changes to our accounting policies.</w:t>
      </w:r>
    </w:p>
    <w:p>
      <w:pPr>
        <w:spacing w:after="0" w:line="396"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 to smaller reporting companies.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March 31, 2021, the end of the period covered by this report. Based on, and as of the date of such evaluation, the Chief Executive Officer and the Chief Financial Officer have concluded that our disclosure controls and procedures were not effective as of March 31, 2021, due to the material weakness described below.</w:t>
      </w:r>
    </w:p>
    <w:p>
      <w:pPr>
        <w:spacing w:after="0" w:line="17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As disclosed in our Annual Report on Form 10-K for the year ended December 31, 2020, filed with the SEC on April 23, 2021, our management concluded that our internal controls over financial reporting were not effective due to the material weakness set forth below. A material weakness is a deficiency, or a combination of control deficiencies, in internal control over financial reporting such that there is a reasonable possibility that a material misstatement of the Company’s annual or interim financial statements will not be prevented or detected on a timely basis.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basis for the conclusion that such internal control was ineffective included the following considerations:</w:t>
      </w:r>
    </w:p>
    <w:p>
      <w:pPr>
        <w:spacing w:after="0" w:line="225" w:lineRule="exact"/>
        <w:rPr>
          <w:sz w:val="20"/>
          <w:szCs w:val="20"/>
          <w:color w:val="auto"/>
        </w:rPr>
      </w:pPr>
    </w:p>
    <w:p>
      <w:pPr>
        <w:jc w:val="both"/>
        <w:ind w:left="700" w:right="79" w:hanging="326"/>
        <w:spacing w:after="0" w:line="259"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was unable to file its Annual Report on Form 10-K within the time specified in SEC rules and forms, due to material subsequent events occurring in the first quarter of 2021, including a significant brand acquisition and a significant debt refinancing transaction, and impacts of the ongoing COVID-19 pandemic on the Company’s processes; and</w:t>
      </w:r>
    </w:p>
    <w:p>
      <w:pPr>
        <w:spacing w:after="0" w:line="186"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complexities in determining an impairment charge in the fourth quarter of 2020 related to the carrying value of one of the Company’s trademarks required additional time for a complete analysis.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hired additional personnel in its finance department to address the material weakness.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There have not been any significant changes in our internal control over financial reporting (as defined in Rules 13a-15(f) and 15d-15(f) under the Exchange Act) during the fiscal quarter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83"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to the Risk Factors set forth in Part I, Item 1A, “Risk Factors” of our Annual Report on Form 10-K for the year ended December 31, 2020, set forth below are certain factors which could affect our financial condition and operating results. We operate in a highly competitive industry that involves numerous known and unknown risks and uncertainties that could impact our operations. The risks described in Part I, Item 1A, “Risk Factors” of our Annual Report on Form 10-K for the year ended December 31, 2020 are not the only risks we face. Additional risks and uncertainties not currently known to us or that we currently deem to be immaterial also may materially adversely affect our financial condition and/or operating results.</w:t>
      </w:r>
    </w:p>
    <w:p>
      <w:pPr>
        <w:spacing w:after="0" w:line="19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were no sales of unregistered or registered securities during the three months ended March 31, 2021.</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exhibits are filed herewith:</w:t>
      </w:r>
    </w:p>
    <w:p>
      <w:pPr>
        <w:spacing w:after="0" w:line="266" w:lineRule="exact"/>
        <w:rPr>
          <w:sz w:val="20"/>
          <w:szCs w:val="20"/>
          <w:color w:val="auto"/>
        </w:rPr>
      </w:pPr>
    </w:p>
    <w:p>
      <w:pPr>
        <w:ind w:left="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31.1 Rule 13a-14(a)/15d-14(a) Certification (CEO)</w:t>
        </w:r>
      </w:hyperlink>
    </w:p>
    <w:p>
      <w:pPr>
        <w:spacing w:after="0" w:line="50" w:lineRule="exact"/>
        <w:rPr>
          <w:sz w:val="20"/>
          <w:szCs w:val="20"/>
          <w:color w:val="auto"/>
        </w:rPr>
      </w:pPr>
    </w:p>
    <w:p>
      <w:pPr>
        <w:ind w:left="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31.2 Rule 13a-14(a)/15d-14(a) Certification (CFO)</w:t>
        </w:r>
      </w:hyperlink>
    </w:p>
    <w:p>
      <w:pPr>
        <w:spacing w:after="0" w:line="50" w:lineRule="exact"/>
        <w:rPr>
          <w:sz w:val="20"/>
          <w:szCs w:val="20"/>
          <w:color w:val="auto"/>
        </w:rPr>
      </w:pPr>
    </w:p>
    <w:p>
      <w:pPr>
        <w:ind w:left="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32.1 Section 1350 Certification (CEO)</w:t>
        </w:r>
      </w:hyperlink>
    </w:p>
    <w:p>
      <w:pPr>
        <w:spacing w:after="0" w:line="50" w:lineRule="exact"/>
        <w:rPr>
          <w:sz w:val="20"/>
          <w:szCs w:val="20"/>
          <w:color w:val="auto"/>
        </w:rPr>
      </w:pPr>
    </w:p>
    <w:p>
      <w:pPr>
        <w:ind w:left="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32.2 Section 1350 Certification (CFO)</w:t>
        </w:r>
      </w:hyperlink>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101.INS XBRL Instance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101.SCH XBRL Taxonomy Extension Schema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101.DEF XBRL Taxonomy Extension Definitions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101.LAB XBRL Taxonomy Extension Label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101.PRE XBRL Taxonomy Extension Presentation Linkbase Document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20" w:type="dxa"/>
            <w:vAlign w:val="bottom"/>
          </w:tcPr>
          <w:p>
            <w:pPr>
              <w:ind w:left="40"/>
              <w:spacing w:after="0"/>
              <w:rPr>
                <w:sz w:val="20"/>
                <w:szCs w:val="20"/>
                <w:color w:val="auto"/>
              </w:rPr>
            </w:pPr>
            <w:r>
              <w:rPr>
                <w:rFonts w:ascii="Arial" w:cs="Arial" w:eastAsia="Arial" w:hAnsi="Arial"/>
                <w:sz w:val="18"/>
                <w:szCs w:val="18"/>
                <w:color w:val="auto"/>
              </w:rPr>
              <w:t>Date: May 17, 2021</w:t>
            </w:r>
          </w:p>
        </w:tc>
        <w:tc>
          <w:tcPr>
            <w:tcW w:w="2160" w:type="dxa"/>
            <w:vAlign w:val="bottom"/>
          </w:tcPr>
          <w:p>
            <w:pPr>
              <w:ind w:left="174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D’Loren</w:t>
            </w:r>
          </w:p>
        </w:tc>
      </w:tr>
      <w:tr>
        <w:trPr>
          <w:trHeight w:val="195"/>
        </w:trPr>
        <w:tc>
          <w:tcPr>
            <w:tcW w:w="29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840" w:type="dxa"/>
            <w:vAlign w:val="bottom"/>
          </w:tcPr>
          <w:p>
            <w:pPr>
              <w:ind w:left="20"/>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29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2920" w:type="dxa"/>
            <w:vAlign w:val="bottom"/>
          </w:tcPr>
          <w:p>
            <w:pPr>
              <w:spacing w:after="0"/>
              <w:rPr>
                <w:sz w:val="24"/>
                <w:szCs w:val="24"/>
                <w:color w:val="auto"/>
              </w:rPr>
            </w:pPr>
          </w:p>
        </w:tc>
        <w:tc>
          <w:tcPr>
            <w:tcW w:w="2160" w:type="dxa"/>
            <w:vAlign w:val="bottom"/>
          </w:tcPr>
          <w:p>
            <w:pPr>
              <w:ind w:left="174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Haran</w:t>
            </w:r>
          </w:p>
        </w:tc>
      </w:tr>
      <w:tr>
        <w:trPr>
          <w:trHeight w:val="195"/>
        </w:trPr>
        <w:tc>
          <w:tcPr>
            <w:tcW w:w="29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840" w:type="dxa"/>
            <w:vAlign w:val="bottom"/>
          </w:tcPr>
          <w:p>
            <w:pPr>
              <w:ind w:left="20"/>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29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Title: Chief Financial Officer and Vice President</w:t>
            </w:r>
          </w:p>
        </w:tc>
      </w:tr>
      <w:tr>
        <w:trPr>
          <w:trHeight w:val="864"/>
        </w:trPr>
        <w:tc>
          <w:tcPr>
            <w:tcW w:w="2920" w:type="dxa"/>
            <w:vAlign w:val="bottom"/>
          </w:tcPr>
          <w:p>
            <w:pPr>
              <w:spacing w:after="0"/>
              <w:rPr>
                <w:sz w:val="24"/>
                <w:szCs w:val="24"/>
                <w:color w:val="auto"/>
              </w:rPr>
            </w:pP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30</w:t>
            </w:r>
          </w:p>
        </w:tc>
        <w:tc>
          <w:tcPr>
            <w:tcW w:w="3840" w:type="dxa"/>
            <w:vAlign w:val="bottom"/>
          </w:tcPr>
          <w:p>
            <w:pPr>
              <w:spacing w:after="0"/>
              <w:rPr>
                <w:sz w:val="24"/>
                <w:szCs w:val="24"/>
                <w:color w:val="auto"/>
              </w:rPr>
            </w:pPr>
          </w:p>
        </w:tc>
      </w:tr>
      <w:tr>
        <w:trPr>
          <w:trHeight w:val="560"/>
        </w:trPr>
        <w:tc>
          <w:tcPr>
            <w:tcW w:w="29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158"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March 31, 2021 of Xcel Brands, Inc. (the “Company”).</w:t>
      </w:r>
    </w:p>
    <w:p>
      <w:pPr>
        <w:spacing w:after="0" w:line="196" w:lineRule="exact"/>
        <w:rPr>
          <w:rFonts w:ascii="Arial" w:cs="Arial" w:eastAsia="Arial" w:hAnsi="Arial"/>
          <w:sz w:val="17"/>
          <w:szCs w:val="17"/>
          <w:color w:val="auto"/>
        </w:rPr>
      </w:pPr>
    </w:p>
    <w:p>
      <w:pPr>
        <w:ind w:right="200" w:firstLine="8"/>
        <w:spacing w:after="0" w:line="263"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6" w:lineRule="exact"/>
        <w:rPr>
          <w:rFonts w:ascii="Arial" w:cs="Arial" w:eastAsia="Arial" w:hAnsi="Arial"/>
          <w:sz w:val="18"/>
          <w:szCs w:val="18"/>
          <w:color w:val="auto"/>
        </w:rPr>
      </w:pPr>
    </w:p>
    <w:p>
      <w:pPr>
        <w:jc w:val="both"/>
        <w:ind w:right="60" w:firstLine="8"/>
        <w:spacing w:after="0" w:line="263"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3" w:lineRule="exact"/>
        <w:rPr>
          <w:rFonts w:ascii="Arial" w:cs="Arial" w:eastAsia="Arial" w:hAnsi="Arial"/>
          <w:sz w:val="18"/>
          <w:szCs w:val="18"/>
          <w:color w:val="auto"/>
        </w:rPr>
      </w:pPr>
    </w:p>
    <w:p>
      <w:pPr>
        <w:ind w:right="80" w:firstLine="8"/>
        <w:spacing w:after="0" w:line="291" w:lineRule="auto"/>
        <w:tabs>
          <w:tab w:leader="none" w:pos="17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sz w:val="20"/>
          <w:szCs w:val="20"/>
          <w:color w:val="auto"/>
        </w:rPr>
      </w:pPr>
    </w:p>
    <w:p>
      <w:pPr>
        <w:ind w:right="100" w:firstLine="8"/>
        <w:spacing w:after="0" w:line="263" w:lineRule="auto"/>
        <w:tabs>
          <w:tab w:leader="none" w:pos="1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right="180" w:firstLine="8"/>
        <w:spacing w:after="0" w:line="263" w:lineRule="auto"/>
        <w:tabs>
          <w:tab w:leader="none" w:pos="1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right="340" w:firstLine="8"/>
        <w:spacing w:after="0" w:line="263" w:lineRule="auto"/>
        <w:tabs>
          <w:tab w:leader="none" w:pos="1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7" w:lineRule="exact"/>
        <w:rPr>
          <w:sz w:val="20"/>
          <w:szCs w:val="20"/>
          <w:color w:val="auto"/>
        </w:rPr>
      </w:pPr>
    </w:p>
    <w:p>
      <w:pPr>
        <w:ind w:right="120" w:firstLine="8"/>
        <w:spacing w:after="0" w:line="263" w:lineRule="auto"/>
        <w:tabs>
          <w:tab w:leader="none" w:pos="1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ind w:right="180" w:firstLine="8"/>
        <w:spacing w:after="0" w:line="308" w:lineRule="auto"/>
        <w:tabs>
          <w:tab w:leader="none" w:pos="17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right="520" w:firstLine="8"/>
        <w:spacing w:after="0" w:line="277" w:lineRule="auto"/>
        <w:tabs>
          <w:tab w:leader="none" w:pos="1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8"/>
          <w:szCs w:val="18"/>
          <w:color w:val="auto"/>
        </w:rPr>
        <w:t>May 17, 2021</w:t>
      </w:r>
      <w:r>
        <w:rPr>
          <w:sz w:val="20"/>
          <w:szCs w:val="20"/>
          <w:color w:val="auto"/>
        </w:rPr>
        <w:tab/>
      </w:r>
      <w:r>
        <w:rPr>
          <w:rFonts w:ascii="Arial" w:cs="Arial" w:eastAsia="Arial" w:hAnsi="Arial"/>
          <w:sz w:val="16"/>
          <w:szCs w:val="16"/>
          <w:color w:val="auto"/>
        </w:rPr>
        <w:t>By: /s/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23495</wp:posOffset>
            </wp:positionV>
            <wp:extent cx="25717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Robert W. D’Loren</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158"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March 31, 2021 of Xcel Brands, Inc. (the “Company”).</w:t>
      </w:r>
    </w:p>
    <w:p>
      <w:pPr>
        <w:spacing w:after="0" w:line="196" w:lineRule="exact"/>
        <w:rPr>
          <w:rFonts w:ascii="Arial" w:cs="Arial" w:eastAsia="Arial" w:hAnsi="Arial"/>
          <w:sz w:val="17"/>
          <w:szCs w:val="17"/>
          <w:color w:val="auto"/>
        </w:rPr>
      </w:pPr>
    </w:p>
    <w:p>
      <w:pPr>
        <w:ind w:right="200" w:firstLine="8"/>
        <w:spacing w:after="0" w:line="263"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6" w:lineRule="exact"/>
        <w:rPr>
          <w:rFonts w:ascii="Arial" w:cs="Arial" w:eastAsia="Arial" w:hAnsi="Arial"/>
          <w:sz w:val="18"/>
          <w:szCs w:val="18"/>
          <w:color w:val="auto"/>
        </w:rPr>
      </w:pPr>
    </w:p>
    <w:p>
      <w:pPr>
        <w:jc w:val="both"/>
        <w:ind w:right="60" w:firstLine="8"/>
        <w:spacing w:after="0" w:line="263"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3" w:lineRule="exact"/>
        <w:rPr>
          <w:rFonts w:ascii="Arial" w:cs="Arial" w:eastAsia="Arial" w:hAnsi="Arial"/>
          <w:sz w:val="18"/>
          <w:szCs w:val="18"/>
          <w:color w:val="auto"/>
        </w:rPr>
      </w:pPr>
    </w:p>
    <w:p>
      <w:pPr>
        <w:ind w:right="80" w:firstLine="8"/>
        <w:spacing w:after="0" w:line="291" w:lineRule="auto"/>
        <w:tabs>
          <w:tab w:leader="none" w:pos="177"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sz w:val="20"/>
          <w:szCs w:val="20"/>
          <w:color w:val="auto"/>
        </w:rPr>
      </w:pPr>
    </w:p>
    <w:p>
      <w:pPr>
        <w:ind w:right="100" w:firstLine="8"/>
        <w:spacing w:after="0" w:line="263" w:lineRule="auto"/>
        <w:tabs>
          <w:tab w:leader="none" w:pos="1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right="180" w:firstLine="8"/>
        <w:spacing w:after="0" w:line="263" w:lineRule="auto"/>
        <w:tabs>
          <w:tab w:leader="none" w:pos="1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right="340" w:firstLine="8"/>
        <w:spacing w:after="0" w:line="263" w:lineRule="auto"/>
        <w:tabs>
          <w:tab w:leader="none" w:pos="1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7" w:lineRule="exact"/>
        <w:rPr>
          <w:sz w:val="20"/>
          <w:szCs w:val="20"/>
          <w:color w:val="auto"/>
        </w:rPr>
      </w:pPr>
    </w:p>
    <w:p>
      <w:pPr>
        <w:ind w:right="100" w:firstLine="8"/>
        <w:spacing w:after="0" w:line="263" w:lineRule="auto"/>
        <w:tabs>
          <w:tab w:leader="none" w:pos="1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43" w:lineRule="exact"/>
        <w:rPr>
          <w:sz w:val="20"/>
          <w:szCs w:val="20"/>
          <w:color w:val="auto"/>
        </w:rPr>
      </w:pPr>
    </w:p>
    <w:p>
      <w:pPr>
        <w:ind w:right="180" w:firstLine="8"/>
        <w:spacing w:after="0" w:line="308" w:lineRule="auto"/>
        <w:tabs>
          <w:tab w:leader="none" w:pos="17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right="520" w:firstLine="8"/>
        <w:spacing w:after="0" w:line="277" w:lineRule="auto"/>
        <w:tabs>
          <w:tab w:leader="none" w:pos="18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8"/>
          <w:szCs w:val="18"/>
          <w:color w:val="auto"/>
        </w:rPr>
        <w:t>May 17, 2021</w:t>
      </w:r>
      <w:r>
        <w:rPr>
          <w:sz w:val="20"/>
          <w:szCs w:val="20"/>
          <w:color w:val="auto"/>
        </w:rPr>
        <w:tab/>
      </w:r>
      <w:r>
        <w:rPr>
          <w:rFonts w:ascii="Arial" w:cs="Arial" w:eastAsia="Arial" w:hAnsi="Arial"/>
          <w:sz w:val="16"/>
          <w:szCs w:val="16"/>
          <w:color w:val="auto"/>
        </w:rPr>
        <w:t>By:  /s/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23495</wp:posOffset>
            </wp:positionV>
            <wp:extent cx="25114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James Haran</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657860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0"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In connection with the Quarterly Report of Xcel Brands, Inc. (the “Company”) on Form 10-Q for the period ended March 31, 2021 as filed with the Securities and Exchange Commission on the date hereof (the “Report”), I, Robert W. D’Loren, certify, pursuant to 18 U.S.C. Section 1350, as adopted pursuant to Section 906 of the Sarbanes-Oxley Act of 2002, that, to my knowledge:</w:t>
      </w:r>
    </w:p>
    <w:p>
      <w:pPr>
        <w:spacing w:after="0" w:line="149"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5340" w:val="left"/>
          <w:tab w:leader="none" w:pos="5860" w:val="left"/>
        </w:tabs>
        <w:rPr>
          <w:sz w:val="20"/>
          <w:szCs w:val="20"/>
          <w:color w:val="auto"/>
        </w:rPr>
      </w:pPr>
      <w:r>
        <w:rPr>
          <w:rFonts w:ascii="Arial" w:cs="Arial" w:eastAsia="Arial" w:hAnsi="Arial"/>
          <w:sz w:val="18"/>
          <w:szCs w:val="18"/>
          <w:color w:val="auto"/>
        </w:rPr>
        <w:t>May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23495</wp:posOffset>
            </wp:positionV>
            <wp:extent cx="24345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Robert W. D’Loren</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connection with the Quarterly Report of Xcel Brands, Inc. (the “Company”) on Form 10-Q for the period ended March 31, 2021 as filed with the Securities and Exchange Commission on the date hereof (the “Report”), I, James Haran, certify, pursuant to 18 U.S.C. Section 1350, as adopted pursuant to Section 906 of the Sarbanes-Oxley Act of 2002, that, to my knowledge:</w:t>
      </w:r>
    </w:p>
    <w:p>
      <w:pPr>
        <w:spacing w:after="0" w:line="165"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20"/>
        <w:spacing w:after="0"/>
        <w:tabs>
          <w:tab w:leader="none" w:pos="3520" w:val="left"/>
          <w:tab w:leader="none" w:pos="3960" w:val="left"/>
        </w:tabs>
        <w:rPr>
          <w:sz w:val="20"/>
          <w:szCs w:val="20"/>
          <w:color w:val="auto"/>
        </w:rPr>
      </w:pPr>
      <w:r>
        <w:rPr>
          <w:rFonts w:ascii="Arial" w:cs="Arial" w:eastAsia="Arial" w:hAnsi="Arial"/>
          <w:sz w:val="18"/>
          <w:szCs w:val="18"/>
          <w:color w:val="auto"/>
        </w:rPr>
        <w:t>May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23495</wp:posOffset>
            </wp:positionV>
            <wp:extent cx="25717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James Haran</w:t>
      </w:r>
    </w:p>
    <w:p>
      <w:pPr>
        <w:spacing w:after="0" w:line="5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lowerRoman"/>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8"/>
    </w:lvl>
  </w:abstractNum>
  <w:abstractNum w:abstractNumId="8">
    <w:nsid w:val="7C83E458"/>
    <w:multiLevelType w:val="hybridMultilevel"/>
    <w:lvl w:ilvl="0">
      <w:lvlJc w:val="left"/>
      <w:lvlText w:val="%1."/>
      <w:numFmt w:val="decimal"/>
      <w:start w:val="9"/>
    </w:lvl>
  </w:abstractNum>
  <w:abstractNum w:abstractNumId="9">
    <w:nsid w:val="257130A3"/>
    <w:multiLevelType w:val="hybridMultilevel"/>
    <w:lvl w:ilvl="0">
      <w:lvlJc w:val="left"/>
      <w:lvlText w:val="%1."/>
      <w:numFmt w:val="decimal"/>
      <w:start w:val="10"/>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lowerRoman"/>
      <w:start w:val="1"/>
    </w:lvl>
  </w:abstractNum>
  <w:abstractNum w:abstractNumId="13">
    <w:nsid w:val="333AB105"/>
    <w:multiLevelType w:val="hybridMultilevel"/>
    <w:lvl w:ilvl="0">
      <w:lvlJc w:val="left"/>
      <w:lvlText w:val="%1."/>
      <w:numFmt w:val="decimal"/>
      <w:start w:val="11"/>
    </w:lvl>
  </w:abstractNum>
  <w:abstractNum w:abstractNumId="14">
    <w:nsid w:val="721DA317"/>
    <w:multiLevelType w:val="hybridMultilevel"/>
    <w:lvl w:ilvl="0">
      <w:lvlJc w:val="left"/>
      <w:lvlText w:val="%1."/>
      <w:numFmt w:val="decimal"/>
      <w:start w:val="12"/>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2021-05-18T00:24:32Z</dcterms:created>
  <dcterms:modified xsi:type="dcterms:W3CDTF">2021-05-18T00:24:32Z</dcterms:modified>
</cp:coreProperties>
</file>